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63" w:line="500" w:lineRule="atLeast"/>
        <w:jc w:val="center"/>
        <w:rPr>
          <w:rFonts w:hint="eastAsia" w:ascii="仿宋" w:hAnsi="仿宋" w:eastAsia="仿宋" w:cs="仿宋"/>
          <w:b/>
          <w:bCs/>
          <w:color w:val="auto"/>
          <w:kern w:val="0"/>
          <w:sz w:val="48"/>
          <w:szCs w:val="48"/>
          <w:lang w:val="en-US" w:eastAsia="zh-CN"/>
        </w:rPr>
      </w:pPr>
      <w:r>
        <w:rPr>
          <w:rFonts w:hint="eastAsia" w:ascii="仿宋" w:hAnsi="仿宋" w:eastAsia="仿宋" w:cs="仿宋"/>
          <w:b/>
          <w:bCs/>
          <w:color w:val="auto"/>
          <w:kern w:val="0"/>
          <w:sz w:val="48"/>
          <w:szCs w:val="48"/>
          <w:lang w:val="en-US" w:eastAsia="zh-CN"/>
        </w:rPr>
        <w:t>2021年度</w:t>
      </w:r>
    </w:p>
    <w:p>
      <w:pPr>
        <w:widowControl/>
        <w:shd w:val="clear" w:color="auto" w:fill="FFFFFF"/>
        <w:spacing w:after="63" w:line="500" w:lineRule="atLeast"/>
        <w:jc w:val="center"/>
        <w:rPr>
          <w:rFonts w:hint="eastAsia" w:ascii="黑体" w:hAnsi="黑体" w:eastAsia="黑体" w:cs="宋体"/>
          <w:color w:val="auto"/>
          <w:kern w:val="0"/>
          <w:sz w:val="84"/>
          <w:szCs w:val="84"/>
          <w:lang w:val="en-US" w:eastAsia="zh-CN"/>
        </w:rPr>
      </w:pPr>
      <w:r>
        <w:rPr>
          <w:rFonts w:hint="eastAsia" w:ascii="仿宋" w:hAnsi="仿宋" w:eastAsia="仿宋" w:cs="仿宋"/>
          <w:b/>
          <w:bCs/>
          <w:color w:val="auto"/>
          <w:kern w:val="0"/>
          <w:sz w:val="48"/>
          <w:szCs w:val="48"/>
        </w:rPr>
        <w:t>湖南中坡国家森林公园管理处</w:t>
      </w:r>
      <w:r>
        <w:rPr>
          <w:rFonts w:hint="eastAsia" w:ascii="仿宋" w:hAnsi="仿宋" w:eastAsia="仿宋" w:cs="仿宋"/>
          <w:b/>
          <w:bCs/>
          <w:color w:val="auto"/>
          <w:kern w:val="0"/>
          <w:sz w:val="48"/>
          <w:szCs w:val="48"/>
          <w:lang w:val="en-US" w:eastAsia="zh-CN"/>
        </w:rPr>
        <w:t>部门决算</w:t>
      </w:r>
    </w:p>
    <w:p>
      <w:pPr>
        <w:keepNext w:val="0"/>
        <w:keepLines w:val="0"/>
        <w:pageBreakBefore w:val="0"/>
        <w:widowControl/>
        <w:shd w:val="clear" w:color="auto" w:fill="FFFFFF"/>
        <w:kinsoku/>
        <w:wordWrap/>
        <w:overflowPunct/>
        <w:topLinePunct w:val="0"/>
        <w:autoSpaceDE/>
        <w:autoSpaceDN/>
        <w:bidi w:val="0"/>
        <w:adjustRightInd/>
        <w:snapToGrid/>
        <w:spacing w:after="63" w:line="500" w:lineRule="atLeast"/>
        <w:jc w:val="center"/>
        <w:textAlignment w:val="auto"/>
        <w:rPr>
          <w:rFonts w:hint="eastAsia" w:ascii="黑体" w:hAnsi="黑体" w:eastAsia="黑体" w:cs="宋体"/>
          <w:color w:val="auto"/>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after="63" w:line="500" w:lineRule="atLeast"/>
        <w:jc w:val="center"/>
        <w:textAlignment w:val="auto"/>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目 录</w:t>
      </w:r>
    </w:p>
    <w:p>
      <w:pPr>
        <w:keepNext w:val="0"/>
        <w:keepLines w:val="0"/>
        <w:pageBreakBefore w:val="0"/>
        <w:widowControl/>
        <w:shd w:val="clear" w:color="auto" w:fill="FFFFFF"/>
        <w:kinsoku/>
        <w:wordWrap/>
        <w:overflowPunct/>
        <w:topLinePunct w:val="0"/>
        <w:autoSpaceDE/>
        <w:autoSpaceDN/>
        <w:bidi w:val="0"/>
        <w:adjustRightInd/>
        <w:snapToGrid/>
        <w:spacing w:after="63" w:line="500" w:lineRule="atLeast"/>
        <w:ind w:firstLine="643" w:firstLineChars="200"/>
        <w:jc w:val="both"/>
        <w:textAlignment w:val="auto"/>
        <w:rPr>
          <w:rFonts w:hint="eastAsia" w:ascii="黑体" w:hAnsi="黑体" w:eastAsia="黑体" w:cs="黑体"/>
          <w:color w:val="auto"/>
          <w:kern w:val="0"/>
          <w:sz w:val="32"/>
          <w:szCs w:val="32"/>
        </w:rPr>
      </w:pPr>
      <w:r>
        <w:rPr>
          <w:rFonts w:hint="eastAsia" w:ascii="黑体" w:hAnsi="黑体" w:eastAsia="黑体" w:cs="黑体"/>
          <w:b/>
          <w:bCs/>
          <w:color w:val="auto"/>
          <w:kern w:val="0"/>
          <w:sz w:val="32"/>
          <w:szCs w:val="32"/>
        </w:rPr>
        <w:t>第一部分湖南中坡国家森林公园管理处概况</w:t>
      </w:r>
    </w:p>
    <w:p>
      <w:pPr>
        <w:widowControl/>
        <w:shd w:val="clear" w:color="auto" w:fill="FFFFFF"/>
        <w:spacing w:after="63" w:line="500" w:lineRule="atLeast"/>
        <w:ind w:firstLine="7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一、部门职责</w:t>
      </w:r>
    </w:p>
    <w:p>
      <w:pPr>
        <w:widowControl/>
        <w:shd w:val="clear" w:color="auto" w:fill="FFFFFF"/>
        <w:spacing w:after="63" w:line="500" w:lineRule="atLeast"/>
        <w:ind w:firstLine="7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二、机构设置</w:t>
      </w:r>
    </w:p>
    <w:p>
      <w:pPr>
        <w:widowControl/>
        <w:shd w:val="clear" w:color="auto" w:fill="FFFFFF"/>
        <w:spacing w:after="63" w:line="500" w:lineRule="atLeast"/>
        <w:ind w:firstLine="643" w:firstLineChars="200"/>
        <w:jc w:val="left"/>
        <w:rPr>
          <w:rFonts w:hint="eastAsia" w:ascii="黑体" w:hAnsi="黑体" w:eastAsia="黑体" w:cs="黑体"/>
          <w:b/>
          <w:bCs/>
          <w:color w:val="auto"/>
          <w:kern w:val="0"/>
          <w:sz w:val="32"/>
          <w:szCs w:val="32"/>
        </w:rPr>
      </w:pPr>
      <w:r>
        <w:rPr>
          <w:rFonts w:hint="eastAsia" w:ascii="黑体" w:hAnsi="黑体" w:eastAsia="黑体" w:cs="黑体"/>
          <w:b/>
          <w:bCs/>
          <w:color w:val="auto"/>
          <w:kern w:val="0"/>
          <w:sz w:val="32"/>
          <w:szCs w:val="32"/>
        </w:rPr>
        <w:t>第二部分2021年度部门决算表</w:t>
      </w:r>
    </w:p>
    <w:p>
      <w:pPr>
        <w:widowControl/>
        <w:shd w:val="clear" w:color="auto" w:fill="FFFFFF"/>
        <w:spacing w:after="63" w:line="500" w:lineRule="atLeast"/>
        <w:ind w:firstLine="7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一、收入支出决算总表</w:t>
      </w:r>
    </w:p>
    <w:p>
      <w:pPr>
        <w:widowControl/>
        <w:shd w:val="clear" w:color="auto" w:fill="FFFFFF"/>
        <w:spacing w:after="63" w:line="500" w:lineRule="atLeast"/>
        <w:ind w:firstLine="7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二、收入决算表</w:t>
      </w:r>
    </w:p>
    <w:p>
      <w:pPr>
        <w:widowControl/>
        <w:shd w:val="clear" w:color="auto" w:fill="FFFFFF"/>
        <w:spacing w:after="63" w:line="500" w:lineRule="atLeast"/>
        <w:ind w:firstLine="7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三、支出决算表</w:t>
      </w:r>
    </w:p>
    <w:p>
      <w:pPr>
        <w:widowControl/>
        <w:shd w:val="clear" w:color="auto" w:fill="FFFFFF"/>
        <w:spacing w:after="63" w:line="500" w:lineRule="atLeast"/>
        <w:ind w:firstLine="7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四、财政拨款收入支出决算总表</w:t>
      </w:r>
    </w:p>
    <w:p>
      <w:pPr>
        <w:widowControl/>
        <w:shd w:val="clear" w:color="auto" w:fill="FFFFFF"/>
        <w:spacing w:after="63" w:line="500" w:lineRule="atLeast"/>
        <w:ind w:firstLine="7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五、一般公共预算财政拨款支出决算表</w:t>
      </w:r>
    </w:p>
    <w:p>
      <w:pPr>
        <w:widowControl/>
        <w:shd w:val="clear" w:color="auto" w:fill="FFFFFF"/>
        <w:spacing w:after="63" w:line="500" w:lineRule="atLeast"/>
        <w:ind w:firstLine="7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六、一般公共预算财政拨款基本支出决算明细表</w:t>
      </w:r>
    </w:p>
    <w:p>
      <w:pPr>
        <w:widowControl/>
        <w:shd w:val="clear" w:color="auto" w:fill="FFFFFF"/>
        <w:spacing w:after="63" w:line="500" w:lineRule="atLeast"/>
        <w:ind w:firstLine="7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七、一般公共预算财政拨款“三公”经费支出决算表</w:t>
      </w:r>
    </w:p>
    <w:p>
      <w:pPr>
        <w:widowControl/>
        <w:shd w:val="clear" w:color="auto" w:fill="FFFFFF"/>
        <w:spacing w:after="63" w:line="500" w:lineRule="atLeast"/>
        <w:ind w:firstLine="7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八、政府性基金预算财政拨款收入支出决算表</w:t>
      </w:r>
    </w:p>
    <w:p>
      <w:pPr>
        <w:widowControl/>
        <w:shd w:val="clear" w:color="auto" w:fill="FFFFFF"/>
        <w:spacing w:after="63" w:line="500" w:lineRule="atLeast"/>
        <w:ind w:firstLine="7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九、国有资本经营预算财政拨款支出决算表</w:t>
      </w:r>
    </w:p>
    <w:p>
      <w:pPr>
        <w:widowControl/>
        <w:shd w:val="clear" w:color="auto" w:fill="FFFFFF"/>
        <w:spacing w:after="63" w:line="500" w:lineRule="atLeast"/>
        <w:ind w:firstLine="643" w:firstLineChars="200"/>
        <w:jc w:val="left"/>
        <w:rPr>
          <w:rFonts w:hint="eastAsia" w:ascii="仿宋" w:hAnsi="仿宋" w:eastAsia="仿宋" w:cs="仿宋"/>
          <w:color w:val="auto"/>
          <w:kern w:val="0"/>
          <w:sz w:val="32"/>
          <w:szCs w:val="32"/>
        </w:rPr>
      </w:pPr>
      <w:r>
        <w:rPr>
          <w:rFonts w:hint="eastAsia" w:ascii="黑体" w:hAnsi="黑体" w:eastAsia="黑体" w:cs="黑体"/>
          <w:b/>
          <w:bCs/>
          <w:color w:val="auto"/>
          <w:kern w:val="0"/>
          <w:sz w:val="32"/>
          <w:szCs w:val="32"/>
        </w:rPr>
        <w:t>第三部分2021年度部门决算情况说明</w:t>
      </w:r>
    </w:p>
    <w:p>
      <w:pPr>
        <w:widowControl/>
        <w:shd w:val="clear" w:color="auto" w:fill="FFFFFF"/>
        <w:spacing w:after="63" w:line="500" w:lineRule="atLeast"/>
        <w:ind w:firstLine="7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一、收入支出决算总体情况说明</w:t>
      </w:r>
    </w:p>
    <w:p>
      <w:pPr>
        <w:widowControl/>
        <w:shd w:val="clear" w:color="auto" w:fill="FFFFFF"/>
        <w:spacing w:after="63" w:line="500" w:lineRule="atLeast"/>
        <w:ind w:firstLine="7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二、收入决算情况说明</w:t>
      </w:r>
    </w:p>
    <w:p>
      <w:pPr>
        <w:widowControl/>
        <w:shd w:val="clear" w:color="auto" w:fill="FFFFFF"/>
        <w:spacing w:after="63" w:line="500" w:lineRule="atLeast"/>
        <w:ind w:firstLine="7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三、支出决算情况说明</w:t>
      </w:r>
    </w:p>
    <w:p>
      <w:pPr>
        <w:widowControl/>
        <w:shd w:val="clear" w:color="auto" w:fill="FFFFFF"/>
        <w:spacing w:after="63" w:line="500" w:lineRule="atLeast"/>
        <w:ind w:firstLine="7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四、财政拨款收入支出决算总体情况说明</w:t>
      </w:r>
    </w:p>
    <w:p>
      <w:pPr>
        <w:widowControl/>
        <w:shd w:val="clear" w:color="auto" w:fill="FFFFFF"/>
        <w:spacing w:after="63" w:line="500" w:lineRule="atLeast"/>
        <w:ind w:firstLine="7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五、一般公共预算财政拨款支出决算情况说明</w:t>
      </w:r>
    </w:p>
    <w:p>
      <w:pPr>
        <w:widowControl/>
        <w:shd w:val="clear" w:color="auto" w:fill="FFFFFF"/>
        <w:spacing w:after="63" w:line="500" w:lineRule="atLeast"/>
        <w:ind w:firstLine="7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六、一般公共预算财政拨款基本支出决算情况说明</w:t>
      </w:r>
    </w:p>
    <w:p>
      <w:pPr>
        <w:widowControl/>
        <w:shd w:val="clear" w:color="auto" w:fill="FFFFFF"/>
        <w:spacing w:after="63" w:line="500" w:lineRule="atLeast"/>
        <w:ind w:firstLine="7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七、一般公共预算财政拨款三公经费支出决算情况说明</w:t>
      </w:r>
    </w:p>
    <w:p>
      <w:pPr>
        <w:widowControl/>
        <w:shd w:val="clear" w:color="auto" w:fill="FFFFFF"/>
        <w:spacing w:after="63" w:line="500" w:lineRule="atLeast"/>
        <w:ind w:firstLine="7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八、政府性基金预算收入支出决算情况</w:t>
      </w:r>
    </w:p>
    <w:p>
      <w:pPr>
        <w:widowControl/>
        <w:shd w:val="clear" w:color="auto" w:fill="FFFFFF"/>
        <w:spacing w:after="63" w:line="500" w:lineRule="atLeast"/>
        <w:ind w:firstLine="700"/>
        <w:jc w:val="left"/>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九、国有资本经营预算财政拨款支出</w:t>
      </w:r>
      <w:r>
        <w:rPr>
          <w:rFonts w:hint="eastAsia" w:ascii="仿宋" w:hAnsi="仿宋" w:eastAsia="仿宋" w:cs="仿宋"/>
          <w:color w:val="auto"/>
          <w:kern w:val="0"/>
          <w:sz w:val="32"/>
          <w:szCs w:val="32"/>
          <w:lang w:val="en-US" w:eastAsia="zh-CN"/>
        </w:rPr>
        <w:t>决算</w:t>
      </w:r>
      <w:r>
        <w:rPr>
          <w:rFonts w:hint="eastAsia" w:ascii="仿宋" w:hAnsi="仿宋" w:eastAsia="仿宋" w:cs="仿宋"/>
          <w:color w:val="auto"/>
          <w:kern w:val="0"/>
          <w:sz w:val="32"/>
          <w:szCs w:val="32"/>
        </w:rPr>
        <w:t>情况</w:t>
      </w:r>
      <w:r>
        <w:rPr>
          <w:rFonts w:hint="eastAsia" w:ascii="仿宋" w:hAnsi="仿宋" w:eastAsia="仿宋" w:cs="仿宋"/>
          <w:color w:val="auto"/>
          <w:kern w:val="0"/>
          <w:sz w:val="32"/>
          <w:szCs w:val="32"/>
          <w:lang w:val="en-US" w:eastAsia="zh-CN"/>
        </w:rPr>
        <w:t>说明</w:t>
      </w:r>
    </w:p>
    <w:p>
      <w:pPr>
        <w:widowControl/>
        <w:shd w:val="clear" w:color="auto" w:fill="FFFFFF"/>
        <w:spacing w:after="63" w:line="500" w:lineRule="atLeast"/>
        <w:ind w:firstLine="7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十、机关运行经费支出说明</w:t>
      </w:r>
    </w:p>
    <w:p>
      <w:pPr>
        <w:widowControl/>
        <w:shd w:val="clear" w:color="auto" w:fill="FFFFFF"/>
        <w:spacing w:after="63" w:line="500" w:lineRule="atLeast"/>
        <w:ind w:firstLine="7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十一、一般性支出情况说明</w:t>
      </w:r>
    </w:p>
    <w:p>
      <w:pPr>
        <w:widowControl/>
        <w:shd w:val="clear" w:color="auto" w:fill="FFFFFF"/>
        <w:spacing w:after="63" w:line="500" w:lineRule="atLeast"/>
        <w:ind w:firstLine="7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十二、政府采购支出说明</w:t>
      </w:r>
    </w:p>
    <w:p>
      <w:pPr>
        <w:widowControl/>
        <w:shd w:val="clear" w:color="auto" w:fill="FFFFFF"/>
        <w:spacing w:after="63" w:line="500" w:lineRule="atLeast"/>
        <w:ind w:firstLine="7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十三、国有资产占用情况说明</w:t>
      </w:r>
    </w:p>
    <w:p>
      <w:pPr>
        <w:widowControl/>
        <w:shd w:val="clear" w:color="auto" w:fill="FFFFFF"/>
        <w:spacing w:after="63" w:line="500" w:lineRule="atLeast"/>
        <w:ind w:firstLine="7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十四、2021年度预算绩效情况的说明</w:t>
      </w:r>
    </w:p>
    <w:p>
      <w:pPr>
        <w:widowControl/>
        <w:shd w:val="clear" w:color="auto" w:fill="FFFFFF"/>
        <w:spacing w:after="63" w:line="500" w:lineRule="atLeast"/>
        <w:ind w:firstLine="643" w:firstLineChars="200"/>
        <w:jc w:val="left"/>
        <w:rPr>
          <w:rFonts w:hint="eastAsia" w:ascii="黑体" w:hAnsi="黑体" w:eastAsia="黑体" w:cs="黑体"/>
          <w:b/>
          <w:bCs/>
          <w:color w:val="auto"/>
          <w:kern w:val="0"/>
          <w:sz w:val="32"/>
          <w:szCs w:val="32"/>
        </w:rPr>
      </w:pPr>
      <w:r>
        <w:rPr>
          <w:rFonts w:hint="eastAsia" w:ascii="黑体" w:hAnsi="黑体" w:eastAsia="黑体" w:cs="黑体"/>
          <w:b/>
          <w:bCs/>
          <w:color w:val="auto"/>
          <w:kern w:val="0"/>
          <w:sz w:val="32"/>
          <w:szCs w:val="32"/>
        </w:rPr>
        <w:t>第四部分名词解释</w:t>
      </w:r>
    </w:p>
    <w:p>
      <w:pPr>
        <w:widowControl/>
        <w:shd w:val="clear" w:color="auto" w:fill="FFFFFF"/>
        <w:spacing w:after="63" w:line="500" w:lineRule="atLeast"/>
        <w:ind w:firstLine="643" w:firstLineChars="200"/>
        <w:jc w:val="left"/>
        <w:rPr>
          <w:rFonts w:hint="eastAsia" w:ascii="仿宋" w:hAnsi="仿宋" w:eastAsia="仿宋" w:cs="仿宋"/>
          <w:b/>
          <w:bCs/>
          <w:color w:val="auto"/>
          <w:kern w:val="0"/>
          <w:sz w:val="32"/>
          <w:szCs w:val="32"/>
        </w:rPr>
      </w:pPr>
      <w:r>
        <w:rPr>
          <w:rFonts w:hint="eastAsia" w:ascii="黑体" w:hAnsi="黑体" w:eastAsia="黑体" w:cs="黑体"/>
          <w:b/>
          <w:bCs/>
          <w:color w:val="auto"/>
          <w:kern w:val="0"/>
          <w:sz w:val="32"/>
          <w:szCs w:val="32"/>
        </w:rPr>
        <w:t>第五部分附件</w:t>
      </w:r>
    </w:p>
    <w:p>
      <w:pPr>
        <w:widowControl/>
        <w:shd w:val="clear" w:color="auto" w:fill="FFFFFF"/>
        <w:spacing w:after="63" w:line="376" w:lineRule="atLeast"/>
        <w:jc w:val="center"/>
        <w:rPr>
          <w:rFonts w:hint="eastAsia" w:ascii="仿宋" w:hAnsi="仿宋" w:eastAsia="仿宋" w:cs="仿宋"/>
          <w:b/>
          <w:bCs/>
          <w:color w:val="auto"/>
          <w:kern w:val="0"/>
          <w:sz w:val="32"/>
          <w:szCs w:val="32"/>
        </w:rPr>
      </w:pPr>
    </w:p>
    <w:p>
      <w:pPr>
        <w:widowControl/>
        <w:shd w:val="clear" w:color="auto" w:fill="FFFFFF"/>
        <w:spacing w:after="63" w:line="376" w:lineRule="atLeast"/>
        <w:jc w:val="center"/>
        <w:rPr>
          <w:rFonts w:hint="eastAsia" w:ascii="黑体" w:hAnsi="黑体" w:eastAsia="黑体" w:cs="黑体"/>
          <w:b/>
          <w:bCs/>
          <w:color w:val="auto"/>
          <w:kern w:val="0"/>
          <w:sz w:val="44"/>
          <w:szCs w:val="44"/>
        </w:rPr>
      </w:pPr>
    </w:p>
    <w:p>
      <w:pPr>
        <w:widowControl/>
        <w:shd w:val="clear" w:color="auto" w:fill="FFFFFF"/>
        <w:spacing w:after="63" w:line="376" w:lineRule="atLeast"/>
        <w:jc w:val="center"/>
        <w:rPr>
          <w:rFonts w:hint="eastAsia" w:ascii="黑体" w:hAnsi="黑体" w:eastAsia="黑体" w:cs="黑体"/>
          <w:b/>
          <w:bCs/>
          <w:color w:val="auto"/>
          <w:kern w:val="0"/>
          <w:sz w:val="44"/>
          <w:szCs w:val="44"/>
        </w:rPr>
      </w:pPr>
      <w:r>
        <w:rPr>
          <w:rFonts w:hint="eastAsia" w:ascii="黑体" w:hAnsi="黑体" w:eastAsia="黑体" w:cs="黑体"/>
          <w:b/>
          <w:bCs/>
          <w:color w:val="auto"/>
          <w:kern w:val="0"/>
          <w:sz w:val="44"/>
          <w:szCs w:val="44"/>
        </w:rPr>
        <w:t>第一部分</w:t>
      </w:r>
    </w:p>
    <w:p>
      <w:pPr>
        <w:widowControl/>
        <w:shd w:val="clear" w:color="auto" w:fill="FFFFFF"/>
        <w:spacing w:after="63" w:line="376" w:lineRule="atLeast"/>
        <w:jc w:val="center"/>
        <w:rPr>
          <w:rFonts w:hint="eastAsia" w:ascii="黑体" w:hAnsi="黑体" w:eastAsia="黑体" w:cs="黑体"/>
          <w:b/>
          <w:bCs/>
          <w:color w:val="auto"/>
          <w:kern w:val="0"/>
          <w:sz w:val="44"/>
          <w:szCs w:val="44"/>
        </w:rPr>
      </w:pPr>
      <w:r>
        <w:rPr>
          <w:rFonts w:hint="eastAsia" w:ascii="黑体" w:hAnsi="黑体" w:eastAsia="黑体" w:cs="黑体"/>
          <w:b/>
          <w:bCs/>
          <w:color w:val="auto"/>
          <w:kern w:val="0"/>
          <w:sz w:val="44"/>
          <w:szCs w:val="44"/>
        </w:rPr>
        <w:t>湖南中坡国家森林公园管理处概况</w:t>
      </w:r>
    </w:p>
    <w:p>
      <w:pPr>
        <w:widowControl/>
        <w:shd w:val="clear" w:color="auto" w:fill="FFFFFF"/>
        <w:spacing w:after="63" w:line="376" w:lineRule="atLeast"/>
        <w:jc w:val="left"/>
        <w:rPr>
          <w:rFonts w:hint="eastAsia" w:ascii="黑体" w:hAnsi="黑体" w:eastAsia="黑体" w:cs="黑体"/>
          <w:color w:val="auto"/>
          <w:kern w:val="0"/>
          <w:sz w:val="32"/>
          <w:szCs w:val="32"/>
        </w:rPr>
      </w:pPr>
    </w:p>
    <w:p>
      <w:pPr>
        <w:widowControl/>
        <w:shd w:val="clear" w:color="auto" w:fill="FFFFFF"/>
        <w:spacing w:after="63" w:line="376" w:lineRule="atLeast"/>
        <w:ind w:firstLine="640" w:firstLineChars="200"/>
        <w:jc w:val="left"/>
        <w:rPr>
          <w:rFonts w:hint="eastAsia" w:ascii="仿宋" w:hAnsi="仿宋" w:eastAsia="仿宋" w:cs="仿宋"/>
          <w:color w:val="auto"/>
          <w:kern w:val="0"/>
          <w:sz w:val="32"/>
          <w:szCs w:val="32"/>
        </w:rPr>
      </w:pPr>
      <w:r>
        <w:rPr>
          <w:rFonts w:hint="eastAsia" w:ascii="黑体" w:hAnsi="黑体" w:eastAsia="黑体" w:cs="黑体"/>
          <w:color w:val="auto"/>
          <w:kern w:val="0"/>
          <w:sz w:val="32"/>
          <w:szCs w:val="32"/>
        </w:rPr>
        <w:t>一、部门职责</w:t>
      </w:r>
    </w:p>
    <w:p>
      <w:pPr>
        <w:widowControl/>
        <w:shd w:val="clear" w:color="auto" w:fill="FFFFFF"/>
        <w:spacing w:after="63" w:line="600" w:lineRule="atLeas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开展林业科学研究、促进林业生产发展，林业科技开发，林业科研成果应用与推广，绿化工程规划设计，施工技术指导，相关科技咨询与培训；对中坡国家森林公园和中坡风景名胜区范围内森林资源进行管护，对林木进行抚育和提质改造，对公园公共基础设施进行管理与维护，加强林区和公园森林防火、林业病虫害防治和公共安全管理、自然环境建设、森林旅游开发等业务。</w:t>
      </w:r>
    </w:p>
    <w:p>
      <w:pPr>
        <w:widowControl/>
        <w:shd w:val="clear" w:color="auto" w:fill="FFFFFF"/>
        <w:spacing w:after="63" w:line="600" w:lineRule="atLeast"/>
        <w:ind w:firstLine="640" w:firstLineChars="200"/>
        <w:rPr>
          <w:rFonts w:hint="eastAsia" w:ascii="仿宋" w:hAnsi="仿宋" w:eastAsia="仿宋" w:cs="仿宋"/>
          <w:color w:val="auto"/>
          <w:kern w:val="0"/>
          <w:sz w:val="32"/>
          <w:szCs w:val="32"/>
        </w:rPr>
      </w:pPr>
      <w:r>
        <w:rPr>
          <w:rFonts w:hint="eastAsia" w:ascii="黑体" w:hAnsi="黑体" w:eastAsia="黑体" w:cs="黑体"/>
          <w:color w:val="auto"/>
          <w:kern w:val="0"/>
          <w:sz w:val="32"/>
          <w:szCs w:val="32"/>
        </w:rPr>
        <w:t>二、机构设置及决算单位构成</w:t>
      </w:r>
    </w:p>
    <w:p>
      <w:pPr>
        <w:widowControl/>
        <w:shd w:val="clear" w:color="auto" w:fill="FFFFFF"/>
        <w:spacing w:after="63" w:line="600" w:lineRule="atLeast"/>
        <w:ind w:firstLine="643" w:firstLineChars="200"/>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（一）内设机构设置</w:t>
      </w:r>
      <w:r>
        <w:rPr>
          <w:rFonts w:hint="eastAsia" w:ascii="仿宋" w:hAnsi="仿宋" w:eastAsia="仿宋" w:cs="仿宋"/>
          <w:color w:val="auto"/>
          <w:kern w:val="0"/>
          <w:sz w:val="32"/>
          <w:szCs w:val="32"/>
        </w:rPr>
        <w:t>。湖南中坡国家森林公园管理处（以下简称公园）与“怀化市林业科学研究所”“怀化市中坡风景名胜管理处”“怀化市中坡国有林场”合署办公，实行“四块牌子，一套人马”的管理体制（另加挂湖南省林业科学研究院怀化分院、湖南省植物园怀化分园牌子）。隶属于怀化市林业局管辖的副处级公益一类财政差额拨款事业单位，2015 年 10 月，怀化市机构编制委员会办公室核定单位内设 10 个业务科室(办公室、财务室、林业科技推广中心、生产科、规划建设科、人事科、护林防火科、公园管理科、保卫科、旅游服务中心）。</w:t>
      </w:r>
    </w:p>
    <w:p>
      <w:pPr>
        <w:widowControl/>
        <w:shd w:val="clear" w:color="auto" w:fill="FFFFFF"/>
        <w:spacing w:after="63" w:line="600" w:lineRule="atLeast"/>
        <w:ind w:firstLine="643" w:firstLineChars="200"/>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（二）决算单位构成</w:t>
      </w:r>
      <w:r>
        <w:rPr>
          <w:rFonts w:hint="eastAsia" w:ascii="仿宋" w:hAnsi="仿宋" w:eastAsia="仿宋" w:cs="仿宋"/>
          <w:color w:val="auto"/>
          <w:kern w:val="0"/>
          <w:sz w:val="32"/>
          <w:szCs w:val="32"/>
        </w:rPr>
        <w:t>。2021年部门决算汇总公开单位构成包括：湖南中坡国家森林公园管理处本级。</w:t>
      </w:r>
    </w:p>
    <w:p>
      <w:pPr>
        <w:widowControl/>
        <w:shd w:val="clear" w:color="auto" w:fill="FFFFFF"/>
        <w:spacing w:after="63" w:line="376" w:lineRule="atLeast"/>
        <w:jc w:val="center"/>
        <w:rPr>
          <w:rFonts w:hint="eastAsia" w:ascii="仿宋" w:hAnsi="仿宋" w:eastAsia="仿宋" w:cs="仿宋"/>
          <w:color w:val="auto"/>
          <w:kern w:val="0"/>
          <w:sz w:val="32"/>
          <w:szCs w:val="32"/>
        </w:rPr>
      </w:pPr>
    </w:p>
    <w:p>
      <w:pPr>
        <w:widowControl/>
        <w:shd w:val="clear" w:color="auto" w:fill="FFFFFF"/>
        <w:spacing w:after="63" w:line="376" w:lineRule="atLeast"/>
        <w:jc w:val="center"/>
        <w:rPr>
          <w:rFonts w:hint="eastAsia" w:ascii="黑体" w:hAnsi="黑体" w:eastAsia="黑体" w:cs="黑体"/>
          <w:b/>
          <w:bCs/>
          <w:color w:val="auto"/>
          <w:kern w:val="0"/>
          <w:sz w:val="44"/>
          <w:szCs w:val="44"/>
        </w:rPr>
      </w:pPr>
      <w:r>
        <w:rPr>
          <w:rFonts w:hint="eastAsia" w:ascii="黑体" w:hAnsi="黑体" w:eastAsia="黑体" w:cs="黑体"/>
          <w:b/>
          <w:bCs/>
          <w:color w:val="auto"/>
          <w:kern w:val="0"/>
          <w:sz w:val="44"/>
          <w:szCs w:val="44"/>
        </w:rPr>
        <w:t>第二部分</w:t>
      </w:r>
      <w:r>
        <w:rPr>
          <w:rFonts w:hint="eastAsia" w:ascii="黑体" w:hAnsi="黑体" w:eastAsia="黑体" w:cs="黑体"/>
          <w:b/>
          <w:bCs/>
          <w:color w:val="auto"/>
          <w:kern w:val="0"/>
          <w:sz w:val="44"/>
          <w:szCs w:val="44"/>
          <w:lang w:val="en-US" w:eastAsia="zh-CN"/>
        </w:rPr>
        <w:t xml:space="preserve"> </w:t>
      </w:r>
      <w:r>
        <w:rPr>
          <w:rFonts w:hint="eastAsia" w:ascii="黑体" w:hAnsi="黑体" w:eastAsia="黑体" w:cs="黑体"/>
          <w:b/>
          <w:bCs/>
          <w:color w:val="auto"/>
          <w:kern w:val="0"/>
          <w:sz w:val="44"/>
          <w:szCs w:val="44"/>
        </w:rPr>
        <w:t>部门决算表</w:t>
      </w:r>
    </w:p>
    <w:p>
      <w:pPr>
        <w:widowControl/>
        <w:shd w:val="clear" w:color="auto" w:fill="FFFFFF"/>
        <w:spacing w:after="63" w:line="376" w:lineRule="atLeast"/>
        <w:jc w:val="center"/>
        <w:rPr>
          <w:rFonts w:hint="eastAsia" w:ascii="黑体" w:hAnsi="黑体" w:eastAsia="黑体" w:cs="黑体"/>
          <w:b/>
          <w:bCs/>
          <w:color w:val="auto"/>
          <w:kern w:val="0"/>
          <w:sz w:val="44"/>
          <w:szCs w:val="44"/>
        </w:rPr>
      </w:pPr>
      <w:r>
        <w:rPr>
          <w:rFonts w:hint="eastAsia" w:ascii="黑体" w:hAnsi="黑体" w:eastAsia="黑体" w:cs="黑体"/>
          <w:b/>
          <w:bCs/>
          <w:color w:val="auto"/>
          <w:kern w:val="0"/>
          <w:sz w:val="44"/>
          <w:szCs w:val="44"/>
        </w:rPr>
        <w:t>见附件1</w:t>
      </w:r>
    </w:p>
    <w:p>
      <w:pPr>
        <w:widowControl/>
        <w:shd w:val="clear" w:color="auto" w:fill="FFFFFF"/>
        <w:spacing w:after="63" w:line="376" w:lineRule="atLeast"/>
        <w:jc w:val="center"/>
        <w:rPr>
          <w:rFonts w:hint="eastAsia" w:ascii="仿宋" w:hAnsi="仿宋" w:eastAsia="仿宋" w:cs="仿宋"/>
          <w:color w:val="auto"/>
          <w:kern w:val="0"/>
          <w:sz w:val="32"/>
          <w:szCs w:val="32"/>
        </w:rPr>
      </w:pPr>
    </w:p>
    <w:p>
      <w:pPr>
        <w:widowControl/>
        <w:shd w:val="clear" w:color="auto" w:fill="FFFFFF"/>
        <w:spacing w:after="63" w:line="376" w:lineRule="atLeast"/>
        <w:jc w:val="center"/>
        <w:rPr>
          <w:rFonts w:hint="eastAsia" w:ascii="黑体" w:hAnsi="黑体" w:eastAsia="黑体" w:cs="黑体"/>
          <w:color w:val="auto"/>
          <w:kern w:val="0"/>
          <w:sz w:val="44"/>
          <w:szCs w:val="44"/>
        </w:rPr>
      </w:pPr>
      <w:r>
        <w:rPr>
          <w:rFonts w:hint="eastAsia" w:ascii="黑体" w:hAnsi="黑体" w:eastAsia="黑体" w:cs="黑体"/>
          <w:color w:val="auto"/>
          <w:kern w:val="0"/>
          <w:sz w:val="44"/>
          <w:szCs w:val="44"/>
        </w:rPr>
        <w:t>第三部分</w:t>
      </w:r>
      <w:r>
        <w:rPr>
          <w:rFonts w:hint="eastAsia" w:ascii="黑体" w:hAnsi="黑体" w:eastAsia="黑体" w:cs="黑体"/>
          <w:color w:val="auto"/>
          <w:kern w:val="0"/>
          <w:sz w:val="44"/>
          <w:szCs w:val="44"/>
          <w:lang w:val="en-US" w:eastAsia="zh-CN"/>
        </w:rPr>
        <w:t xml:space="preserve"> </w:t>
      </w:r>
      <w:r>
        <w:rPr>
          <w:rFonts w:hint="eastAsia" w:ascii="黑体" w:hAnsi="黑体" w:eastAsia="黑体" w:cs="黑体"/>
          <w:color w:val="auto"/>
          <w:kern w:val="0"/>
          <w:sz w:val="44"/>
          <w:szCs w:val="44"/>
        </w:rPr>
        <w:t>2021年度部门决算情况说明</w:t>
      </w:r>
    </w:p>
    <w:p>
      <w:pPr>
        <w:widowControl/>
        <w:shd w:val="clear" w:color="auto" w:fill="FFFFFF"/>
        <w:spacing w:after="63" w:line="600" w:lineRule="atLeast"/>
        <w:ind w:firstLine="640"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一、收入支出决算总体情况说明</w:t>
      </w:r>
    </w:p>
    <w:p>
      <w:pPr>
        <w:widowControl/>
        <w:shd w:val="clear" w:color="auto" w:fill="FFFFFF"/>
        <w:spacing w:after="63" w:line="376" w:lineRule="atLeast"/>
        <w:ind w:firstLine="64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2021年度收、支总计</w:t>
      </w:r>
      <w:r>
        <w:rPr>
          <w:rFonts w:hint="eastAsia" w:ascii="仿宋" w:hAnsi="仿宋" w:eastAsia="仿宋" w:cs="仿宋"/>
          <w:color w:val="auto"/>
          <w:kern w:val="0"/>
          <w:sz w:val="32"/>
          <w:szCs w:val="32"/>
          <w:lang w:val="en-US" w:eastAsia="zh-CN"/>
        </w:rPr>
        <w:t>各</w:t>
      </w:r>
      <w:r>
        <w:rPr>
          <w:rFonts w:hint="eastAsia" w:ascii="仿宋" w:hAnsi="仿宋" w:eastAsia="仿宋" w:cs="仿宋"/>
          <w:color w:val="auto"/>
          <w:kern w:val="0"/>
          <w:sz w:val="32"/>
          <w:szCs w:val="32"/>
          <w:lang w:eastAsia="zh-CN"/>
        </w:rPr>
        <w:t>3,844.</w:t>
      </w:r>
      <w:r>
        <w:rPr>
          <w:rFonts w:hint="eastAsia" w:ascii="仿宋" w:hAnsi="仿宋" w:eastAsia="仿宋" w:cs="仿宋"/>
          <w:color w:val="auto"/>
          <w:kern w:val="0"/>
          <w:sz w:val="32"/>
          <w:szCs w:val="32"/>
        </w:rPr>
        <w:t>45万元。与</w:t>
      </w:r>
      <w:r>
        <w:rPr>
          <w:rFonts w:hint="eastAsia" w:ascii="仿宋" w:hAnsi="仿宋" w:eastAsia="仿宋" w:cs="仿宋"/>
          <w:color w:val="auto"/>
          <w:sz w:val="32"/>
          <w:szCs w:val="32"/>
        </w:rPr>
        <w:t>上</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度</w:t>
      </w:r>
      <w:r>
        <w:rPr>
          <w:rFonts w:hint="eastAsia" w:ascii="仿宋" w:hAnsi="仿宋" w:eastAsia="仿宋" w:cs="仿宋"/>
          <w:color w:val="auto"/>
          <w:kern w:val="0"/>
          <w:sz w:val="32"/>
          <w:szCs w:val="32"/>
        </w:rPr>
        <w:t>相比，</w:t>
      </w:r>
      <w:r>
        <w:rPr>
          <w:rFonts w:hint="eastAsia" w:ascii="仿宋" w:hAnsi="仿宋" w:eastAsia="仿宋" w:cs="仿宋"/>
          <w:color w:val="auto"/>
          <w:sz w:val="32"/>
          <w:szCs w:val="32"/>
          <w:lang w:val="en-US" w:eastAsia="zh-CN"/>
        </w:rPr>
        <w:t>收、支总计各</w:t>
      </w:r>
      <w:r>
        <w:rPr>
          <w:rFonts w:hint="eastAsia" w:ascii="仿宋" w:hAnsi="仿宋" w:eastAsia="仿宋" w:cs="仿宋"/>
          <w:color w:val="auto"/>
          <w:kern w:val="0"/>
          <w:sz w:val="32"/>
          <w:szCs w:val="32"/>
        </w:rPr>
        <w:t>减少576.62万元，减少13.04%，主要是因为今年财政以支定收的政策，我单位还有部分专项资金按进度暂未列支出，故收支总体比去年减少了。</w:t>
      </w:r>
    </w:p>
    <w:p>
      <w:pPr>
        <w:widowControl/>
        <w:shd w:val="clear" w:color="auto" w:fill="FFFFFF"/>
        <w:spacing w:after="63" w:line="376" w:lineRule="atLeast"/>
        <w:ind w:firstLine="640"/>
        <w:jc w:val="left"/>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二、收入决算情况说明</w:t>
      </w:r>
    </w:p>
    <w:p>
      <w:pPr>
        <w:widowControl/>
        <w:shd w:val="clear" w:color="auto" w:fill="FFFFFF"/>
        <w:spacing w:after="63" w:line="376" w:lineRule="atLeast"/>
        <w:ind w:firstLine="64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2021年度收入合计</w:t>
      </w:r>
      <w:r>
        <w:rPr>
          <w:rFonts w:hint="eastAsia" w:ascii="仿宋" w:hAnsi="仿宋" w:eastAsia="仿宋" w:cs="仿宋"/>
          <w:color w:val="auto"/>
          <w:kern w:val="0"/>
          <w:sz w:val="32"/>
          <w:szCs w:val="32"/>
          <w:lang w:eastAsia="zh-CN"/>
        </w:rPr>
        <w:t>2,527.</w:t>
      </w:r>
      <w:r>
        <w:rPr>
          <w:rFonts w:hint="eastAsia" w:ascii="仿宋" w:hAnsi="仿宋" w:eastAsia="仿宋" w:cs="仿宋"/>
          <w:color w:val="auto"/>
          <w:kern w:val="0"/>
          <w:sz w:val="32"/>
          <w:szCs w:val="32"/>
        </w:rPr>
        <w:t>03万元，其中：财政拨款收入</w:t>
      </w:r>
      <w:r>
        <w:rPr>
          <w:rFonts w:hint="eastAsia" w:ascii="仿宋" w:hAnsi="仿宋" w:eastAsia="仿宋" w:cs="仿宋"/>
          <w:color w:val="auto"/>
          <w:kern w:val="0"/>
          <w:sz w:val="32"/>
          <w:szCs w:val="32"/>
          <w:lang w:eastAsia="zh-CN"/>
        </w:rPr>
        <w:t>2,471.</w:t>
      </w:r>
      <w:r>
        <w:rPr>
          <w:rFonts w:hint="eastAsia" w:ascii="仿宋" w:hAnsi="仿宋" w:eastAsia="仿宋" w:cs="仿宋"/>
          <w:color w:val="auto"/>
          <w:kern w:val="0"/>
          <w:sz w:val="32"/>
          <w:szCs w:val="32"/>
        </w:rPr>
        <w:t>72万元，占97.81%；上级补助收入0万元，占0%；事业收入31.93万元，占1.26%；经营收入0万元，占0%；附属单位上缴收入0万元，占0%；其他收入23.38万元，占0.93%。</w:t>
      </w:r>
    </w:p>
    <w:p>
      <w:pPr>
        <w:widowControl/>
        <w:shd w:val="clear" w:color="auto" w:fill="FFFFFF"/>
        <w:spacing w:after="63" w:line="376" w:lineRule="atLeast"/>
        <w:ind w:firstLine="640"/>
        <w:jc w:val="left"/>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三、支出决算情况说明</w:t>
      </w:r>
    </w:p>
    <w:p>
      <w:pPr>
        <w:widowControl/>
        <w:shd w:val="clear" w:color="auto" w:fill="FFFFFF"/>
        <w:spacing w:after="63" w:line="376" w:lineRule="atLeast"/>
        <w:ind w:firstLine="64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2021年度支出合计</w:t>
      </w:r>
      <w:r>
        <w:rPr>
          <w:rFonts w:hint="eastAsia" w:ascii="仿宋" w:hAnsi="仿宋" w:eastAsia="仿宋" w:cs="仿宋"/>
          <w:color w:val="auto"/>
          <w:kern w:val="0"/>
          <w:sz w:val="32"/>
          <w:szCs w:val="32"/>
          <w:lang w:eastAsia="zh-CN"/>
        </w:rPr>
        <w:t>3,219.</w:t>
      </w:r>
      <w:r>
        <w:rPr>
          <w:rFonts w:hint="eastAsia" w:ascii="仿宋" w:hAnsi="仿宋" w:eastAsia="仿宋" w:cs="仿宋"/>
          <w:color w:val="auto"/>
          <w:kern w:val="0"/>
          <w:sz w:val="32"/>
          <w:szCs w:val="32"/>
        </w:rPr>
        <w:t>52万元，其中：基本支出</w:t>
      </w:r>
      <w:r>
        <w:rPr>
          <w:rFonts w:hint="eastAsia" w:ascii="仿宋" w:hAnsi="仿宋" w:eastAsia="仿宋" w:cs="仿宋"/>
          <w:color w:val="auto"/>
          <w:kern w:val="0"/>
          <w:sz w:val="32"/>
          <w:szCs w:val="32"/>
          <w:lang w:eastAsia="zh-CN"/>
        </w:rPr>
        <w:t>1,884.</w:t>
      </w:r>
      <w:r>
        <w:rPr>
          <w:rFonts w:hint="eastAsia" w:ascii="仿宋" w:hAnsi="仿宋" w:eastAsia="仿宋" w:cs="仿宋"/>
          <w:color w:val="auto"/>
          <w:kern w:val="0"/>
          <w:sz w:val="32"/>
          <w:szCs w:val="32"/>
        </w:rPr>
        <w:t>09万元，占58.52%；项目支出</w:t>
      </w:r>
      <w:r>
        <w:rPr>
          <w:rFonts w:hint="eastAsia" w:ascii="仿宋" w:hAnsi="仿宋" w:eastAsia="仿宋" w:cs="仿宋"/>
          <w:color w:val="auto"/>
          <w:kern w:val="0"/>
          <w:sz w:val="32"/>
          <w:szCs w:val="32"/>
          <w:lang w:eastAsia="zh-CN"/>
        </w:rPr>
        <w:t>1,335.</w:t>
      </w:r>
      <w:r>
        <w:rPr>
          <w:rFonts w:hint="eastAsia" w:ascii="仿宋" w:hAnsi="仿宋" w:eastAsia="仿宋" w:cs="仿宋"/>
          <w:color w:val="auto"/>
          <w:kern w:val="0"/>
          <w:sz w:val="32"/>
          <w:szCs w:val="32"/>
        </w:rPr>
        <w:t>43万元，占41.48%；上缴上级支出0万元，占0%；经营支出0万元，占0%；对附属单位补助支出0万元，占0%。</w:t>
      </w:r>
    </w:p>
    <w:p>
      <w:pPr>
        <w:widowControl/>
        <w:shd w:val="clear" w:color="auto" w:fill="FFFFFF"/>
        <w:spacing w:after="63" w:line="376" w:lineRule="atLeast"/>
        <w:ind w:firstLine="640" w:firstLineChars="200"/>
        <w:jc w:val="left"/>
        <w:rPr>
          <w:rFonts w:hint="eastAsia" w:ascii="仿宋" w:hAnsi="仿宋" w:eastAsia="仿宋" w:cs="仿宋"/>
          <w:color w:val="auto"/>
          <w:kern w:val="0"/>
          <w:sz w:val="32"/>
          <w:szCs w:val="32"/>
        </w:rPr>
      </w:pPr>
      <w:r>
        <w:rPr>
          <w:rFonts w:hint="eastAsia" w:ascii="黑体" w:hAnsi="黑体" w:eastAsia="黑体" w:cs="黑体"/>
          <w:color w:val="auto"/>
          <w:kern w:val="0"/>
          <w:sz w:val="32"/>
          <w:szCs w:val="32"/>
        </w:rPr>
        <w:t>四、财政拨款收入支出决算总体情况说明</w:t>
      </w:r>
    </w:p>
    <w:p>
      <w:pPr>
        <w:widowControl/>
        <w:shd w:val="clear" w:color="auto" w:fill="FFFFFF"/>
        <w:spacing w:after="63" w:line="376" w:lineRule="atLeast"/>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2021年度财政拨款收、支总计</w:t>
      </w:r>
      <w:r>
        <w:rPr>
          <w:rFonts w:hint="eastAsia" w:ascii="仿宋" w:hAnsi="仿宋" w:eastAsia="仿宋" w:cs="仿宋"/>
          <w:color w:val="auto"/>
          <w:kern w:val="0"/>
          <w:sz w:val="32"/>
          <w:szCs w:val="32"/>
          <w:lang w:val="en-US" w:eastAsia="zh-CN"/>
        </w:rPr>
        <w:t>各</w:t>
      </w:r>
      <w:r>
        <w:rPr>
          <w:rFonts w:hint="eastAsia" w:ascii="仿宋" w:hAnsi="仿宋" w:eastAsia="仿宋" w:cs="仿宋"/>
          <w:color w:val="auto"/>
          <w:kern w:val="0"/>
          <w:sz w:val="32"/>
          <w:szCs w:val="32"/>
          <w:lang w:eastAsia="zh-CN"/>
        </w:rPr>
        <w:t>3,230.</w:t>
      </w:r>
      <w:r>
        <w:rPr>
          <w:rFonts w:hint="eastAsia" w:ascii="仿宋" w:hAnsi="仿宋" w:eastAsia="仿宋" w:cs="仿宋"/>
          <w:color w:val="auto"/>
          <w:kern w:val="0"/>
          <w:sz w:val="32"/>
          <w:szCs w:val="32"/>
        </w:rPr>
        <w:t>40万元，与</w:t>
      </w:r>
      <w:r>
        <w:rPr>
          <w:rFonts w:hint="eastAsia" w:ascii="仿宋" w:hAnsi="仿宋" w:eastAsia="仿宋" w:cs="仿宋"/>
          <w:color w:val="auto"/>
          <w:sz w:val="32"/>
          <w:szCs w:val="32"/>
        </w:rPr>
        <w:t>上</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度</w:t>
      </w:r>
      <w:r>
        <w:rPr>
          <w:rFonts w:hint="eastAsia" w:ascii="仿宋" w:hAnsi="仿宋" w:eastAsia="仿宋" w:cs="仿宋"/>
          <w:color w:val="auto"/>
          <w:kern w:val="0"/>
          <w:sz w:val="32"/>
          <w:szCs w:val="32"/>
        </w:rPr>
        <w:t>相比，</w:t>
      </w:r>
      <w:r>
        <w:rPr>
          <w:rFonts w:hint="eastAsia" w:ascii="仿宋" w:hAnsi="仿宋" w:eastAsia="仿宋" w:cs="仿宋"/>
          <w:color w:val="auto"/>
          <w:sz w:val="32"/>
          <w:szCs w:val="32"/>
          <w:lang w:val="en-US" w:eastAsia="zh-CN"/>
        </w:rPr>
        <w:t>收、支总计各</w:t>
      </w:r>
      <w:r>
        <w:rPr>
          <w:rFonts w:hint="eastAsia" w:ascii="仿宋" w:hAnsi="仿宋" w:eastAsia="仿宋" w:cs="仿宋"/>
          <w:color w:val="auto"/>
          <w:kern w:val="0"/>
          <w:sz w:val="32"/>
          <w:szCs w:val="32"/>
        </w:rPr>
        <w:t>减少478.99万元,减少12.9%，主要是因为根据财政以支定收的政策，我单位还有部分专项资金因项目实施期为2-3年，资金需延续到2022年支出，系结转资金不计入当年收入，故财政收、支总体较去年减少了。</w:t>
      </w:r>
    </w:p>
    <w:p>
      <w:pPr>
        <w:widowControl/>
        <w:shd w:val="clear" w:color="auto" w:fill="FFFFFF"/>
        <w:spacing w:after="63" w:line="376" w:lineRule="atLeast"/>
        <w:ind w:firstLine="643" w:firstLineChars="200"/>
        <w:jc w:val="left"/>
        <w:rPr>
          <w:rFonts w:hint="eastAsia" w:ascii="黑体" w:hAnsi="黑体" w:eastAsia="黑体" w:cs="黑体"/>
          <w:color w:val="auto"/>
          <w:kern w:val="0"/>
          <w:sz w:val="32"/>
          <w:szCs w:val="32"/>
        </w:rPr>
      </w:pPr>
      <w:r>
        <w:rPr>
          <w:rFonts w:hint="eastAsia" w:ascii="黑体" w:hAnsi="黑体" w:eastAsia="黑体" w:cs="黑体"/>
          <w:b/>
          <w:bCs/>
          <w:color w:val="auto"/>
          <w:kern w:val="0"/>
          <w:sz w:val="32"/>
          <w:szCs w:val="32"/>
        </w:rPr>
        <w:t>五、一般公共预算财政拨款支出决算情况说明</w:t>
      </w:r>
    </w:p>
    <w:p>
      <w:pPr>
        <w:widowControl/>
        <w:shd w:val="clear" w:color="auto" w:fill="FFFFFF"/>
        <w:spacing w:after="63" w:line="376" w:lineRule="atLeast"/>
        <w:ind w:firstLine="640"/>
        <w:jc w:val="left"/>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（一）财政拨款支出决算总体情况</w:t>
      </w:r>
    </w:p>
    <w:p>
      <w:pPr>
        <w:widowControl/>
        <w:shd w:val="clear" w:color="auto" w:fill="FFFFFF"/>
        <w:spacing w:after="63" w:line="376" w:lineRule="atLeast"/>
        <w:ind w:firstLine="8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2021年度财政拨款支出</w:t>
      </w:r>
      <w:r>
        <w:rPr>
          <w:rFonts w:hint="eastAsia" w:ascii="仿宋" w:hAnsi="仿宋" w:eastAsia="仿宋" w:cs="仿宋"/>
          <w:color w:val="auto"/>
          <w:kern w:val="0"/>
          <w:sz w:val="32"/>
          <w:szCs w:val="32"/>
          <w:lang w:eastAsia="zh-CN"/>
        </w:rPr>
        <w:t>2,993.</w:t>
      </w:r>
      <w:r>
        <w:rPr>
          <w:rFonts w:hint="eastAsia" w:ascii="仿宋" w:hAnsi="仿宋" w:eastAsia="仿宋" w:cs="仿宋"/>
          <w:color w:val="auto"/>
          <w:kern w:val="0"/>
          <w:sz w:val="32"/>
          <w:szCs w:val="32"/>
        </w:rPr>
        <w:t>03万元，占本年支出合计的92.97%，与上年相比，财政拨款支出增加215.21万元，增长7.75%，主要是因为财政拨款支出中包含了上年度结转的财政拨款专项经费。</w:t>
      </w:r>
    </w:p>
    <w:p>
      <w:pPr>
        <w:widowControl/>
        <w:shd w:val="clear" w:color="auto" w:fill="FFFFFF"/>
        <w:spacing w:after="63" w:line="376" w:lineRule="atLeast"/>
        <w:ind w:firstLine="480"/>
        <w:jc w:val="left"/>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（二）财政拨款支出决算结构情况</w:t>
      </w:r>
    </w:p>
    <w:p>
      <w:pPr>
        <w:widowControl/>
        <w:shd w:val="clear" w:color="auto" w:fill="FFFFFF"/>
        <w:spacing w:after="63" w:line="376" w:lineRule="atLeast"/>
        <w:ind w:firstLine="64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2021年度财政拨款支出</w:t>
      </w:r>
      <w:r>
        <w:rPr>
          <w:rFonts w:hint="eastAsia" w:ascii="仿宋" w:hAnsi="仿宋" w:eastAsia="仿宋" w:cs="仿宋"/>
          <w:color w:val="auto"/>
          <w:kern w:val="0"/>
          <w:sz w:val="32"/>
          <w:szCs w:val="32"/>
          <w:lang w:eastAsia="zh-CN"/>
        </w:rPr>
        <w:t>2,993.</w:t>
      </w:r>
      <w:r>
        <w:rPr>
          <w:rFonts w:hint="eastAsia" w:ascii="仿宋" w:hAnsi="仿宋" w:eastAsia="仿宋" w:cs="仿宋"/>
          <w:color w:val="auto"/>
          <w:kern w:val="0"/>
          <w:sz w:val="32"/>
          <w:szCs w:val="32"/>
        </w:rPr>
        <w:t>03万元，主要用于以下方面：一般公共服务（类）支出51.1万元，占1.71%；科学技术（类）支出343.94万元，占11.49%;文化旅游体育与传媒（类）支出160.42万元，占5.36%；社会保障和就业（类）支出207.17万元，占6.92%；卫生健康（类）支出83.11万元，占2.78%；节能环保（类）支出5.51万元，占0.18%；城乡社区（类）支出3.64万元，占0.12%；农林水（类）支出</w:t>
      </w:r>
      <w:r>
        <w:rPr>
          <w:rFonts w:hint="eastAsia" w:ascii="仿宋" w:hAnsi="仿宋" w:eastAsia="仿宋" w:cs="仿宋"/>
          <w:color w:val="auto"/>
          <w:kern w:val="0"/>
          <w:sz w:val="32"/>
          <w:szCs w:val="32"/>
          <w:lang w:eastAsia="zh-CN"/>
        </w:rPr>
        <w:t>1,849.</w:t>
      </w:r>
      <w:r>
        <w:rPr>
          <w:rFonts w:hint="eastAsia" w:ascii="仿宋" w:hAnsi="仿宋" w:eastAsia="仿宋" w:cs="仿宋"/>
          <w:color w:val="auto"/>
          <w:kern w:val="0"/>
          <w:sz w:val="32"/>
          <w:szCs w:val="32"/>
        </w:rPr>
        <w:t>31万元，占61.79%；自然资源海洋气象等（类）支出272.83万元，占9.12%；灾害防治及应急管理（类）支出16万元，占0.53%。</w:t>
      </w:r>
    </w:p>
    <w:p>
      <w:pPr>
        <w:widowControl/>
        <w:shd w:val="clear" w:color="auto" w:fill="FFFFFF"/>
        <w:spacing w:after="63" w:line="376" w:lineRule="atLeast"/>
        <w:ind w:firstLine="643" w:firstLineChars="200"/>
        <w:jc w:val="left"/>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（三）财政拨款支出决算具体情况</w:t>
      </w:r>
    </w:p>
    <w:p>
      <w:pPr>
        <w:widowControl/>
        <w:shd w:val="clear" w:color="auto" w:fill="FFFFFF"/>
        <w:spacing w:after="63" w:line="376" w:lineRule="atLeast"/>
        <w:ind w:firstLine="8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2021年度财政拨款支出年初预算数为</w:t>
      </w:r>
      <w:r>
        <w:rPr>
          <w:rFonts w:hint="eastAsia" w:ascii="仿宋" w:hAnsi="仿宋" w:eastAsia="仿宋" w:cs="仿宋"/>
          <w:color w:val="auto"/>
          <w:kern w:val="0"/>
          <w:sz w:val="32"/>
          <w:szCs w:val="32"/>
          <w:lang w:eastAsia="zh-CN"/>
        </w:rPr>
        <w:t>1,537.</w:t>
      </w:r>
      <w:r>
        <w:rPr>
          <w:rFonts w:hint="eastAsia" w:ascii="仿宋" w:hAnsi="仿宋" w:eastAsia="仿宋" w:cs="仿宋"/>
          <w:color w:val="auto"/>
          <w:kern w:val="0"/>
          <w:sz w:val="32"/>
          <w:szCs w:val="32"/>
        </w:rPr>
        <w:t>4</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rPr>
        <w:t>万元，支出决算数为</w:t>
      </w:r>
      <w:r>
        <w:rPr>
          <w:rFonts w:hint="eastAsia" w:ascii="仿宋" w:hAnsi="仿宋" w:eastAsia="仿宋" w:cs="仿宋"/>
          <w:color w:val="auto"/>
          <w:kern w:val="0"/>
          <w:sz w:val="32"/>
          <w:szCs w:val="32"/>
          <w:lang w:eastAsia="zh-CN"/>
        </w:rPr>
        <w:t>2,993.</w:t>
      </w:r>
      <w:r>
        <w:rPr>
          <w:rFonts w:hint="eastAsia" w:ascii="仿宋" w:hAnsi="仿宋" w:eastAsia="仿宋" w:cs="仿宋"/>
          <w:color w:val="auto"/>
          <w:kern w:val="0"/>
          <w:sz w:val="32"/>
          <w:szCs w:val="32"/>
        </w:rPr>
        <w:t>03万元，完成年初预算的194.68%，其中：</w:t>
      </w:r>
    </w:p>
    <w:p>
      <w:pPr>
        <w:widowControl/>
        <w:shd w:val="clear" w:color="auto" w:fill="FFFFFF"/>
        <w:spacing w:after="63" w:line="376" w:lineRule="atLeas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1、一般公共服务支出（类）组织事务（款）其他组织事务支出（项）。该科目年初预算为0万元，支出决算为45.6万元，</w:t>
      </w:r>
      <w:r>
        <w:rPr>
          <w:rFonts w:hint="eastAsia" w:ascii="仿宋" w:hAnsi="仿宋" w:eastAsia="仿宋" w:cs="仿宋"/>
          <w:color w:val="auto"/>
          <w:sz w:val="32"/>
          <w:szCs w:val="32"/>
          <w:lang w:val="en-US" w:eastAsia="zh-CN"/>
        </w:rPr>
        <w:t>无法计算完成比例,</w:t>
      </w:r>
      <w:r>
        <w:rPr>
          <w:rFonts w:hint="eastAsia" w:ascii="仿宋" w:hAnsi="仿宋" w:eastAsia="仿宋" w:cs="仿宋"/>
          <w:color w:val="auto"/>
          <w:kern w:val="0"/>
          <w:sz w:val="32"/>
          <w:szCs w:val="32"/>
        </w:rPr>
        <w:t>决算数大于年初预算数的主要原因是：财政年度追加预算拨款下达人才资源开发专项“五溪智慧”柔性引进人才工作经费24万元及2021年引进人才补贴专项资金21.6万元。</w:t>
      </w:r>
    </w:p>
    <w:p>
      <w:pPr>
        <w:widowControl/>
        <w:shd w:val="clear" w:color="auto" w:fill="FFFFFF"/>
        <w:spacing w:after="63" w:line="376" w:lineRule="atLeas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2、一般公共服务支出（类）其他一般公共服务支出（款）其他一般公共服务支出（项）。该科目年初预算为0万元，支出决算为5.5万元，</w:t>
      </w:r>
      <w:r>
        <w:rPr>
          <w:rFonts w:hint="eastAsia" w:ascii="仿宋" w:hAnsi="仿宋" w:eastAsia="仿宋" w:cs="仿宋"/>
          <w:color w:val="auto"/>
          <w:sz w:val="32"/>
          <w:szCs w:val="32"/>
          <w:lang w:val="en-US" w:eastAsia="zh-CN"/>
        </w:rPr>
        <w:t>无法计算完成比例,</w:t>
      </w:r>
      <w:r>
        <w:rPr>
          <w:rFonts w:hint="eastAsia" w:ascii="仿宋" w:hAnsi="仿宋" w:eastAsia="仿宋" w:cs="仿宋"/>
          <w:color w:val="auto"/>
          <w:kern w:val="0"/>
          <w:sz w:val="32"/>
          <w:szCs w:val="32"/>
        </w:rPr>
        <w:t>决算数大于年初预算数的主要原因是：财政年度追加预算拨款一是疫情期间引进人才购房补贴拨款3.5万元；二是兰花协会创森活动经费2万元。</w:t>
      </w:r>
    </w:p>
    <w:p>
      <w:pPr>
        <w:widowControl/>
        <w:numPr>
          <w:ilvl w:val="0"/>
          <w:numId w:val="0"/>
        </w:numPr>
        <w:shd w:val="clear" w:color="auto" w:fill="FFFFFF"/>
        <w:spacing w:after="63" w:line="376" w:lineRule="atLeas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bidi="ar-SA"/>
        </w:rPr>
        <w:t>3、</w:t>
      </w:r>
      <w:r>
        <w:rPr>
          <w:rFonts w:hint="eastAsia" w:ascii="仿宋" w:hAnsi="仿宋" w:eastAsia="仿宋" w:cs="仿宋"/>
          <w:color w:val="auto"/>
          <w:kern w:val="0"/>
          <w:sz w:val="32"/>
          <w:szCs w:val="32"/>
        </w:rPr>
        <w:t>科学技术支出（类）技术研究与开发(款)其他科技术研究与开发支出（项）。该科目年初预算为0万元，支出决算为2.08万元，</w:t>
      </w:r>
      <w:r>
        <w:rPr>
          <w:rFonts w:hint="eastAsia" w:ascii="仿宋" w:hAnsi="仿宋" w:eastAsia="仿宋" w:cs="仿宋"/>
          <w:color w:val="auto"/>
          <w:sz w:val="32"/>
          <w:szCs w:val="32"/>
          <w:lang w:val="en-US" w:eastAsia="zh-CN"/>
        </w:rPr>
        <w:t>无法计算完成比例,</w:t>
      </w:r>
      <w:r>
        <w:rPr>
          <w:rFonts w:hint="eastAsia" w:ascii="仿宋" w:hAnsi="仿宋" w:eastAsia="仿宋" w:cs="仿宋"/>
          <w:color w:val="auto"/>
          <w:kern w:val="0"/>
          <w:sz w:val="32"/>
          <w:szCs w:val="32"/>
        </w:rPr>
        <w:t>决算数大于预算数的原因是财政年度追加预算拨款对我单位下达的教育预算基建项目专项资金。</w:t>
      </w:r>
    </w:p>
    <w:p>
      <w:pPr>
        <w:widowControl/>
        <w:numPr>
          <w:ilvl w:val="0"/>
          <w:numId w:val="0"/>
        </w:numPr>
        <w:shd w:val="clear" w:color="auto" w:fill="FFFFFF"/>
        <w:spacing w:after="63" w:line="376" w:lineRule="atLeas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bidi="ar-SA"/>
        </w:rPr>
        <w:t>4、</w:t>
      </w:r>
      <w:r>
        <w:rPr>
          <w:rFonts w:hint="eastAsia" w:ascii="仿宋" w:hAnsi="仿宋" w:eastAsia="仿宋" w:cs="仿宋"/>
          <w:color w:val="auto"/>
          <w:kern w:val="0"/>
          <w:sz w:val="32"/>
          <w:szCs w:val="32"/>
        </w:rPr>
        <w:t>科学技术支出（类）技术研究与开发(款)其他科学技术普及支出（项）。该科目年初预算为0万元，支出决算为321.78万元</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sz w:val="32"/>
          <w:szCs w:val="32"/>
          <w:lang w:val="en-US" w:eastAsia="zh-CN"/>
        </w:rPr>
        <w:t>无法计算完成比例,</w:t>
      </w:r>
      <w:r>
        <w:rPr>
          <w:rFonts w:hint="eastAsia" w:ascii="仿宋" w:hAnsi="仿宋" w:eastAsia="仿宋" w:cs="仿宋"/>
          <w:color w:val="auto"/>
          <w:kern w:val="0"/>
          <w:sz w:val="32"/>
          <w:szCs w:val="32"/>
        </w:rPr>
        <w:t>决算数大于预算数的原因是财政年度追加预算拨款下达科普馆建设项目增概配套的专项资金。</w:t>
      </w:r>
    </w:p>
    <w:p>
      <w:pPr>
        <w:widowControl/>
        <w:numPr>
          <w:ilvl w:val="0"/>
          <w:numId w:val="0"/>
        </w:numPr>
        <w:shd w:val="clear" w:color="auto" w:fill="FFFFFF"/>
        <w:spacing w:after="63" w:line="376" w:lineRule="atLeas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bidi="ar-SA"/>
        </w:rPr>
        <w:t>5、</w:t>
      </w:r>
      <w:r>
        <w:rPr>
          <w:rFonts w:hint="eastAsia" w:ascii="仿宋" w:hAnsi="仿宋" w:eastAsia="仿宋" w:cs="仿宋"/>
          <w:color w:val="auto"/>
          <w:kern w:val="0"/>
          <w:sz w:val="32"/>
          <w:szCs w:val="32"/>
        </w:rPr>
        <w:t>科学技术支出（类）技术研究与开发(款)其他科学技术支出（项）。该科目年初预算为0万元，支出决算为20.08万元</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sz w:val="32"/>
          <w:szCs w:val="32"/>
          <w:lang w:val="en-US" w:eastAsia="zh-CN"/>
        </w:rPr>
        <w:t>无法计算完成比例,</w:t>
      </w:r>
      <w:r>
        <w:rPr>
          <w:rFonts w:hint="eastAsia" w:ascii="仿宋" w:hAnsi="仿宋" w:eastAsia="仿宋" w:cs="仿宋"/>
          <w:color w:val="auto"/>
          <w:kern w:val="0"/>
          <w:sz w:val="32"/>
          <w:szCs w:val="32"/>
        </w:rPr>
        <w:t>决算数大于预算数的原因是使用上年度结转的财政拨款项目-引进人才补贴专项资金6.4万元及核桃选育科技推广项目资金13.68万元。</w:t>
      </w:r>
    </w:p>
    <w:p>
      <w:pPr>
        <w:widowControl/>
        <w:numPr>
          <w:ilvl w:val="0"/>
          <w:numId w:val="0"/>
        </w:numPr>
        <w:shd w:val="clear" w:color="auto" w:fill="FFFFFF"/>
        <w:spacing w:after="63" w:line="376" w:lineRule="atLeas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bidi="ar-SA"/>
        </w:rPr>
        <w:t>6、</w:t>
      </w:r>
      <w:r>
        <w:rPr>
          <w:rFonts w:hint="eastAsia" w:ascii="仿宋" w:hAnsi="仿宋" w:eastAsia="仿宋" w:cs="仿宋"/>
          <w:color w:val="auto"/>
          <w:kern w:val="0"/>
          <w:sz w:val="32"/>
          <w:szCs w:val="32"/>
        </w:rPr>
        <w:t>文化旅游体育与传媒支出（类）其他文化旅游体育与传媒支出（款）其他文化旅游体育与传媒支出（项）。该科目年初预算为0万元，支出决算为160.42万元</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sz w:val="32"/>
          <w:szCs w:val="32"/>
          <w:lang w:val="en-US" w:eastAsia="zh-CN"/>
        </w:rPr>
        <w:t>无法计算完成比例,</w:t>
      </w:r>
      <w:r>
        <w:rPr>
          <w:rFonts w:hint="eastAsia" w:ascii="仿宋" w:hAnsi="仿宋" w:eastAsia="仿宋" w:cs="仿宋"/>
          <w:color w:val="auto"/>
          <w:kern w:val="0"/>
          <w:sz w:val="32"/>
          <w:szCs w:val="32"/>
        </w:rPr>
        <w:t>决算数大于预算数的原因是按规定使用上年度项目结转决财政拨款项目-科普馆建设项目结转资金。</w:t>
      </w:r>
    </w:p>
    <w:p>
      <w:pPr>
        <w:widowControl/>
        <w:numPr>
          <w:ilvl w:val="0"/>
          <w:numId w:val="0"/>
        </w:numPr>
        <w:shd w:val="clear" w:color="auto" w:fill="FFFFFF"/>
        <w:spacing w:after="63" w:line="376" w:lineRule="atLeas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bidi="ar-SA"/>
        </w:rPr>
        <w:t>7、</w:t>
      </w:r>
      <w:r>
        <w:rPr>
          <w:rFonts w:hint="eastAsia" w:ascii="仿宋" w:hAnsi="仿宋" w:eastAsia="仿宋" w:cs="仿宋"/>
          <w:color w:val="auto"/>
          <w:kern w:val="0"/>
          <w:sz w:val="32"/>
          <w:szCs w:val="32"/>
        </w:rPr>
        <w:t>社会保障和就业支出（类）行政事业单位养老支出（款）机关事业单位养老保险缴费支出（项）。该科目年初预算为0万元，支出决算为142.47万元</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sz w:val="32"/>
          <w:szCs w:val="32"/>
          <w:lang w:val="en-US" w:eastAsia="zh-CN"/>
        </w:rPr>
        <w:t>无法计算完成比例,</w:t>
      </w:r>
      <w:r>
        <w:rPr>
          <w:rFonts w:hint="eastAsia" w:ascii="仿宋" w:hAnsi="仿宋" w:eastAsia="仿宋" w:cs="仿宋"/>
          <w:color w:val="auto"/>
          <w:kern w:val="0"/>
          <w:sz w:val="32"/>
          <w:szCs w:val="32"/>
        </w:rPr>
        <w:t>决算数大于预算数的原因是财政年度追加预算拨款下达在职人员基本养老保险费用。</w:t>
      </w:r>
    </w:p>
    <w:p>
      <w:pPr>
        <w:widowControl/>
        <w:numPr>
          <w:ilvl w:val="0"/>
          <w:numId w:val="0"/>
        </w:numPr>
        <w:shd w:val="clear" w:color="auto" w:fill="FFFFFF"/>
        <w:spacing w:after="63" w:line="376" w:lineRule="atLeas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bidi="ar-SA"/>
        </w:rPr>
        <w:t>8、</w:t>
      </w:r>
      <w:r>
        <w:rPr>
          <w:rFonts w:hint="eastAsia" w:ascii="仿宋" w:hAnsi="仿宋" w:eastAsia="仿宋" w:cs="仿宋"/>
          <w:color w:val="auto"/>
          <w:kern w:val="0"/>
          <w:sz w:val="32"/>
          <w:szCs w:val="32"/>
        </w:rPr>
        <w:t>社会保障和就业支出（类）行政事业单位养老支出（款）其他行政事业单位养老保险缴费支出（项）。该科目年初预算为0万元，支出决算为64.7万元</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sz w:val="32"/>
          <w:szCs w:val="32"/>
          <w:lang w:val="en-US" w:eastAsia="zh-CN"/>
        </w:rPr>
        <w:t>无法计算完成比例,</w:t>
      </w:r>
      <w:r>
        <w:rPr>
          <w:rFonts w:hint="eastAsia" w:ascii="仿宋" w:hAnsi="仿宋" w:eastAsia="仿宋" w:cs="仿宋"/>
          <w:color w:val="auto"/>
          <w:kern w:val="0"/>
          <w:sz w:val="32"/>
          <w:szCs w:val="32"/>
        </w:rPr>
        <w:t>决算数大于预算数的原因是财政年度追加预算拨款下达的退休人员一次性生活补助费用。</w:t>
      </w:r>
    </w:p>
    <w:p>
      <w:pPr>
        <w:widowControl/>
        <w:numPr>
          <w:ilvl w:val="0"/>
          <w:numId w:val="0"/>
        </w:numPr>
        <w:shd w:val="clear" w:color="auto" w:fill="FFFFFF"/>
        <w:spacing w:after="63" w:line="376" w:lineRule="atLeas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9、</w:t>
      </w:r>
      <w:r>
        <w:rPr>
          <w:rFonts w:hint="eastAsia" w:ascii="仿宋" w:hAnsi="仿宋" w:eastAsia="仿宋" w:cs="仿宋"/>
          <w:color w:val="auto"/>
          <w:kern w:val="0"/>
          <w:sz w:val="32"/>
          <w:szCs w:val="32"/>
        </w:rPr>
        <w:t>卫生健康支出（类）行政事业单位医疗(款)事业单位医疗（项）。该科目年初预算为0万元，支出决算为83.11万元</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sz w:val="32"/>
          <w:szCs w:val="32"/>
          <w:lang w:val="en-US" w:eastAsia="zh-CN"/>
        </w:rPr>
        <w:t>无法计算完成比例,</w:t>
      </w:r>
      <w:r>
        <w:rPr>
          <w:rFonts w:hint="eastAsia" w:ascii="仿宋" w:hAnsi="仿宋" w:eastAsia="仿宋" w:cs="仿宋"/>
          <w:color w:val="auto"/>
          <w:kern w:val="0"/>
          <w:sz w:val="32"/>
          <w:szCs w:val="32"/>
        </w:rPr>
        <w:t>决算数大于预算数的原因是财政年度追加预算拨款下达在职人员医疗保险费用。</w:t>
      </w:r>
    </w:p>
    <w:p>
      <w:pPr>
        <w:widowControl/>
        <w:numPr>
          <w:ilvl w:val="0"/>
          <w:numId w:val="0"/>
        </w:numPr>
        <w:shd w:val="clear" w:color="auto" w:fill="FFFFFF"/>
        <w:spacing w:after="63" w:line="376" w:lineRule="atLeas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10、</w:t>
      </w:r>
      <w:r>
        <w:rPr>
          <w:rFonts w:hint="eastAsia" w:ascii="仿宋" w:hAnsi="仿宋" w:eastAsia="仿宋" w:cs="仿宋"/>
          <w:color w:val="auto"/>
          <w:kern w:val="0"/>
          <w:sz w:val="32"/>
          <w:szCs w:val="32"/>
        </w:rPr>
        <w:t>节能环保支出（类）天然林保护（款）停伐补助（项）。</w:t>
      </w:r>
    </w:p>
    <w:p>
      <w:pPr>
        <w:widowControl/>
        <w:numPr>
          <w:ilvl w:val="0"/>
          <w:numId w:val="0"/>
        </w:numPr>
        <w:shd w:val="clear" w:color="auto" w:fill="FFFFFF"/>
        <w:spacing w:after="63" w:line="376" w:lineRule="atLeast"/>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该科目年初预算为0万元，支出决算为5.51万元</w:t>
      </w:r>
      <w:r>
        <w:rPr>
          <w:rFonts w:hint="eastAsia" w:ascii="仿宋" w:hAnsi="仿宋" w:eastAsia="仿宋" w:cs="仿宋"/>
          <w:color w:val="auto"/>
          <w:kern w:val="0"/>
          <w:sz w:val="32"/>
          <w:szCs w:val="32"/>
          <w:lang w:eastAsia="zh-CN"/>
        </w:rPr>
        <w:t>，</w:t>
      </w:r>
      <w:r>
        <w:rPr>
          <w:rFonts w:hint="eastAsia" w:ascii="仿宋" w:hAnsi="仿宋" w:eastAsia="仿宋" w:cs="仿宋"/>
          <w:color w:val="auto"/>
          <w:sz w:val="32"/>
          <w:szCs w:val="32"/>
          <w:lang w:val="en-US" w:eastAsia="zh-CN"/>
        </w:rPr>
        <w:t>无法计算完成比例,</w:t>
      </w:r>
      <w:r>
        <w:rPr>
          <w:rFonts w:hint="eastAsia" w:ascii="仿宋" w:hAnsi="仿宋" w:eastAsia="仿宋" w:cs="仿宋"/>
          <w:color w:val="auto"/>
          <w:kern w:val="0"/>
          <w:sz w:val="32"/>
          <w:szCs w:val="32"/>
        </w:rPr>
        <w:t>决算数大于预算数的原因是财政年度追加预算拨款下达中央财政天然林停伐补助专项资金。</w:t>
      </w:r>
    </w:p>
    <w:p>
      <w:pPr>
        <w:bidi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11、城乡社区支出（类）城乡社区环境卫生（款）城乡社区环境卫生（项）。</w:t>
      </w:r>
      <w:r>
        <w:rPr>
          <w:rFonts w:hint="eastAsia" w:ascii="仿宋" w:hAnsi="仿宋" w:eastAsia="仿宋" w:cs="仿宋"/>
          <w:color w:val="auto"/>
          <w:kern w:val="0"/>
          <w:sz w:val="32"/>
          <w:szCs w:val="32"/>
        </w:rPr>
        <w:t>该科目年初预算为0万元，支出决算为3.64万元</w:t>
      </w:r>
      <w:r>
        <w:rPr>
          <w:rFonts w:hint="eastAsia" w:ascii="仿宋" w:hAnsi="仿宋" w:eastAsia="仿宋" w:cs="仿宋"/>
          <w:color w:val="auto"/>
          <w:kern w:val="0"/>
          <w:sz w:val="32"/>
          <w:szCs w:val="32"/>
          <w:lang w:eastAsia="zh-CN"/>
        </w:rPr>
        <w:t>，</w:t>
      </w:r>
      <w:r>
        <w:rPr>
          <w:rFonts w:hint="eastAsia" w:ascii="仿宋" w:hAnsi="仿宋" w:eastAsia="仿宋" w:cs="仿宋"/>
          <w:color w:val="auto"/>
          <w:sz w:val="32"/>
          <w:szCs w:val="32"/>
          <w:lang w:val="en-US" w:eastAsia="zh-CN"/>
        </w:rPr>
        <w:t>无法计算完成比例,</w:t>
      </w:r>
      <w:r>
        <w:rPr>
          <w:rFonts w:hint="eastAsia" w:ascii="仿宋" w:hAnsi="仿宋" w:eastAsia="仿宋" w:cs="仿宋"/>
          <w:color w:val="auto"/>
          <w:kern w:val="0"/>
          <w:sz w:val="32"/>
          <w:szCs w:val="32"/>
        </w:rPr>
        <w:t>决算数大于预算数的原因是按规定使用上年度财政拨款项目结转资金-公园环境卫生维护资金。</w:t>
      </w:r>
    </w:p>
    <w:p>
      <w:pPr>
        <w:widowControl/>
        <w:numPr>
          <w:ilvl w:val="0"/>
          <w:numId w:val="0"/>
        </w:numPr>
        <w:shd w:val="clear" w:color="auto" w:fill="FFFFFF"/>
        <w:spacing w:after="63" w:line="376" w:lineRule="atLeas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bidi="ar-SA"/>
        </w:rPr>
        <w:t>12、</w:t>
      </w:r>
      <w:r>
        <w:rPr>
          <w:rFonts w:hint="eastAsia" w:ascii="仿宋" w:hAnsi="仿宋" w:eastAsia="仿宋" w:cs="仿宋"/>
          <w:color w:val="auto"/>
          <w:kern w:val="0"/>
          <w:sz w:val="32"/>
          <w:szCs w:val="32"/>
        </w:rPr>
        <w:t>农林水支出（类）农业农村（款）农垦运行（项）。该科目年初预算为0万元，支出决算为6.33万元</w:t>
      </w:r>
      <w:r>
        <w:rPr>
          <w:rFonts w:hint="eastAsia" w:ascii="仿宋" w:hAnsi="仿宋" w:eastAsia="仿宋" w:cs="仿宋"/>
          <w:color w:val="auto"/>
          <w:kern w:val="0"/>
          <w:sz w:val="32"/>
          <w:szCs w:val="32"/>
          <w:lang w:eastAsia="zh-CN"/>
        </w:rPr>
        <w:t>，</w:t>
      </w:r>
      <w:r>
        <w:rPr>
          <w:rFonts w:hint="eastAsia" w:ascii="仿宋" w:hAnsi="仿宋" w:eastAsia="仿宋" w:cs="仿宋"/>
          <w:color w:val="auto"/>
          <w:sz w:val="32"/>
          <w:szCs w:val="32"/>
          <w:lang w:val="en-US" w:eastAsia="zh-CN"/>
        </w:rPr>
        <w:t>无法计算完成比例,</w:t>
      </w:r>
      <w:r>
        <w:rPr>
          <w:rFonts w:hint="eastAsia" w:ascii="仿宋" w:hAnsi="仿宋" w:eastAsia="仿宋" w:cs="仿宋"/>
          <w:color w:val="auto"/>
          <w:kern w:val="0"/>
          <w:sz w:val="32"/>
          <w:szCs w:val="32"/>
        </w:rPr>
        <w:t>决算数大于预算数的原因是财政年度追加预算拨款下达的林草种苗繁育资金。</w:t>
      </w:r>
    </w:p>
    <w:p>
      <w:pPr>
        <w:widowControl/>
        <w:numPr>
          <w:ilvl w:val="0"/>
          <w:numId w:val="0"/>
        </w:numPr>
        <w:shd w:val="clear" w:color="auto" w:fill="FFFFFF"/>
        <w:spacing w:after="63" w:line="376" w:lineRule="atLeas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bidi="ar-SA"/>
        </w:rPr>
        <w:t>13、</w:t>
      </w:r>
      <w:r>
        <w:rPr>
          <w:rFonts w:hint="eastAsia" w:ascii="仿宋" w:hAnsi="仿宋" w:eastAsia="仿宋" w:cs="仿宋"/>
          <w:color w:val="auto"/>
          <w:kern w:val="0"/>
          <w:sz w:val="32"/>
          <w:szCs w:val="32"/>
        </w:rPr>
        <w:t>农林水支出（类）林业和草原（款）一般行政管理事务（项）。该科目年初预算数为1.66万元，支出决算数为8.12万元，完成年初预算数的489.16%，决算数大于预算数的原因是支付年初预算遗属生活困难补助1.66万元及追加当年非税专户收入拨款6.46万元。</w:t>
      </w:r>
    </w:p>
    <w:p>
      <w:pPr>
        <w:widowControl/>
        <w:shd w:val="clear" w:color="auto" w:fill="FFFFFF"/>
        <w:spacing w:line="240" w:lineRule="auto"/>
        <w:ind w:firstLine="640" w:firstLineChars="200"/>
        <w:jc w:val="both"/>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14、农林水支出（类）林业和草原（款）事业机构（项）。</w:t>
      </w:r>
      <w:r>
        <w:rPr>
          <w:rFonts w:hint="eastAsia" w:ascii="仿宋" w:hAnsi="仿宋" w:eastAsia="仿宋" w:cs="仿宋"/>
          <w:color w:val="auto"/>
          <w:kern w:val="0"/>
          <w:sz w:val="32"/>
          <w:szCs w:val="32"/>
          <w:lang w:val="en-US" w:eastAsia="zh-CN"/>
        </w:rPr>
        <w:t>该</w:t>
      </w:r>
      <w:r>
        <w:rPr>
          <w:rFonts w:hint="eastAsia" w:ascii="仿宋" w:hAnsi="仿宋" w:eastAsia="仿宋" w:cs="仿宋"/>
          <w:color w:val="auto"/>
          <w:kern w:val="0"/>
          <w:sz w:val="32"/>
          <w:szCs w:val="32"/>
        </w:rPr>
        <w:t>科目年初预算为</w:t>
      </w:r>
      <w:r>
        <w:rPr>
          <w:rFonts w:hint="eastAsia" w:ascii="仿宋" w:hAnsi="仿宋" w:eastAsia="仿宋" w:cs="仿宋"/>
          <w:color w:val="auto"/>
          <w:kern w:val="0"/>
          <w:sz w:val="32"/>
          <w:szCs w:val="32"/>
          <w:lang w:eastAsia="zh-CN"/>
        </w:rPr>
        <w:t>1,126.</w:t>
      </w:r>
      <w:r>
        <w:rPr>
          <w:rFonts w:hint="eastAsia" w:ascii="仿宋" w:hAnsi="仿宋" w:eastAsia="仿宋" w:cs="仿宋"/>
          <w:color w:val="auto"/>
          <w:kern w:val="0"/>
          <w:sz w:val="32"/>
          <w:szCs w:val="32"/>
        </w:rPr>
        <w:t>54万元，支出决算为</w:t>
      </w:r>
      <w:r>
        <w:rPr>
          <w:rFonts w:hint="eastAsia" w:ascii="仿宋" w:hAnsi="仿宋" w:eastAsia="仿宋" w:cs="仿宋"/>
          <w:color w:val="auto"/>
          <w:kern w:val="0"/>
          <w:sz w:val="32"/>
          <w:szCs w:val="32"/>
          <w:lang w:eastAsia="zh-CN"/>
        </w:rPr>
        <w:t>1,325.</w:t>
      </w:r>
      <w:r>
        <w:rPr>
          <w:rFonts w:hint="eastAsia" w:ascii="仿宋" w:hAnsi="仿宋" w:eastAsia="仿宋" w:cs="仿宋"/>
          <w:color w:val="auto"/>
          <w:kern w:val="0"/>
          <w:sz w:val="32"/>
          <w:szCs w:val="32"/>
        </w:rPr>
        <w:t>12万元，完成年初预算数的117.63%，决算数大于预算数的原因市财政追加的事业机构人员正常工资调级晋升增资经费及综合治理奖。</w:t>
      </w:r>
    </w:p>
    <w:p>
      <w:pPr>
        <w:widowControl/>
        <w:shd w:val="clear" w:color="auto" w:fill="FFFFFF"/>
        <w:spacing w:after="63" w:line="376" w:lineRule="atLeas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15、农林水支出（类）林业和草原（款）森林资源培育（项）。该科目年初预算数为0万元，支出决算数为87.99万元</w:t>
      </w:r>
      <w:r>
        <w:rPr>
          <w:rFonts w:hint="eastAsia" w:ascii="仿宋" w:hAnsi="仿宋" w:eastAsia="仿宋" w:cs="仿宋"/>
          <w:color w:val="auto"/>
          <w:kern w:val="0"/>
          <w:sz w:val="32"/>
          <w:szCs w:val="32"/>
          <w:lang w:eastAsia="zh-CN"/>
        </w:rPr>
        <w:t>，</w:t>
      </w:r>
      <w:r>
        <w:rPr>
          <w:rFonts w:hint="eastAsia" w:ascii="仿宋" w:hAnsi="仿宋" w:eastAsia="仿宋" w:cs="仿宋"/>
          <w:color w:val="auto"/>
          <w:sz w:val="32"/>
          <w:szCs w:val="32"/>
          <w:lang w:val="en-US" w:eastAsia="zh-CN"/>
        </w:rPr>
        <w:t>无法计算完成比例,</w:t>
      </w:r>
      <w:r>
        <w:rPr>
          <w:rFonts w:hint="eastAsia" w:ascii="仿宋" w:hAnsi="仿宋" w:eastAsia="仿宋" w:cs="仿宋"/>
          <w:color w:val="auto"/>
          <w:kern w:val="0"/>
          <w:sz w:val="32"/>
          <w:szCs w:val="32"/>
        </w:rPr>
        <w:t>决算数大于预算数的原因是财政年度追加预算拨款支付的造林补贴和森林抚育资金7.96万元，使用上年度财政拨款结转-大花红山茶园改扩建项目72万元及森林生态效益补偿资金8.03万元。</w:t>
      </w:r>
    </w:p>
    <w:p>
      <w:pPr>
        <w:widowControl/>
        <w:shd w:val="clear" w:color="auto" w:fill="FFFFFF"/>
        <w:spacing w:after="63" w:line="376" w:lineRule="atLeast"/>
        <w:ind w:firstLine="8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16、农林水支出（类）林业和草原（款）技术推广与转化（项）。</w:t>
      </w:r>
      <w:r>
        <w:rPr>
          <w:rFonts w:hint="eastAsia" w:ascii="仿宋" w:hAnsi="仿宋" w:eastAsia="仿宋" w:cs="仿宋"/>
          <w:color w:val="auto"/>
          <w:kern w:val="0"/>
          <w:sz w:val="32"/>
          <w:szCs w:val="32"/>
          <w:lang w:val="en-US" w:eastAsia="zh-CN"/>
        </w:rPr>
        <w:t>该</w:t>
      </w:r>
      <w:r>
        <w:rPr>
          <w:rFonts w:hint="eastAsia" w:ascii="仿宋" w:hAnsi="仿宋" w:eastAsia="仿宋" w:cs="仿宋"/>
          <w:color w:val="auto"/>
          <w:kern w:val="0"/>
          <w:sz w:val="32"/>
          <w:szCs w:val="32"/>
        </w:rPr>
        <w:t>科目年初预算为0万元，支出决算为13.4万元</w:t>
      </w:r>
      <w:r>
        <w:rPr>
          <w:rFonts w:hint="eastAsia" w:ascii="仿宋" w:hAnsi="仿宋" w:eastAsia="仿宋" w:cs="仿宋"/>
          <w:color w:val="auto"/>
          <w:kern w:val="0"/>
          <w:sz w:val="32"/>
          <w:szCs w:val="32"/>
          <w:lang w:eastAsia="zh-CN"/>
        </w:rPr>
        <w:t>，</w:t>
      </w:r>
      <w:r>
        <w:rPr>
          <w:rFonts w:hint="eastAsia" w:ascii="仿宋" w:hAnsi="仿宋" w:eastAsia="仿宋" w:cs="仿宋"/>
          <w:color w:val="auto"/>
          <w:sz w:val="32"/>
          <w:szCs w:val="32"/>
          <w:lang w:val="en-US" w:eastAsia="zh-CN"/>
        </w:rPr>
        <w:t>无法计算完成比例,</w:t>
      </w:r>
      <w:r>
        <w:rPr>
          <w:rFonts w:hint="eastAsia" w:ascii="仿宋" w:hAnsi="仿宋" w:eastAsia="仿宋" w:cs="仿宋"/>
          <w:color w:val="auto"/>
          <w:kern w:val="0"/>
          <w:sz w:val="32"/>
          <w:szCs w:val="32"/>
        </w:rPr>
        <w:t>一是根据工作需要财政年中追加了黄精下仿野生栽培10万元；二是支出上年度科技推广项目财政拨款结转3.4万元。</w:t>
      </w:r>
    </w:p>
    <w:p>
      <w:pPr>
        <w:widowControl/>
        <w:shd w:val="clear" w:color="auto" w:fill="FFFFFF"/>
        <w:spacing w:after="63" w:line="376" w:lineRule="atLeast"/>
        <w:ind w:firstLine="8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w:t>
      </w:r>
      <w:r>
        <w:rPr>
          <w:rFonts w:hint="eastAsia" w:ascii="仿宋" w:hAnsi="仿宋" w:eastAsia="仿宋" w:cs="仿宋"/>
          <w:color w:val="auto"/>
          <w:kern w:val="0"/>
          <w:sz w:val="32"/>
          <w:szCs w:val="32"/>
          <w:lang w:val="en-US" w:eastAsia="zh-CN"/>
        </w:rPr>
        <w:t>7</w:t>
      </w:r>
      <w:r>
        <w:rPr>
          <w:rFonts w:hint="eastAsia" w:ascii="仿宋" w:hAnsi="仿宋" w:eastAsia="仿宋" w:cs="仿宋"/>
          <w:color w:val="auto"/>
          <w:kern w:val="0"/>
          <w:sz w:val="32"/>
          <w:szCs w:val="32"/>
        </w:rPr>
        <w:t>、农林水支出（类）林业和草原（款）动植物保护（项）。该科目年初预算数为0万元，支出决算为3.2万元</w:t>
      </w:r>
      <w:r>
        <w:rPr>
          <w:rFonts w:hint="eastAsia" w:ascii="仿宋" w:hAnsi="仿宋" w:eastAsia="仿宋" w:cs="仿宋"/>
          <w:color w:val="auto"/>
          <w:kern w:val="0"/>
          <w:sz w:val="32"/>
          <w:szCs w:val="32"/>
          <w:lang w:eastAsia="zh-CN"/>
        </w:rPr>
        <w:t>，</w:t>
      </w:r>
      <w:r>
        <w:rPr>
          <w:rFonts w:hint="eastAsia" w:ascii="仿宋" w:hAnsi="仿宋" w:eastAsia="仿宋" w:cs="仿宋"/>
          <w:color w:val="auto"/>
          <w:sz w:val="32"/>
          <w:szCs w:val="32"/>
          <w:lang w:val="en-US" w:eastAsia="zh-CN"/>
        </w:rPr>
        <w:t>无法计算完成比例,</w:t>
      </w:r>
      <w:r>
        <w:rPr>
          <w:rFonts w:hint="eastAsia" w:ascii="仿宋" w:hAnsi="仿宋" w:eastAsia="仿宋" w:cs="仿宋"/>
          <w:color w:val="auto"/>
          <w:kern w:val="0"/>
          <w:sz w:val="32"/>
          <w:szCs w:val="32"/>
        </w:rPr>
        <w:t>决算数大于预算数的原因是使用了上年度财政拨款结转-野生动植物保护救助站维护资金。</w:t>
      </w:r>
    </w:p>
    <w:p>
      <w:pPr>
        <w:widowControl/>
        <w:shd w:val="clear" w:color="auto" w:fill="FFFFFF"/>
        <w:spacing w:after="63" w:line="376" w:lineRule="atLeast"/>
        <w:ind w:firstLine="8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w:t>
      </w:r>
      <w:r>
        <w:rPr>
          <w:rFonts w:hint="eastAsia" w:ascii="仿宋" w:hAnsi="仿宋" w:eastAsia="仿宋" w:cs="仿宋"/>
          <w:color w:val="auto"/>
          <w:kern w:val="0"/>
          <w:sz w:val="32"/>
          <w:szCs w:val="32"/>
          <w:lang w:val="en-US" w:eastAsia="zh-CN"/>
        </w:rPr>
        <w:t>8</w:t>
      </w:r>
      <w:r>
        <w:rPr>
          <w:rFonts w:hint="eastAsia" w:ascii="仿宋" w:hAnsi="仿宋" w:eastAsia="仿宋" w:cs="仿宋"/>
          <w:color w:val="auto"/>
          <w:kern w:val="0"/>
          <w:sz w:val="32"/>
          <w:szCs w:val="32"/>
        </w:rPr>
        <w:t>、农林水支出（类）林业和草原（款）森林生态效益补偿（项）。该科目年初预算数为0万元，支出决算为28.07万元，</w:t>
      </w:r>
      <w:r>
        <w:rPr>
          <w:rFonts w:hint="eastAsia" w:ascii="仿宋" w:hAnsi="仿宋" w:eastAsia="仿宋" w:cs="仿宋"/>
          <w:color w:val="auto"/>
          <w:sz w:val="32"/>
          <w:szCs w:val="32"/>
          <w:lang w:val="en-US" w:eastAsia="zh-CN"/>
        </w:rPr>
        <w:t>无法计算完成比例,</w:t>
      </w:r>
      <w:r>
        <w:rPr>
          <w:rFonts w:hint="eastAsia" w:ascii="仿宋" w:hAnsi="仿宋" w:eastAsia="仿宋" w:cs="仿宋"/>
          <w:color w:val="auto"/>
          <w:kern w:val="0"/>
          <w:sz w:val="32"/>
          <w:szCs w:val="32"/>
        </w:rPr>
        <w:t>决算数大于预算数的原因是使用了上年度财政拨款结转资金及本年度财政追加预算拨款中央及省级森林生态效益补偿资金。</w:t>
      </w:r>
    </w:p>
    <w:p>
      <w:pPr>
        <w:widowControl/>
        <w:shd w:val="clear" w:color="auto" w:fill="FFFFFF"/>
        <w:spacing w:after="63" w:line="376" w:lineRule="atLeast"/>
        <w:ind w:firstLine="8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19</w:t>
      </w:r>
      <w:r>
        <w:rPr>
          <w:rFonts w:hint="eastAsia" w:ascii="仿宋" w:hAnsi="仿宋" w:eastAsia="仿宋" w:cs="仿宋"/>
          <w:color w:val="auto"/>
          <w:kern w:val="0"/>
          <w:sz w:val="32"/>
          <w:szCs w:val="32"/>
        </w:rPr>
        <w:t>、农林水支出（类）林业和草原（款）其他林业和草原支出（项）该科目年初预算数为409.2万元，支出决算为377.08万元。预算数大于决算数的原因是因为部分联营林面积存在纠纷未处理，本年还有部分财政专项资金-联营林租赁与分成款尚未完全支付。</w:t>
      </w:r>
    </w:p>
    <w:p>
      <w:pPr>
        <w:widowControl/>
        <w:shd w:val="clear" w:color="auto" w:fill="FFFFFF"/>
        <w:spacing w:after="63" w:line="376" w:lineRule="atLeast"/>
        <w:ind w:firstLine="8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rPr>
        <w:t>、自然资源海洋气象等支出（类）自然资源事务（款）行政运行（项）。该科目年初预算数为0万元，支出决算为272.83万元，</w:t>
      </w:r>
      <w:r>
        <w:rPr>
          <w:rFonts w:hint="eastAsia" w:ascii="仿宋" w:hAnsi="仿宋" w:eastAsia="仿宋" w:cs="仿宋"/>
          <w:color w:val="auto"/>
          <w:sz w:val="32"/>
          <w:szCs w:val="32"/>
          <w:lang w:val="en-US" w:eastAsia="zh-CN"/>
        </w:rPr>
        <w:t>无法计算完成比例,</w:t>
      </w:r>
      <w:r>
        <w:rPr>
          <w:rFonts w:hint="eastAsia" w:ascii="仿宋" w:hAnsi="仿宋" w:eastAsia="仿宋" w:cs="仿宋"/>
          <w:color w:val="auto"/>
          <w:kern w:val="0"/>
          <w:sz w:val="32"/>
          <w:szCs w:val="32"/>
        </w:rPr>
        <w:t>决算数大于预算数的原因是财政追加下达了在编在职人员2020年度绩效考核评估奖励经费。</w:t>
      </w:r>
    </w:p>
    <w:p>
      <w:pPr>
        <w:widowControl/>
        <w:shd w:val="clear" w:color="auto" w:fill="FFFFFF"/>
        <w:spacing w:after="63" w:line="376" w:lineRule="atLeast"/>
        <w:ind w:firstLine="8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、灾害防治及应急管理支出（类）应急管理事务（款）其他应急管理支出(项)。该科目年初预算数为0万元，支出决算为16万元，</w:t>
      </w:r>
      <w:r>
        <w:rPr>
          <w:rFonts w:hint="eastAsia" w:ascii="仿宋" w:hAnsi="仿宋" w:eastAsia="仿宋" w:cs="仿宋"/>
          <w:color w:val="auto"/>
          <w:sz w:val="32"/>
          <w:szCs w:val="32"/>
          <w:lang w:val="en-US" w:eastAsia="zh-CN"/>
        </w:rPr>
        <w:t>无法计算完成比例,</w:t>
      </w:r>
      <w:r>
        <w:rPr>
          <w:rFonts w:hint="eastAsia" w:ascii="仿宋" w:hAnsi="仿宋" w:eastAsia="仿宋" w:cs="仿宋"/>
          <w:color w:val="auto"/>
          <w:kern w:val="0"/>
          <w:sz w:val="32"/>
          <w:szCs w:val="32"/>
        </w:rPr>
        <w:t>决算数大于预算数的原因是因为工作需要，财政追加应急救灾专项经费。</w:t>
      </w:r>
    </w:p>
    <w:p>
      <w:pPr>
        <w:widowControl/>
        <w:shd w:val="clear" w:color="auto" w:fill="FFFFFF"/>
        <w:spacing w:after="63" w:line="376" w:lineRule="atLeast"/>
        <w:ind w:firstLine="643" w:firstLineChars="200"/>
        <w:jc w:val="left"/>
        <w:rPr>
          <w:rFonts w:hint="eastAsia" w:ascii="黑体" w:hAnsi="黑体" w:eastAsia="黑体" w:cs="黑体"/>
          <w:color w:val="auto"/>
          <w:kern w:val="0"/>
          <w:sz w:val="32"/>
          <w:szCs w:val="32"/>
        </w:rPr>
      </w:pPr>
      <w:r>
        <w:rPr>
          <w:rFonts w:hint="eastAsia" w:ascii="黑体" w:hAnsi="黑体" w:eastAsia="黑体" w:cs="黑体"/>
          <w:b/>
          <w:bCs/>
          <w:color w:val="auto"/>
          <w:kern w:val="0"/>
          <w:sz w:val="32"/>
          <w:szCs w:val="32"/>
        </w:rPr>
        <w:t>六、一般公共预算财政拨款基本支出决算情况说明</w:t>
      </w:r>
    </w:p>
    <w:p>
      <w:pPr>
        <w:widowControl/>
        <w:shd w:val="clear" w:color="auto" w:fill="FFFFFF"/>
        <w:spacing w:after="63" w:line="376" w:lineRule="atLeast"/>
        <w:ind w:firstLine="64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2021年度财政拨款基本支出</w:t>
      </w:r>
      <w:r>
        <w:rPr>
          <w:rFonts w:hint="eastAsia" w:ascii="仿宋" w:hAnsi="仿宋" w:eastAsia="仿宋" w:cs="仿宋"/>
          <w:color w:val="auto"/>
          <w:kern w:val="0"/>
          <w:sz w:val="32"/>
          <w:szCs w:val="32"/>
          <w:lang w:eastAsia="zh-CN"/>
        </w:rPr>
        <w:t>1,730.</w:t>
      </w:r>
      <w:r>
        <w:rPr>
          <w:rFonts w:hint="eastAsia" w:ascii="仿宋" w:hAnsi="仿宋" w:eastAsia="仿宋" w:cs="仿宋"/>
          <w:color w:val="auto"/>
          <w:kern w:val="0"/>
          <w:sz w:val="32"/>
          <w:szCs w:val="32"/>
        </w:rPr>
        <w:t>48万元，其中：人员经费</w:t>
      </w:r>
      <w:r>
        <w:rPr>
          <w:rFonts w:hint="eastAsia" w:ascii="仿宋" w:hAnsi="仿宋" w:eastAsia="仿宋" w:cs="仿宋"/>
          <w:color w:val="auto"/>
          <w:kern w:val="0"/>
          <w:sz w:val="32"/>
          <w:szCs w:val="32"/>
          <w:lang w:eastAsia="zh-CN"/>
        </w:rPr>
        <w:t>1,511.</w:t>
      </w:r>
      <w:r>
        <w:rPr>
          <w:rFonts w:hint="eastAsia" w:ascii="仿宋" w:hAnsi="仿宋" w:eastAsia="仿宋" w:cs="仿宋"/>
          <w:color w:val="auto"/>
          <w:kern w:val="0"/>
          <w:sz w:val="32"/>
          <w:szCs w:val="32"/>
        </w:rPr>
        <w:t>75万元，占基本支出的87.36%,主要包括基本工资、津贴补贴、奖金、绩效工资、机关事业单位养老保险费、职业年金缴费、职工基本医疗补助缴费、其他社会保障缴费、住房公积金、离休费、抚恤金、奖励金、其他对个人和家庭的补助；公用经费218.73万元，占基本支出的12.64%，主要包括办公费、印刷费、咨询费、手续费、水电费、邮电费、差旅费、维修（护）费、租赁费、培训费、公务接待费、劳务费、工会经费、福利费、公务用车运行维护费、其他交通费用、税金及附加费用、其他商品和服务支出、办公设备购置、专用设备购置、信息网络及软件购置更新。</w:t>
      </w:r>
    </w:p>
    <w:p>
      <w:pPr>
        <w:widowControl/>
        <w:shd w:val="clear" w:color="auto" w:fill="FFFFFF"/>
        <w:spacing w:after="63" w:line="376" w:lineRule="atLeast"/>
        <w:ind w:firstLine="643" w:firstLineChars="200"/>
        <w:jc w:val="left"/>
        <w:rPr>
          <w:rFonts w:hint="eastAsia" w:ascii="黑体" w:hAnsi="黑体" w:eastAsia="黑体" w:cs="黑体"/>
          <w:color w:val="auto"/>
          <w:kern w:val="0"/>
          <w:sz w:val="32"/>
          <w:szCs w:val="32"/>
        </w:rPr>
      </w:pPr>
      <w:r>
        <w:rPr>
          <w:rFonts w:hint="eastAsia" w:ascii="黑体" w:hAnsi="黑体" w:eastAsia="黑体" w:cs="黑体"/>
          <w:b/>
          <w:bCs/>
          <w:color w:val="auto"/>
          <w:kern w:val="0"/>
          <w:sz w:val="32"/>
          <w:szCs w:val="32"/>
        </w:rPr>
        <w:t>七、一般公共预算财政拨款“三公”经费支出决算情况说明</w:t>
      </w:r>
    </w:p>
    <w:p>
      <w:pPr>
        <w:widowControl/>
        <w:shd w:val="clear" w:color="auto" w:fill="FFFFFF"/>
        <w:spacing w:after="63" w:line="376" w:lineRule="atLeast"/>
        <w:ind w:firstLine="643" w:firstLineChars="200"/>
        <w:jc w:val="left"/>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（一）“三公”经费财政拨款支出决算总体情况说明</w:t>
      </w:r>
    </w:p>
    <w:p>
      <w:pPr>
        <w:widowControl/>
        <w:shd w:val="clear" w:color="auto" w:fill="FFFFFF"/>
        <w:spacing w:after="63" w:line="376" w:lineRule="atLeast"/>
        <w:ind w:firstLine="8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2021年度“三公”经费财政拨款支出预算为31.5万元，支出决算为14.8万元，完成预算的46.98%，其中：</w:t>
      </w:r>
    </w:p>
    <w:p>
      <w:pPr>
        <w:widowControl/>
        <w:shd w:val="clear" w:color="auto" w:fill="FFFFFF"/>
        <w:spacing w:after="63" w:line="376" w:lineRule="atLeast"/>
        <w:ind w:firstLine="8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因公出国（境）费支出预算为0万元，支出决算为0万元。与上年相同，无因公出国（境）费</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sz w:val="32"/>
          <w:szCs w:val="32"/>
          <w:lang w:eastAsia="zh-CN"/>
        </w:rPr>
        <w:t>决算数与年初预算数持平，主要原因按预算执行，与上年数持平，主要原因本年度未安排因公出国(境)。</w:t>
      </w:r>
    </w:p>
    <w:p>
      <w:pPr>
        <w:widowControl/>
        <w:shd w:val="clear" w:color="auto" w:fill="FFFFFF"/>
        <w:spacing w:after="63" w:line="376" w:lineRule="atLeast"/>
        <w:ind w:firstLine="8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公务接待费支出预算为6.3万元，支出决算为1.98万元，完成预算的31.43%，决算数小于预算数的主要原因是我单位例行节约，减少不必要的公务接待。与上年相比增加了0.66万元，增长50%,增长的主要原因是公务接待实际次数有增加。</w:t>
      </w:r>
    </w:p>
    <w:p>
      <w:pPr>
        <w:pStyle w:val="16"/>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公务用车购置费支出预算为0万元，支出决算为0万元，预算数与决算数相同。与去年相比预算数与决算数不变</w:t>
      </w:r>
      <w:r>
        <w:rPr>
          <w:rFonts w:hint="eastAsia" w:ascii="仿宋" w:hAnsi="仿宋" w:eastAsia="仿宋" w:cs="仿宋"/>
          <w:color w:val="auto"/>
          <w:kern w:val="0"/>
          <w:sz w:val="32"/>
          <w:szCs w:val="32"/>
          <w:lang w:eastAsia="zh-CN"/>
        </w:rPr>
        <w:t>，</w:t>
      </w:r>
      <w:r>
        <w:rPr>
          <w:rFonts w:hint="eastAsia" w:ascii="仿宋" w:hAnsi="仿宋" w:eastAsia="仿宋" w:cs="仿宋"/>
          <w:color w:val="auto"/>
          <w:sz w:val="32"/>
          <w:szCs w:val="32"/>
        </w:rPr>
        <w:t>决算数与年初预算数持平主要原因按预算执行，与上年数持平，主要原因是厉行节约，减少</w:t>
      </w:r>
      <w:r>
        <w:rPr>
          <w:rFonts w:hint="eastAsia" w:ascii="仿宋" w:hAnsi="仿宋" w:eastAsia="仿宋" w:cs="仿宋"/>
          <w:color w:val="auto"/>
          <w:sz w:val="32"/>
          <w:szCs w:val="32"/>
          <w:lang w:val="en-US" w:eastAsia="zh-CN"/>
        </w:rPr>
        <w:t>开支。</w:t>
      </w:r>
    </w:p>
    <w:p>
      <w:pPr>
        <w:widowControl/>
        <w:shd w:val="clear" w:color="auto" w:fill="FFFFFF"/>
        <w:spacing w:after="63" w:line="376" w:lineRule="atLeast"/>
        <w:ind w:firstLine="64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公务用车运行维护费支出预算为25.2万元，支出决算为12.82万元，完成预算的50.87%，决算数小于预算数的主要原因是单位严格遵守公车管理办法，与上年相比减少1.3万元，减少9.19%,减少的主要原因是单位秉承例行节约原则，严格遵守公车管理办法。</w:t>
      </w:r>
    </w:p>
    <w:p>
      <w:pPr>
        <w:widowControl/>
        <w:shd w:val="clear" w:color="auto" w:fill="FFFFFF"/>
        <w:spacing w:after="63" w:line="376" w:lineRule="atLeast"/>
        <w:ind w:firstLine="643" w:firstLineChars="200"/>
        <w:jc w:val="left"/>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（二）“三公”经费财政拨款支出决算具体情况说明</w:t>
      </w:r>
    </w:p>
    <w:p>
      <w:pPr>
        <w:widowControl/>
        <w:shd w:val="clear" w:color="auto" w:fill="FFFFFF"/>
        <w:spacing w:after="63" w:line="376" w:lineRule="atLeast"/>
        <w:ind w:firstLine="64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2021年度“三公”经费财政拨款支出决算中，公务接待费支出决算1.98万元，占13.38%,因公出国（境）费支出决算0万元，占0%,公务用车购置费及运行维护费支出决算12.82万元，占86.62%。其中：</w:t>
      </w:r>
    </w:p>
    <w:p>
      <w:pPr>
        <w:widowControl/>
        <w:shd w:val="clear" w:color="auto" w:fill="FFFFFF"/>
        <w:spacing w:after="63" w:line="376" w:lineRule="atLeast"/>
        <w:ind w:firstLine="64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1、因公出国（境）费支出决算为0万元，全年安排因公出国（境）团组0个，累计0人次。</w:t>
      </w:r>
    </w:p>
    <w:p>
      <w:pPr>
        <w:widowControl/>
        <w:shd w:val="clear" w:color="auto" w:fill="FFFFFF"/>
        <w:spacing w:after="63" w:line="376" w:lineRule="atLeas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2、公务接待费支出决算为1.98万元，全年共接待来访团组27个，来宾218人次，主要是接待科研专家团队调研发生的接待支出。</w:t>
      </w:r>
    </w:p>
    <w:p>
      <w:pPr>
        <w:widowControl/>
        <w:shd w:val="clear" w:color="auto" w:fill="FFFFFF"/>
        <w:spacing w:after="63" w:line="376" w:lineRule="atLeas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3、公务用车购置费及运行维护费支出决算为12.82万元，其中：公务用车购置费0万元，公务用车运行维护费12.82万元，主要是车辆维修费、车辆油料费、车辆油料</w:t>
      </w:r>
      <w:bookmarkStart w:id="0" w:name="_GoBack"/>
      <w:bookmarkEnd w:id="0"/>
      <w:r>
        <w:rPr>
          <w:rFonts w:hint="eastAsia" w:ascii="仿宋" w:hAnsi="仿宋" w:eastAsia="仿宋" w:cs="仿宋"/>
          <w:color w:val="auto"/>
          <w:kern w:val="0"/>
          <w:sz w:val="32"/>
          <w:szCs w:val="32"/>
        </w:rPr>
        <w:t>费、车辆保险费支出，截至2021年12月31日，我单位开支财政拨款的公务用车保有量为9辆，其中一般公务用车1辆，森林防火用车1辆，园内设施维护用车1辆，园内垃圾清运用车1辆，洒水车1辆，柴油观光车4辆。</w:t>
      </w:r>
    </w:p>
    <w:p>
      <w:pPr>
        <w:widowControl/>
        <w:shd w:val="clear" w:color="auto" w:fill="FFFFFF"/>
        <w:spacing w:after="63" w:line="376" w:lineRule="atLeast"/>
        <w:ind w:firstLine="643" w:firstLineChars="200"/>
        <w:jc w:val="left"/>
        <w:rPr>
          <w:rFonts w:hint="eastAsia" w:ascii="黑体" w:hAnsi="黑体" w:eastAsia="黑体" w:cs="黑体"/>
          <w:color w:val="auto"/>
          <w:kern w:val="0"/>
          <w:sz w:val="32"/>
          <w:szCs w:val="32"/>
        </w:rPr>
      </w:pPr>
      <w:r>
        <w:rPr>
          <w:rFonts w:hint="eastAsia" w:ascii="黑体" w:hAnsi="黑体" w:eastAsia="黑体" w:cs="黑体"/>
          <w:b/>
          <w:bCs/>
          <w:color w:val="auto"/>
          <w:kern w:val="0"/>
          <w:sz w:val="32"/>
          <w:szCs w:val="32"/>
        </w:rPr>
        <w:t>八、政府性基金预算收入支出决算情况</w:t>
      </w:r>
    </w:p>
    <w:p>
      <w:pPr>
        <w:widowControl/>
        <w:shd w:val="clear" w:color="auto" w:fill="FFFFFF"/>
        <w:spacing w:after="63" w:line="376" w:lineRule="atLeas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2021年度政府性基金预算财政拨款收入0万元；年初结转和结余77.11万元；支出71.8万元，其中基本支出0万元，项目支出71.8万元；年末结转和结余5.31万元。具体情况如下：</w:t>
      </w:r>
    </w:p>
    <w:p>
      <w:pPr>
        <w:widowControl/>
        <w:shd w:val="clear" w:color="auto" w:fill="FFFFFF"/>
        <w:spacing w:after="63" w:line="376" w:lineRule="atLeast"/>
        <w:ind w:firstLine="64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抗疫特别国债安排的支出（类）抗疫相关支出（款）其他抗疫相关支出（项）。</w:t>
      </w:r>
    </w:p>
    <w:p>
      <w:pPr>
        <w:widowControl/>
        <w:shd w:val="clear" w:color="auto" w:fill="FFFFFF"/>
        <w:spacing w:after="63" w:line="376" w:lineRule="atLeast"/>
        <w:ind w:firstLine="64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年初预算为0万元，支出决算为71.8万元，</w:t>
      </w:r>
      <w:r>
        <w:rPr>
          <w:rFonts w:hint="eastAsia" w:ascii="仿宋" w:hAnsi="仿宋" w:eastAsia="仿宋" w:cs="仿宋"/>
          <w:color w:val="auto"/>
          <w:sz w:val="32"/>
          <w:szCs w:val="32"/>
          <w:lang w:val="en-US" w:eastAsia="zh-CN"/>
        </w:rPr>
        <w:t>无法计算完成比例,</w:t>
      </w:r>
      <w:r>
        <w:rPr>
          <w:rFonts w:hint="eastAsia" w:ascii="仿宋" w:hAnsi="仿宋" w:eastAsia="仿宋" w:cs="仿宋"/>
          <w:color w:val="auto"/>
          <w:kern w:val="0"/>
          <w:sz w:val="32"/>
          <w:szCs w:val="32"/>
        </w:rPr>
        <w:t>决算数大于年初预算数的主要原因是：使用了上年的财政拨款结转-疫情防控智慧入园管理系统专项资金。</w:t>
      </w:r>
    </w:p>
    <w:p>
      <w:pPr>
        <w:widowControl/>
        <w:shd w:val="clear" w:color="auto" w:fill="FFFFFF"/>
        <w:spacing w:after="63" w:line="376" w:lineRule="atLeast"/>
        <w:ind w:firstLine="643" w:firstLineChars="200"/>
        <w:jc w:val="left"/>
        <w:rPr>
          <w:rFonts w:hint="eastAsia" w:ascii="黑体" w:hAnsi="黑体" w:eastAsia="黑体" w:cs="黑体"/>
          <w:color w:val="auto"/>
          <w:kern w:val="0"/>
          <w:sz w:val="32"/>
          <w:szCs w:val="32"/>
        </w:rPr>
      </w:pPr>
      <w:r>
        <w:rPr>
          <w:rFonts w:hint="eastAsia" w:ascii="黑体" w:hAnsi="黑体" w:eastAsia="黑体" w:cs="黑体"/>
          <w:b/>
          <w:bCs/>
          <w:color w:val="auto"/>
          <w:kern w:val="0"/>
          <w:sz w:val="32"/>
          <w:szCs w:val="32"/>
        </w:rPr>
        <w:t>九、国有资本经营预算财政拨款支出决算情况说明</w:t>
      </w:r>
    </w:p>
    <w:p>
      <w:pPr>
        <w:widowControl/>
        <w:shd w:val="clear" w:color="auto" w:fill="FFFFFF"/>
        <w:spacing w:after="63" w:line="376" w:lineRule="atLeas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2021年度本单位无国有资本经营预算财政拨款支出</w:t>
      </w:r>
    </w:p>
    <w:p>
      <w:pPr>
        <w:widowControl/>
        <w:shd w:val="clear" w:color="auto" w:fill="FFFFFF"/>
        <w:spacing w:after="63" w:line="376" w:lineRule="atLeast"/>
        <w:ind w:firstLine="643" w:firstLineChars="200"/>
        <w:jc w:val="left"/>
        <w:rPr>
          <w:rFonts w:hint="eastAsia" w:ascii="黑体" w:hAnsi="黑体" w:eastAsia="黑体" w:cs="黑体"/>
          <w:color w:val="auto"/>
          <w:kern w:val="0"/>
          <w:sz w:val="32"/>
          <w:szCs w:val="32"/>
        </w:rPr>
      </w:pPr>
      <w:r>
        <w:rPr>
          <w:rFonts w:hint="eastAsia" w:ascii="黑体" w:hAnsi="黑体" w:eastAsia="黑体" w:cs="黑体"/>
          <w:b/>
          <w:bCs/>
          <w:color w:val="auto"/>
          <w:kern w:val="0"/>
          <w:sz w:val="32"/>
          <w:szCs w:val="32"/>
        </w:rPr>
        <w:t>十、机关运行经费支出说明</w:t>
      </w:r>
    </w:p>
    <w:p>
      <w:pPr>
        <w:widowControl/>
        <w:shd w:val="clear" w:color="auto" w:fill="FFFFFF"/>
        <w:spacing w:after="63" w:line="376" w:lineRule="atLeast"/>
        <w:ind w:firstLine="64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本部门2021年度机关运行经费支出0万元。</w:t>
      </w:r>
      <w:r>
        <w:rPr>
          <w:rFonts w:hint="eastAsia" w:ascii="仿宋" w:hAnsi="仿宋" w:eastAsia="仿宋" w:cs="仿宋"/>
          <w:color w:val="auto"/>
          <w:kern w:val="0"/>
          <w:sz w:val="32"/>
          <w:szCs w:val="32"/>
          <w:lang w:val="en-US" w:eastAsia="zh-CN"/>
        </w:rPr>
        <w:t>主要</w:t>
      </w:r>
      <w:r>
        <w:rPr>
          <w:rFonts w:hint="eastAsia" w:ascii="仿宋" w:hAnsi="仿宋" w:eastAsia="仿宋" w:cs="仿宋"/>
          <w:color w:val="auto"/>
          <w:kern w:val="0"/>
          <w:sz w:val="32"/>
          <w:szCs w:val="32"/>
        </w:rPr>
        <w:t>原因</w:t>
      </w:r>
      <w:r>
        <w:rPr>
          <w:rFonts w:hint="eastAsia" w:ascii="仿宋" w:hAnsi="仿宋" w:eastAsia="仿宋" w:cs="仿宋"/>
          <w:color w:val="auto"/>
          <w:kern w:val="0"/>
          <w:sz w:val="32"/>
          <w:szCs w:val="32"/>
          <w:lang w:val="en-US" w:eastAsia="zh-CN"/>
        </w:rPr>
        <w:t>是本部门属非参公事业单位。</w:t>
      </w:r>
    </w:p>
    <w:p>
      <w:pPr>
        <w:widowControl/>
        <w:shd w:val="clear" w:color="auto" w:fill="FFFFFF"/>
        <w:spacing w:after="63" w:line="376" w:lineRule="atLeast"/>
        <w:ind w:firstLine="643" w:firstLineChars="200"/>
        <w:jc w:val="left"/>
        <w:rPr>
          <w:rFonts w:hint="eastAsia" w:ascii="黑体" w:hAnsi="黑体" w:eastAsia="黑体" w:cs="黑体"/>
          <w:color w:val="auto"/>
          <w:kern w:val="0"/>
          <w:sz w:val="32"/>
          <w:szCs w:val="32"/>
        </w:rPr>
      </w:pPr>
      <w:r>
        <w:rPr>
          <w:rFonts w:hint="eastAsia" w:ascii="黑体" w:hAnsi="黑体" w:eastAsia="黑体" w:cs="黑体"/>
          <w:b/>
          <w:bCs/>
          <w:color w:val="auto"/>
          <w:kern w:val="0"/>
          <w:sz w:val="32"/>
          <w:szCs w:val="32"/>
        </w:rPr>
        <w:t>十一、一般性支出情况说明</w:t>
      </w:r>
    </w:p>
    <w:p>
      <w:pPr>
        <w:widowControl/>
        <w:shd w:val="clear" w:color="auto" w:fill="FFFFFF"/>
        <w:spacing w:after="63" w:line="376" w:lineRule="atLeast"/>
        <w:ind w:firstLine="64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2021年本部门开支会议费0万元；开支培训费4.48万元，用于开展2021年度全省事业单位工作人员培训，培训人数134人，内容为由省级事业单位人事综合管理部门确定的网络培训机构线上培训，我单位根据湘人社函〔2021〕61号文件的规定，所有在岗的管理人员、专业技术人员、工勤技能人员培训，培训内容包括公共科目培训30学时，专业科目培训60学时，本部门培训费预算为4.5万元。</w:t>
      </w:r>
    </w:p>
    <w:p>
      <w:pPr>
        <w:widowControl/>
        <w:shd w:val="clear" w:color="auto" w:fill="FFFFFF"/>
        <w:spacing w:after="63" w:line="376" w:lineRule="atLeast"/>
        <w:ind w:firstLine="643" w:firstLineChars="200"/>
        <w:jc w:val="left"/>
        <w:rPr>
          <w:rFonts w:hint="eastAsia" w:ascii="仿宋" w:hAnsi="仿宋" w:eastAsia="仿宋" w:cs="仿宋"/>
          <w:color w:val="auto"/>
          <w:kern w:val="0"/>
          <w:sz w:val="32"/>
          <w:szCs w:val="32"/>
        </w:rPr>
      </w:pPr>
      <w:r>
        <w:rPr>
          <w:rFonts w:hint="eastAsia" w:ascii="黑体" w:hAnsi="黑体" w:eastAsia="黑体" w:cs="黑体"/>
          <w:b/>
          <w:bCs/>
          <w:color w:val="auto"/>
          <w:kern w:val="0"/>
          <w:sz w:val="32"/>
          <w:szCs w:val="32"/>
        </w:rPr>
        <w:t>十二、政府采购支出说明</w:t>
      </w:r>
    </w:p>
    <w:p>
      <w:pPr>
        <w:widowControl/>
        <w:shd w:val="clear" w:color="auto" w:fill="FFFFFF"/>
        <w:spacing w:after="63" w:line="376" w:lineRule="atLeast"/>
        <w:ind w:firstLine="64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本部门2021年度政府采购支出总额71.81万元，其中：政府采购货物支出0万元、政府采购工程支出71.81 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widowControl/>
        <w:shd w:val="clear" w:color="auto" w:fill="FFFFFF"/>
        <w:spacing w:after="63" w:line="376" w:lineRule="atLeast"/>
        <w:ind w:firstLine="643" w:firstLineChars="200"/>
        <w:jc w:val="left"/>
        <w:rPr>
          <w:rFonts w:hint="eastAsia" w:ascii="黑体" w:hAnsi="黑体" w:eastAsia="黑体" w:cs="黑体"/>
          <w:color w:val="auto"/>
          <w:kern w:val="0"/>
          <w:sz w:val="32"/>
          <w:szCs w:val="32"/>
        </w:rPr>
      </w:pPr>
      <w:r>
        <w:rPr>
          <w:rFonts w:hint="eastAsia" w:ascii="黑体" w:hAnsi="黑体" w:eastAsia="黑体" w:cs="黑体"/>
          <w:b/>
          <w:bCs/>
          <w:color w:val="auto"/>
          <w:kern w:val="0"/>
          <w:sz w:val="32"/>
          <w:szCs w:val="32"/>
        </w:rPr>
        <w:t>十三、国有资产占用情况说明</w:t>
      </w:r>
    </w:p>
    <w:p>
      <w:pPr>
        <w:widowControl/>
        <w:shd w:val="clear" w:color="auto" w:fill="FFFFFF"/>
        <w:spacing w:after="63" w:line="376" w:lineRule="atLeast"/>
        <w:ind w:firstLine="64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截至2021年12月31日，部门（单位）共有车辆9辆，其中，其他用车9辆，其他用车主要是一般公务用车1辆、园内设施维护用车1辆、园内清运垃圾车1辆、森林防火用车1辆、洒水车1辆、柴油观光车4辆；单位价值50万元以上通用设备1台（套），为公园消防防火及疫情防控智慧入园管理系统；单位价值100万元以上专用设备0台（套）。</w:t>
      </w:r>
    </w:p>
    <w:p>
      <w:pPr>
        <w:widowControl/>
        <w:shd w:val="clear" w:color="auto" w:fill="FFFFFF"/>
        <w:spacing w:after="63" w:line="376" w:lineRule="atLeast"/>
        <w:ind w:firstLine="643" w:firstLineChars="200"/>
        <w:jc w:val="left"/>
        <w:rPr>
          <w:rFonts w:hint="eastAsia" w:ascii="黑体" w:hAnsi="黑体" w:eastAsia="黑体" w:cs="黑体"/>
          <w:color w:val="auto"/>
          <w:kern w:val="0"/>
          <w:sz w:val="32"/>
          <w:szCs w:val="32"/>
        </w:rPr>
      </w:pPr>
      <w:r>
        <w:rPr>
          <w:rFonts w:hint="eastAsia" w:ascii="黑体" w:hAnsi="黑体" w:eastAsia="黑体" w:cs="黑体"/>
          <w:b/>
          <w:bCs/>
          <w:color w:val="auto"/>
          <w:kern w:val="0"/>
          <w:sz w:val="32"/>
          <w:szCs w:val="32"/>
        </w:rPr>
        <w:t>十四、2021年度预算绩效情况说明</w:t>
      </w:r>
    </w:p>
    <w:p>
      <w:pPr>
        <w:widowControl/>
        <w:shd w:val="clear" w:color="auto" w:fill="FFFFFF"/>
        <w:spacing w:after="63" w:line="376" w:lineRule="atLeast"/>
        <w:ind w:firstLine="640"/>
        <w:jc w:val="left"/>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（1）绩效管理评价工作开展情况</w:t>
      </w:r>
      <w:r>
        <w:rPr>
          <w:rFonts w:hint="eastAsia" w:ascii="仿宋" w:hAnsi="仿宋" w:eastAsia="仿宋" w:cs="仿宋"/>
          <w:color w:val="auto"/>
          <w:kern w:val="0"/>
          <w:sz w:val="32"/>
          <w:szCs w:val="32"/>
        </w:rPr>
        <w:t>。</w:t>
      </w:r>
    </w:p>
    <w:p>
      <w:pPr>
        <w:widowControl/>
        <w:shd w:val="clear" w:color="auto" w:fill="FFFFFF"/>
        <w:spacing w:after="63" w:line="376" w:lineRule="atLeast"/>
        <w:ind w:firstLine="64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根据预算绩效管理要求，我部门组织对2021 年度一般公共预算项目支出全面开展绩效自评，其中，一级项目9个，二级项目0个，共涉及资金707.58万元，占一般公共预算项目支出总额的56.04%。组织对2021年度0个政府性基金预算项目支出开展绩效自评，共涉及资金0万元，占政府性基金预算项目支出总额的0%。组织对2021 年度0个国有资本经营预算项目支出开展绩效自评，共涉及资金0万元，占国有资本经营预算项目支出总额的0%。</w:t>
      </w:r>
    </w:p>
    <w:p>
      <w:pPr>
        <w:widowControl/>
        <w:shd w:val="clear" w:color="auto" w:fill="FFFFFF"/>
        <w:spacing w:after="63" w:line="376" w:lineRule="atLeast"/>
        <w:ind w:firstLine="64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组织对“湖南中坡国家森林公园设施维护专项资金”“湖南中坡国家森林公园森林防火专项”等9个项目开展了部门评价，涉及一般公共预算支出707.58万元，政府性基金预算支出0万元，国有资本经营预算支出0万元。从评价情况来看，经过自评，综合评价情况良好。</w:t>
      </w:r>
    </w:p>
    <w:p>
      <w:pPr>
        <w:widowControl/>
        <w:shd w:val="clear" w:color="auto" w:fill="FFFFFF"/>
        <w:spacing w:after="63" w:line="376" w:lineRule="atLeast"/>
        <w:ind w:firstLine="64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组织对湖南中坡森林公园管理处1个单位开展整体支出绩效评价，涉及一般公共预算支出</w:t>
      </w:r>
      <w:r>
        <w:rPr>
          <w:rFonts w:hint="eastAsia" w:ascii="仿宋" w:hAnsi="仿宋" w:eastAsia="仿宋" w:cs="仿宋"/>
          <w:color w:val="auto"/>
          <w:kern w:val="0"/>
          <w:sz w:val="32"/>
          <w:szCs w:val="32"/>
          <w:lang w:eastAsia="zh-CN"/>
        </w:rPr>
        <w:t>2,993.</w:t>
      </w:r>
      <w:r>
        <w:rPr>
          <w:rFonts w:hint="eastAsia" w:ascii="仿宋" w:hAnsi="仿宋" w:eastAsia="仿宋" w:cs="仿宋"/>
          <w:color w:val="auto"/>
          <w:kern w:val="0"/>
          <w:sz w:val="32"/>
          <w:szCs w:val="32"/>
        </w:rPr>
        <w:t>03万元，政府性基金预算支出71.81万元。从评价情况来看，2021年度公园在强化业务管理、财务管理和厉行节约方面开展了大量工作，通过加强预算收支的管理，不断建立健全内部管理制度，理顺内部管理流程，在公园建设、管理、经营和科研上取得了长足进步，发挥了明显的生态和社会效益。</w:t>
      </w:r>
    </w:p>
    <w:p>
      <w:pPr>
        <w:widowControl/>
        <w:shd w:val="clear" w:color="auto" w:fill="FFFFFF"/>
        <w:spacing w:after="63" w:line="376" w:lineRule="atLeast"/>
        <w:ind w:firstLine="640"/>
        <w:jc w:val="left"/>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（2）部门决算中项目绩效自评结果。</w:t>
      </w:r>
    </w:p>
    <w:p>
      <w:pPr>
        <w:widowControl/>
        <w:shd w:val="clear" w:color="auto" w:fill="FFFFFF"/>
        <w:spacing w:after="63" w:line="376" w:lineRule="atLeas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湖南中坡国家森林公园管理处项目绩效自评综述：根据年初设定的绩效目标，项目绩效自评得分为93分。项目全年预算数为438.97万元，实际拨款数（包含财政追加预算）838.98万元，执行数为714.58万元，完成预算的85%。项目绩效目标完成情况：一是森林防火专项资金24万元,应急救灾专项资金16万元，林业有害生物防治津贴47.54万元，市级公益林生态效益补偿资金25万元，科普馆工程项目资金339.01万元，公园设施维护费80万元，人才资源开发“五溪智汇”柔性引进人才工作经费34万元,税改专项资金5万元，花卉协会武陵山寒山研究会野生兰花保护和开发创森活动资金2万元9个项目全年执行数与年初预算数一致，支出执行率100%；二是农民联营林合同兑现租赁费257.43万元支出142.03万元，支出执行率55%，专项结余结转115.4万元；三是技推广项目资金结余9万元未支出。存在的主要问题及原因：一是由于有部分农民林地面积存在争议和纠纷，尚在处理解决中，因此还部分集体林未签订租赁合同，部分租赁费用的未支付；二是两个科技推两个科技推广项目均在实施中，由于受去冬今春低温冰冻气候影响，无法实施苗木培育、选育造等林业生产活动，且实施期限3年（</w:t>
      </w:r>
      <w:r>
        <w:rPr>
          <w:rFonts w:hint="eastAsia" w:ascii="仿宋" w:hAnsi="仿宋" w:eastAsia="仿宋" w:cs="仿宋"/>
          <w:color w:val="auto"/>
          <w:kern w:val="0"/>
          <w:sz w:val="32"/>
          <w:szCs w:val="32"/>
          <w:lang w:eastAsia="zh-CN"/>
        </w:rPr>
        <w:t>2,021.</w:t>
      </w:r>
      <w:r>
        <w:rPr>
          <w:rFonts w:hint="eastAsia" w:ascii="仿宋" w:hAnsi="仿宋" w:eastAsia="仿宋" w:cs="仿宋"/>
          <w:color w:val="auto"/>
          <w:kern w:val="0"/>
          <w:sz w:val="32"/>
          <w:szCs w:val="32"/>
        </w:rPr>
        <w:t>9-</w:t>
      </w:r>
      <w:r>
        <w:rPr>
          <w:rFonts w:hint="eastAsia" w:ascii="仿宋" w:hAnsi="仿宋" w:eastAsia="仿宋" w:cs="仿宋"/>
          <w:color w:val="auto"/>
          <w:kern w:val="0"/>
          <w:sz w:val="32"/>
          <w:szCs w:val="32"/>
          <w:lang w:eastAsia="zh-CN"/>
        </w:rPr>
        <w:t>2,024.</w:t>
      </w:r>
      <w:r>
        <w:rPr>
          <w:rFonts w:hint="eastAsia" w:ascii="仿宋" w:hAnsi="仿宋" w:eastAsia="仿宋" w:cs="仿宋"/>
          <w:color w:val="auto"/>
          <w:kern w:val="0"/>
          <w:sz w:val="32"/>
          <w:szCs w:val="32"/>
        </w:rPr>
        <w:t>8），目前完成了初步的研究工作，项目经费暂未使用。下一步改进措施：一是及时与鹤城区林业局对接，并多次到现场核实面积，截止到2022年6月，已完成集体林租赁合同续签75%工作量，因此项工作涉及面广，又涉及民生，工作尚在积极推进中；二是科研项目完成了课题组组建、资料收集、标准地选取等前期工作，资金在2022年将依据合同按进度抓紧实施。</w:t>
      </w:r>
    </w:p>
    <w:p>
      <w:pPr>
        <w:widowControl/>
        <w:shd w:val="clear" w:color="auto" w:fill="FFFFFF"/>
        <w:spacing w:after="63" w:line="376" w:lineRule="atLeast"/>
        <w:ind w:firstLine="640"/>
        <w:jc w:val="left"/>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（3）部门评价项目绩效评价结果。</w:t>
      </w:r>
    </w:p>
    <w:p>
      <w:pPr>
        <w:widowControl/>
        <w:shd w:val="clear" w:color="auto" w:fill="FFFFFF"/>
        <w:spacing w:after="63" w:line="376" w:lineRule="atLeast"/>
        <w:ind w:firstLine="64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部门评价项目数量3个以内的，至少将1个部门评价报告向社会公开；部门评价项目数量大于3个的，至少将2个部门评价报告向社会公开。报告框架可参考《项目支出绩效评价办法》（财预〔2020〕10号）中《项目支出绩效评价报告（参考提纲）》《湖南省预算支出绩效评价管理办法》（湘财绩〔2020〕7号）。</w:t>
      </w:r>
    </w:p>
    <w:p>
      <w:pPr>
        <w:widowControl/>
        <w:shd w:val="clear" w:color="auto" w:fill="FFFFFF"/>
        <w:spacing w:after="63" w:line="376" w:lineRule="atLeast"/>
        <w:jc w:val="center"/>
        <w:rPr>
          <w:rFonts w:hint="eastAsia" w:ascii="仿宋" w:hAnsi="仿宋" w:eastAsia="仿宋" w:cs="仿宋"/>
          <w:color w:val="auto"/>
          <w:kern w:val="0"/>
          <w:sz w:val="32"/>
          <w:szCs w:val="32"/>
        </w:rPr>
      </w:pPr>
    </w:p>
    <w:p>
      <w:pPr>
        <w:widowControl/>
        <w:shd w:val="clear" w:color="auto" w:fill="FFFFFF"/>
        <w:spacing w:after="63" w:line="376" w:lineRule="atLeast"/>
        <w:jc w:val="center"/>
        <w:rPr>
          <w:rFonts w:hint="eastAsia" w:ascii="黑体" w:hAnsi="黑体" w:eastAsia="黑体" w:cs="黑体"/>
          <w:b/>
          <w:bCs/>
          <w:color w:val="auto"/>
          <w:kern w:val="0"/>
          <w:sz w:val="44"/>
          <w:szCs w:val="44"/>
        </w:rPr>
      </w:pPr>
      <w:r>
        <w:rPr>
          <w:rFonts w:hint="eastAsia" w:ascii="黑体" w:hAnsi="黑体" w:eastAsia="黑体" w:cs="黑体"/>
          <w:b/>
          <w:bCs/>
          <w:color w:val="auto"/>
          <w:kern w:val="0"/>
          <w:sz w:val="44"/>
          <w:szCs w:val="44"/>
        </w:rPr>
        <w:t>第四部分</w:t>
      </w:r>
      <w:r>
        <w:rPr>
          <w:rFonts w:hint="eastAsia" w:ascii="黑体" w:hAnsi="黑体" w:eastAsia="黑体" w:cs="黑体"/>
          <w:b/>
          <w:bCs/>
          <w:color w:val="auto"/>
          <w:kern w:val="0"/>
          <w:sz w:val="44"/>
          <w:szCs w:val="44"/>
          <w:lang w:val="en-US" w:eastAsia="zh-CN"/>
        </w:rPr>
        <w:t xml:space="preserve"> </w:t>
      </w:r>
      <w:r>
        <w:rPr>
          <w:rFonts w:hint="eastAsia" w:ascii="黑体" w:hAnsi="黑体" w:eastAsia="黑体" w:cs="黑体"/>
          <w:b/>
          <w:bCs/>
          <w:color w:val="auto"/>
          <w:kern w:val="0"/>
          <w:sz w:val="44"/>
          <w:szCs w:val="44"/>
        </w:rPr>
        <w:t>名词解释</w:t>
      </w:r>
    </w:p>
    <w:p>
      <w:pPr>
        <w:widowControl/>
        <w:shd w:val="clear" w:color="auto" w:fill="FFFFFF"/>
        <w:spacing w:after="63" w:line="376" w:lineRule="atLeast"/>
        <w:ind w:firstLine="1280" w:firstLineChars="400"/>
        <w:jc w:val="both"/>
        <w:rPr>
          <w:rFonts w:hint="eastAsia" w:ascii="仿宋" w:hAnsi="仿宋" w:eastAsia="仿宋" w:cs="仿宋"/>
          <w:color w:val="auto"/>
          <w:kern w:val="0"/>
          <w:sz w:val="32"/>
          <w:szCs w:val="32"/>
        </w:rPr>
      </w:pPr>
    </w:p>
    <w:p>
      <w:pPr>
        <w:widowControl/>
        <w:shd w:val="clear" w:color="auto" w:fill="FFFFFF"/>
        <w:spacing w:after="63" w:line="376" w:lineRule="atLeast"/>
        <w:ind w:firstLine="643" w:firstLineChars="200"/>
        <w:jc w:val="left"/>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一、机关运行经费：</w:t>
      </w:r>
      <w:r>
        <w:rPr>
          <w:rFonts w:hint="eastAsia" w:ascii="仿宋" w:hAnsi="仿宋" w:eastAsia="仿宋" w:cs="仿宋"/>
          <w:color w:val="auto"/>
          <w:kern w:val="0"/>
          <w:sz w:val="32"/>
          <w:szCs w:val="32"/>
        </w:rPr>
        <w:t>为保障行政单位（包括参照公务员法管理的事业单位）运行，用一般公共预算拨款安排用于购买货物和服务费各项资金，包括办公及印刷费、邮电费、差旅费、办公用房取暖费、办公用房物业费、公务用车运行维护费以及其他费用。</w:t>
      </w:r>
    </w:p>
    <w:p>
      <w:pPr>
        <w:widowControl/>
        <w:shd w:val="clear" w:color="auto" w:fill="FFFFFF"/>
        <w:spacing w:after="63" w:line="376" w:lineRule="atLeast"/>
        <w:ind w:firstLine="640"/>
        <w:jc w:val="left"/>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二、“三公”经费：</w:t>
      </w:r>
      <w:r>
        <w:rPr>
          <w:rFonts w:hint="eastAsia" w:ascii="仿宋" w:hAnsi="仿宋" w:eastAsia="仿宋" w:cs="仿宋"/>
          <w:color w:val="auto"/>
          <w:kern w:val="0"/>
          <w:sz w:val="32"/>
          <w:szCs w:val="32"/>
        </w:rPr>
        <w:t>纳入财政预算管理的“三公”经费，是指用一般公共预算安排的公务接待费、公务用车购置及运行维护费和因公出国（境）费。其中，公务接待费反映单位按规定开支的各项公务接待支出：公务用车购置费及运行费反映单位公务用车车辆购置支出（含车辆购置税），以及燃料费、维修费、保险费等支出；因公出国(境)的国际旅费、国外城市间交通费、食宿费等支出。</w:t>
      </w:r>
    </w:p>
    <w:p>
      <w:pPr>
        <w:widowControl/>
        <w:shd w:val="clear" w:color="auto" w:fill="FFFFFF"/>
        <w:spacing w:after="63" w:line="376" w:lineRule="atLeast"/>
        <w:jc w:val="left"/>
        <w:rPr>
          <w:rFonts w:hint="eastAsia" w:ascii="仿宋" w:hAnsi="仿宋" w:eastAsia="仿宋" w:cs="仿宋"/>
          <w:color w:val="auto"/>
          <w:kern w:val="0"/>
          <w:sz w:val="32"/>
          <w:szCs w:val="32"/>
        </w:rPr>
      </w:pPr>
    </w:p>
    <w:p>
      <w:pPr>
        <w:widowControl/>
        <w:shd w:val="clear" w:color="auto" w:fill="FFFFFF"/>
        <w:spacing w:after="63" w:line="376" w:lineRule="atLeast"/>
        <w:jc w:val="center"/>
        <w:rPr>
          <w:rFonts w:hint="eastAsia" w:ascii="黑体" w:hAnsi="黑体" w:eastAsia="黑体" w:cs="黑体"/>
          <w:b/>
          <w:bCs/>
          <w:color w:val="auto"/>
          <w:kern w:val="0"/>
          <w:sz w:val="44"/>
          <w:szCs w:val="44"/>
        </w:rPr>
      </w:pPr>
      <w:r>
        <w:rPr>
          <w:rFonts w:hint="eastAsia" w:ascii="黑体" w:hAnsi="黑体" w:eastAsia="黑体" w:cs="黑体"/>
          <w:b/>
          <w:bCs/>
          <w:color w:val="auto"/>
          <w:kern w:val="0"/>
          <w:sz w:val="44"/>
          <w:szCs w:val="44"/>
        </w:rPr>
        <w:t>第五部分</w:t>
      </w:r>
    </w:p>
    <w:p>
      <w:pPr>
        <w:widowControl/>
        <w:shd w:val="clear" w:color="auto" w:fill="FFFFFF"/>
        <w:spacing w:after="63" w:line="376" w:lineRule="atLeast"/>
        <w:jc w:val="center"/>
        <w:rPr>
          <w:rFonts w:hint="eastAsia" w:ascii="仿宋" w:hAnsi="仿宋" w:eastAsia="仿宋" w:cs="仿宋"/>
          <w:color w:val="auto"/>
          <w:kern w:val="0"/>
          <w:sz w:val="32"/>
          <w:szCs w:val="32"/>
        </w:rPr>
      </w:pPr>
      <w:r>
        <w:rPr>
          <w:rFonts w:hint="eastAsia" w:ascii="黑体" w:hAnsi="黑体" w:eastAsia="黑体" w:cs="黑体"/>
          <w:b/>
          <w:bCs/>
          <w:color w:val="auto"/>
          <w:kern w:val="0"/>
          <w:sz w:val="44"/>
          <w:szCs w:val="44"/>
        </w:rPr>
        <w:t>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k4MjM4OGRjMjA1YmIwNDg3YWY0MmMwNWU4YTAwYjIifQ=="/>
  </w:docVars>
  <w:rsids>
    <w:rsidRoot w:val="00003EC5"/>
    <w:rsid w:val="00003EC5"/>
    <w:rsid w:val="00950B23"/>
    <w:rsid w:val="02237A45"/>
    <w:rsid w:val="0709308D"/>
    <w:rsid w:val="1F4004BD"/>
    <w:rsid w:val="26381047"/>
    <w:rsid w:val="354369BF"/>
    <w:rsid w:val="596569C3"/>
    <w:rsid w:val="653D4663"/>
    <w:rsid w:val="66F53F6D"/>
    <w:rsid w:val="71E723A6"/>
    <w:rsid w:val="7BAD2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semiHidden/>
    <w:unhideWhenUsed/>
    <w:qFormat/>
    <w:uiPriority w:val="99"/>
    <w:rPr>
      <w:color w:val="0000FF"/>
      <w:u w:val="single"/>
    </w:rPr>
  </w:style>
  <w:style w:type="character" w:customStyle="1" w:styleId="11">
    <w:name w:val="页眉 Char"/>
    <w:basedOn w:val="9"/>
    <w:link w:val="7"/>
    <w:semiHidden/>
    <w:qFormat/>
    <w:uiPriority w:val="99"/>
    <w:rPr>
      <w:sz w:val="18"/>
      <w:szCs w:val="18"/>
    </w:rPr>
  </w:style>
  <w:style w:type="character" w:customStyle="1" w:styleId="12">
    <w:name w:val="页脚 Char"/>
    <w:basedOn w:val="9"/>
    <w:link w:val="6"/>
    <w:semiHidden/>
    <w:qFormat/>
    <w:uiPriority w:val="99"/>
    <w:rPr>
      <w:sz w:val="18"/>
      <w:szCs w:val="18"/>
    </w:rPr>
  </w:style>
  <w:style w:type="paragraph" w:customStyle="1" w:styleId="13">
    <w:name w:val="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Pages>
  <Words>7630</Words>
  <Characters>8380</Characters>
  <Lines>63</Lines>
  <Paragraphs>17</Paragraphs>
  <TotalTime>10</TotalTime>
  <ScaleCrop>false</ScaleCrop>
  <LinksUpToDate>false</LinksUpToDate>
  <CharactersWithSpaces>8392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2023-09-01T04:45:00Z</dcterms:created>
  <dc:creator>怀化市林业科学研究所</dc:creator>
  <cp:lastModifiedBy>非鱼</cp:lastModifiedBy>
  <dcterms:modified xsi:type="dcterms:W3CDTF">2023-09-10T14:40:03Z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8A6A89EB568D4085818C262A583A16C0_12</vt:lpwstr>
  </property>
</Properties>
</file>