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Ansi="黑体"/>
          <w:sz w:val="36"/>
          <w:szCs w:val="36"/>
        </w:rPr>
      </w:pPr>
      <w:r>
        <w:rPr>
          <w:rFonts w:hint="eastAsia" w:hAnsi="黑体"/>
          <w:sz w:val="36"/>
          <w:szCs w:val="36"/>
        </w:rPr>
        <w:t>附件1</w:t>
      </w:r>
    </w:p>
    <w:p>
      <w:pPr>
        <w:pStyle w:val="13"/>
        <w:jc w:val="center"/>
        <w:rPr>
          <w:rFonts w:ascii="Times New Roman" w:hAnsi="Times New Roman" w:cs="Times New Roman"/>
          <w:sz w:val="56"/>
          <w:szCs w:val="56"/>
        </w:rPr>
      </w:pPr>
    </w:p>
    <w:p>
      <w:pPr>
        <w:pStyle w:val="13"/>
        <w:jc w:val="center"/>
        <w:rPr>
          <w:rFonts w:ascii="Times New Roman" w:hAnsi="Times New Roman" w:cs="Times New Roman"/>
          <w:sz w:val="84"/>
          <w:szCs w:val="84"/>
        </w:rPr>
      </w:pPr>
    </w:p>
    <w:p>
      <w:pPr>
        <w:pStyle w:val="13"/>
        <w:jc w:val="center"/>
        <w:rPr>
          <w:rFonts w:ascii="Times New Roman" w:hAnsi="Times New Roman" w:cs="Times New Roman"/>
          <w:sz w:val="84"/>
          <w:szCs w:val="84"/>
        </w:rPr>
      </w:pPr>
    </w:p>
    <w:p>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3"/>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怀化市农业科技教育促进</w:t>
      </w:r>
    </w:p>
    <w:p>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中心</w:t>
      </w:r>
      <w:r>
        <w:rPr>
          <w:rFonts w:ascii="Times New Roman" w:hAnsi="Times New Roman" w:eastAsia="方正小标宋简体" w:cs="Times New Roman"/>
          <w:sz w:val="72"/>
          <w:szCs w:val="72"/>
        </w:rPr>
        <w:t>部门决算</w:t>
      </w:r>
    </w:p>
    <w:p>
      <w:pPr>
        <w:pStyle w:val="13"/>
        <w:jc w:val="center"/>
        <w:rPr>
          <w:rFonts w:ascii="Times New Roman" w:hAnsi="Times New Roman" w:eastAsia="方正小标宋_GBK" w:cs="Times New Roman"/>
          <w:sz w:val="56"/>
          <w:szCs w:val="56"/>
        </w:rPr>
      </w:pPr>
    </w:p>
    <w:p>
      <w:pPr>
        <w:pStyle w:val="13"/>
        <w:jc w:val="center"/>
        <w:rPr>
          <w:rFonts w:ascii="Times New Roman" w:hAnsi="Times New Roman" w:cs="Times New Roman"/>
          <w:sz w:val="56"/>
          <w:szCs w:val="56"/>
        </w:rPr>
      </w:pPr>
    </w:p>
    <w:p>
      <w:pPr>
        <w:pStyle w:val="13"/>
        <w:rPr>
          <w:rFonts w:ascii="Times New Roman" w:hAnsi="Times New Roman" w:cs="Times New Roman"/>
          <w:sz w:val="56"/>
          <w:szCs w:val="56"/>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3"/>
        <w:spacing w:line="600" w:lineRule="exact"/>
        <w:jc w:val="center"/>
        <w:rPr>
          <w:rFonts w:ascii="Times New Roman" w:hAnsi="Times New Roman" w:cs="Times New Roman"/>
          <w:b/>
          <w:sz w:val="36"/>
          <w:szCs w:val="28"/>
        </w:rPr>
      </w:pPr>
    </w:p>
    <w:p>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怀化市农业科技教育促进中心</w:t>
      </w:r>
      <w:r>
        <w:rPr>
          <w:rFonts w:ascii="Times New Roman" w:hAnsi="Times New Roman" w:cs="Times New Roman"/>
          <w:bCs/>
          <w:sz w:val="32"/>
          <w:szCs w:val="32"/>
        </w:rPr>
        <w:t>概况</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3"/>
        <w:spacing w:line="600" w:lineRule="exac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一、收入支出决算总体情况说明</w:t>
      </w:r>
      <w:r>
        <w:rPr>
          <w:rFonts w:hint="eastAsia" w:ascii="Times New Roman" w:hAnsi="Times New Roman" w:eastAsia="仿宋_GB2312" w:cs="Times New Roman"/>
          <w:sz w:val="32"/>
          <w:szCs w:val="32"/>
          <w:lang w:eastAsia="zh-CN"/>
        </w:rPr>
        <w:t>XX部门（单位</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 w:eastAsia="zh-CN"/>
        </w:rPr>
      </w:pPr>
      <w:r>
        <w:rPr>
          <w:rFonts w:ascii="Times New Roman" w:hAnsi="Times New Roman" w:eastAsia="仿宋_GB2312" w:cs="Times New Roman"/>
          <w:color w:val="000000"/>
          <w:kern w:val="0"/>
          <w:sz w:val="32"/>
          <w:szCs w:val="32"/>
        </w:rPr>
        <w:t>九、</w:t>
      </w:r>
      <w:r>
        <w:rPr>
          <w:rFonts w:hint="eastAsia" w:ascii="Times New Roman" w:hAnsi="Times New Roman" w:eastAsia="仿宋_GB2312" w:cs="Times New Roman"/>
          <w:color w:val="000000"/>
          <w:kern w:val="0"/>
          <w:sz w:val="32"/>
          <w:szCs w:val="32"/>
          <w:lang w:eastAsia="zh-CN"/>
        </w:rPr>
        <w:t>国有资产经营预算收入支出决算情况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十二、</w:t>
      </w:r>
      <w:r>
        <w:rPr>
          <w:rFonts w:ascii="Times New Roman" w:hAnsi="Times New Roman" w:eastAsia="仿宋_GB2312" w:cs="Times New Roman"/>
          <w:color w:val="000000"/>
          <w:kern w:val="0"/>
          <w:sz w:val="32"/>
          <w:szCs w:val="32"/>
        </w:rPr>
        <w:t>关于政府采购支出说明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十三、关于国有资产占用情况说明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3"/>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怀化市农业科技教育促进中心</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怀化市农业科技教育促进中心是市农业农村局所属二级预算单位。部门职责为：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（一）承担组织实施全市农业科技教育、高素质农民培育工作等；承担制定工作规划并督促检查落实。</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（二）承担组织实施农业科技教育、高素质农民培育能力提升行动，推动乡村振兴带头人学历、能力提升计划；承担建设综合类农民培训、实训示范基地、田间学校等工作。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（三）承担全面施行农业产业科技教育领军人才培养计划；推进农业科技教育培训和服务、农业科技推广成果转换。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（四）承担全市高素质农民培育教材的编写和管理工作；承担开展科技教育培训下乡、农业科技推广活动、建立高素质农民培育样板示范和高素质农民培育发展等工作。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（五）承担全市农业科技教育、高素质农民培育系统内队伍的教育培训和体系化建设工作；承担农民体育协会工作的组织与管理。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（六）完成市农业农村局交办的其他任务。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怀化市农业科技教育促进中心作为二级部门预算单位,内设机构包括：综合事务部、培训开发部、体系建设部等三个职能部门。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怀化市农业科技教育促进中心</w:t>
      </w:r>
      <w:r>
        <w:rPr>
          <w:rFonts w:ascii="Times New Roman" w:hAnsi="Times New Roman" w:eastAsia="仿宋_GB2312" w:cs="Times New Roman"/>
          <w:bCs/>
          <w:kern w:val="0"/>
          <w:sz w:val="32"/>
          <w:szCs w:val="32"/>
        </w:rPr>
        <w:t>2024年部门决算汇总公开单位</w:t>
      </w:r>
      <w:r>
        <w:rPr>
          <w:rFonts w:hint="eastAsia" w:ascii="Times New Roman" w:hAnsi="Times New Roman" w:eastAsia="仿宋_GB2312" w:cs="Times New Roman"/>
          <w:bCs/>
          <w:kern w:val="0"/>
          <w:sz w:val="32"/>
          <w:szCs w:val="32"/>
          <w:lang w:eastAsia="zh-CN"/>
        </w:rPr>
        <w:t>只</w:t>
      </w:r>
      <w:r>
        <w:rPr>
          <w:rFonts w:hint="eastAsia" w:ascii="Times New Roman" w:hAnsi="Times New Roman" w:eastAsia="仿宋_GB2312" w:cs="Times New Roman"/>
          <w:bCs/>
          <w:kern w:val="0"/>
          <w:sz w:val="32"/>
          <w:szCs w:val="32"/>
        </w:rPr>
        <w:t>有怀化市农业科技教育促进中心。</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怀化市农业科技教育促进中心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szCs w:val="22"/>
                <w:lang w:val="en-US" w:eastAsia="zh-CN" w:bidi="ar-SA"/>
              </w:rPr>
              <w:t>238.89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31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szCs w:val="22"/>
                <w:lang w:val="en-US" w:eastAsia="zh-CN" w:bidi="ar-SA"/>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szCs w:val="22"/>
                <w:lang w:val="en-US" w:eastAsia="zh-CN" w:bidi="ar-SA"/>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szCs w:val="22"/>
                <w:lang w:val="en-US" w:eastAsia="zh-CN" w:bidi="ar-SA"/>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szCs w:val="22"/>
                <w:lang w:val="en-US" w:eastAsia="zh-CN" w:bidi="ar-SA"/>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szCs w:val="22"/>
                <w:lang w:val="en-US" w:eastAsia="zh-CN" w:bidi="ar-SA"/>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szCs w:val="22"/>
                <w:lang w:val="en-US" w:eastAsia="zh-CN" w:bidi="ar-SA"/>
              </w:rPr>
              <w:t>18.84</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szCs w:val="22"/>
                <w:lang w:val="en-US" w:eastAsia="zh-CN" w:bidi="ar-SA"/>
              </w:rPr>
              <w:t>7.88</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szCs w:val="22"/>
                <w:lang w:val="en-US" w:eastAsia="zh-CN" w:bidi="ar-SA"/>
              </w:rPr>
              <w:t>211.60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49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szCs w:val="22"/>
                <w:lang w:val="en-US" w:eastAsia="zh-CN" w:bidi="ar-SA"/>
              </w:rPr>
              <w:t>0.58</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szCs w:val="22"/>
                <w:lang w:val="en-US" w:eastAsia="zh-CN" w:bidi="ar-SA"/>
              </w:rPr>
              <w:t>238.89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szCs w:val="22"/>
                <w:lang w:val="en-US" w:eastAsia="zh-CN" w:bidi="ar-SA"/>
              </w:rPr>
            </w:pPr>
            <w:r>
              <w:rPr>
                <w:rFonts w:hint="eastAsia" w:ascii="Times New Roman" w:hAnsi="Times New Roman" w:eastAsia="仿宋_GB2312" w:cs="Times New Roman"/>
                <w:color w:val="000000"/>
                <w:kern w:val="0"/>
                <w:sz w:val="22"/>
                <w:szCs w:val="22"/>
                <w:lang w:val="en-US" w:eastAsia="zh-CN" w:bidi="ar-SA"/>
              </w:rPr>
              <w:t>238.89</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kern w:val="0"/>
                <w:sz w:val="22"/>
                <w:szCs w:val="22"/>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kern w:val="0"/>
                <w:sz w:val="22"/>
                <w:szCs w:val="22"/>
                <w:lang w:val="en-US" w:eastAsia="zh-CN" w:bidi="ar-SA"/>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59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lang w:val="en-US" w:eastAsia="zh-CN"/>
              </w:rPr>
              <w:t>238.89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kern w:val="2"/>
                <w:sz w:val="22"/>
                <w:szCs w:val="22"/>
                <w:lang w:val="en-US" w:eastAsia="zh-CN" w:bidi="ar-SA"/>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60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238.89</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黑体" w:cs="Times New Roman"/>
          <w:color w:val="000000"/>
          <w:kern w:val="0"/>
          <w:sz w:val="32"/>
          <w:szCs w:val="32"/>
        </w:rPr>
      </w:pPr>
      <w:r>
        <w:br w:type="page"/>
      </w: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eastAsia="zh-CN"/>
        </w:rPr>
        <w:t>怀化市农业科技教育促进中心</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b/>
                <w:i w:val="0"/>
                <w:color w:val="000000"/>
                <w:kern w:val="0"/>
                <w:sz w:val="21"/>
                <w:szCs w:val="21"/>
                <w:u w:val="none"/>
                <w:lang w:val="en-US" w:eastAsia="zh-CN" w:bidi="ar"/>
              </w:rPr>
              <w:t>238.89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b/>
                <w:i w:val="0"/>
                <w:color w:val="000000"/>
                <w:kern w:val="0"/>
                <w:sz w:val="21"/>
                <w:szCs w:val="21"/>
                <w:u w:val="none"/>
                <w:lang w:val="en-US" w:eastAsia="zh-CN" w:bidi="ar"/>
              </w:rPr>
              <w:t>238.89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b/>
                <w:i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b/>
                <w:i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b/>
                <w:i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b/>
                <w:i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b/>
                <w:i w:val="0"/>
                <w:color w:val="000000"/>
                <w:kern w:val="0"/>
                <w:sz w:val="21"/>
                <w:szCs w:val="21"/>
                <w:u w:val="none"/>
                <w:lang w:val="en-US" w:eastAsia="zh-CN" w:bidi="ar"/>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2080505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18.84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18.84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2101101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7.88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7.88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2130104</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事业运行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184.60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184.60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2130199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其他农业农村支出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1"/>
                <w:szCs w:val="21"/>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1"/>
                <w:szCs w:val="21"/>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1"/>
                <w:szCs w:val="21"/>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1"/>
                <w:szCs w:val="21"/>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1"/>
                <w:szCs w:val="21"/>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2130599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其他巩固脱贫攻坚成果衔接乡村振兴支出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2210201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0.58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1"/>
                <w:szCs w:val="21"/>
              </w:rPr>
            </w:pPr>
            <w:r>
              <w:rPr>
                <w:rFonts w:hint="eastAsia" w:ascii="宋体" w:hAnsi="宋体" w:eastAsia="宋体" w:cs="宋体"/>
                <w:i w:val="0"/>
                <w:color w:val="000000"/>
                <w:kern w:val="0"/>
                <w:sz w:val="21"/>
                <w:szCs w:val="21"/>
                <w:u w:val="none"/>
                <w:lang w:val="en-US" w:eastAsia="zh-CN" w:bidi="ar"/>
              </w:rPr>
              <w:t>0.00</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t xml:space="preserve"> </w:t>
      </w:r>
      <w:r>
        <w:br w:type="page"/>
      </w: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怀化市农业科技教育促进中心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6" w:type="pct"/>
        <w:jc w:val="center"/>
        <w:tblLayout w:type="fixed"/>
        <w:tblCellMar>
          <w:top w:w="0" w:type="dxa"/>
          <w:left w:w="108" w:type="dxa"/>
          <w:bottom w:w="0" w:type="dxa"/>
          <w:right w:w="108" w:type="dxa"/>
        </w:tblCellMar>
      </w:tblPr>
      <w:tblGrid>
        <w:gridCol w:w="1918"/>
        <w:gridCol w:w="2265"/>
        <w:gridCol w:w="1690"/>
        <w:gridCol w:w="1254"/>
        <w:gridCol w:w="1337"/>
        <w:gridCol w:w="1717"/>
        <w:gridCol w:w="2169"/>
        <w:gridCol w:w="1861"/>
      </w:tblGrid>
      <w:tr>
        <w:tblPrEx>
          <w:tblCellMar>
            <w:top w:w="0" w:type="dxa"/>
            <w:left w:w="108" w:type="dxa"/>
            <w:bottom w:w="0" w:type="dxa"/>
            <w:right w:w="108" w:type="dxa"/>
          </w:tblCellMar>
        </w:tblPrEx>
        <w:trPr>
          <w:trHeight w:val="595" w:hRule="atLeast"/>
          <w:jc w:val="center"/>
        </w:trPr>
        <w:tc>
          <w:tcPr>
            <w:tcW w:w="147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9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4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7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0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76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65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67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796"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6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7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6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79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7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147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94"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4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7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04"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763"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654"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147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9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b/>
                <w:i w:val="0"/>
                <w:color w:val="000000"/>
                <w:kern w:val="0"/>
                <w:sz w:val="21"/>
                <w:szCs w:val="21"/>
                <w:u w:val="none"/>
                <w:lang w:val="en-US" w:eastAsia="zh-CN" w:bidi="ar"/>
              </w:rPr>
              <w:t>238.89</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b/>
                <w:i w:val="0"/>
                <w:color w:val="000000"/>
                <w:kern w:val="0"/>
                <w:sz w:val="21"/>
                <w:szCs w:val="21"/>
                <w:u w:val="none"/>
                <w:lang w:val="en-US" w:eastAsia="zh-CN" w:bidi="ar"/>
              </w:rPr>
              <w:t>211.89</w:t>
            </w:r>
          </w:p>
        </w:tc>
        <w:tc>
          <w:tcPr>
            <w:tcW w:w="47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b/>
                <w:i w:val="0"/>
                <w:color w:val="000000"/>
                <w:kern w:val="0"/>
                <w:sz w:val="21"/>
                <w:szCs w:val="21"/>
                <w:u w:val="none"/>
                <w:lang w:val="en-US" w:eastAsia="zh-CN" w:bidi="ar"/>
              </w:rPr>
              <w:t>27.00</w:t>
            </w:r>
          </w:p>
        </w:tc>
        <w:tc>
          <w:tcPr>
            <w:tcW w:w="60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b/>
                <w:i w:val="0"/>
                <w:color w:val="000000"/>
                <w:kern w:val="0"/>
                <w:sz w:val="21"/>
                <w:szCs w:val="21"/>
                <w:u w:val="none"/>
                <w:lang w:val="en-US" w:eastAsia="zh-CN" w:bidi="ar"/>
              </w:rPr>
              <w:t>238.89</w:t>
            </w:r>
          </w:p>
        </w:tc>
        <w:tc>
          <w:tcPr>
            <w:tcW w:w="76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b/>
                <w:i w:val="0"/>
                <w:color w:val="000000"/>
                <w:kern w:val="0"/>
                <w:sz w:val="21"/>
                <w:szCs w:val="21"/>
                <w:u w:val="none"/>
                <w:lang w:val="en-US" w:eastAsia="zh-CN" w:bidi="ar"/>
              </w:rPr>
              <w:t>211.89</w:t>
            </w: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b/>
                <w:i w:val="0"/>
                <w:color w:val="000000"/>
                <w:kern w:val="0"/>
                <w:sz w:val="21"/>
                <w:szCs w:val="21"/>
                <w:u w:val="none"/>
                <w:lang w:val="en-US" w:eastAsia="zh-CN" w:bidi="ar"/>
              </w:rPr>
              <w:t>27.00</w:t>
            </w:r>
          </w:p>
        </w:tc>
      </w:tr>
      <w:tr>
        <w:tblPrEx>
          <w:tblCellMar>
            <w:top w:w="0" w:type="dxa"/>
            <w:left w:w="108" w:type="dxa"/>
            <w:bottom w:w="0" w:type="dxa"/>
            <w:right w:w="108" w:type="dxa"/>
          </w:tblCellMar>
        </w:tblPrEx>
        <w:trPr>
          <w:trHeight w:val="595"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2080505</w:t>
            </w:r>
          </w:p>
        </w:tc>
        <w:tc>
          <w:tcPr>
            <w:tcW w:w="79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机关事业单位基本养老保险缴费支出</w:t>
            </w:r>
          </w:p>
        </w:tc>
        <w:tc>
          <w:tcPr>
            <w:tcW w:w="59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18.84</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18.84</w:t>
            </w:r>
          </w:p>
        </w:tc>
        <w:tc>
          <w:tcPr>
            <w:tcW w:w="4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1"/>
                <w:szCs w:val="21"/>
              </w:rPr>
            </w:pPr>
          </w:p>
        </w:tc>
        <w:tc>
          <w:tcPr>
            <w:tcW w:w="60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18.84</w:t>
            </w:r>
          </w:p>
        </w:tc>
        <w:tc>
          <w:tcPr>
            <w:tcW w:w="76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18.84</w:t>
            </w:r>
          </w:p>
        </w:tc>
        <w:tc>
          <w:tcPr>
            <w:tcW w:w="654"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1"/>
                <w:szCs w:val="21"/>
              </w:rPr>
            </w:pPr>
          </w:p>
        </w:tc>
      </w:tr>
      <w:tr>
        <w:tblPrEx>
          <w:tblCellMar>
            <w:top w:w="0" w:type="dxa"/>
            <w:left w:w="108" w:type="dxa"/>
            <w:bottom w:w="0" w:type="dxa"/>
            <w:right w:w="108" w:type="dxa"/>
          </w:tblCellMar>
        </w:tblPrEx>
        <w:trPr>
          <w:trHeight w:val="595"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2101101</w:t>
            </w:r>
          </w:p>
        </w:tc>
        <w:tc>
          <w:tcPr>
            <w:tcW w:w="79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行政单位医疗</w:t>
            </w:r>
          </w:p>
        </w:tc>
        <w:tc>
          <w:tcPr>
            <w:tcW w:w="59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7.88</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7.88</w:t>
            </w:r>
          </w:p>
        </w:tc>
        <w:tc>
          <w:tcPr>
            <w:tcW w:w="4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1"/>
                <w:szCs w:val="21"/>
              </w:rPr>
            </w:pPr>
          </w:p>
        </w:tc>
        <w:tc>
          <w:tcPr>
            <w:tcW w:w="60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7.88</w:t>
            </w:r>
          </w:p>
        </w:tc>
        <w:tc>
          <w:tcPr>
            <w:tcW w:w="76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7.88</w:t>
            </w:r>
          </w:p>
        </w:tc>
        <w:tc>
          <w:tcPr>
            <w:tcW w:w="654"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1"/>
                <w:szCs w:val="21"/>
              </w:rPr>
            </w:pPr>
          </w:p>
        </w:tc>
      </w:tr>
      <w:tr>
        <w:tblPrEx>
          <w:tblCellMar>
            <w:top w:w="0" w:type="dxa"/>
            <w:left w:w="108" w:type="dxa"/>
            <w:bottom w:w="0" w:type="dxa"/>
            <w:right w:w="108" w:type="dxa"/>
          </w:tblCellMar>
        </w:tblPrEx>
        <w:trPr>
          <w:trHeight w:val="595"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2130104</w:t>
            </w:r>
          </w:p>
        </w:tc>
        <w:tc>
          <w:tcPr>
            <w:tcW w:w="79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事业运行</w:t>
            </w:r>
          </w:p>
        </w:tc>
        <w:tc>
          <w:tcPr>
            <w:tcW w:w="59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184.60</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184.60</w:t>
            </w:r>
          </w:p>
        </w:tc>
        <w:tc>
          <w:tcPr>
            <w:tcW w:w="4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1"/>
                <w:szCs w:val="21"/>
              </w:rPr>
            </w:pPr>
          </w:p>
        </w:tc>
        <w:tc>
          <w:tcPr>
            <w:tcW w:w="60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184.60</w:t>
            </w:r>
          </w:p>
        </w:tc>
        <w:tc>
          <w:tcPr>
            <w:tcW w:w="76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184.60</w:t>
            </w:r>
          </w:p>
        </w:tc>
        <w:tc>
          <w:tcPr>
            <w:tcW w:w="654"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1"/>
                <w:szCs w:val="21"/>
              </w:rPr>
            </w:pPr>
          </w:p>
        </w:tc>
      </w:tr>
      <w:tr>
        <w:tblPrEx>
          <w:tblCellMar>
            <w:top w:w="0" w:type="dxa"/>
            <w:left w:w="108" w:type="dxa"/>
            <w:bottom w:w="0" w:type="dxa"/>
            <w:right w:w="108" w:type="dxa"/>
          </w:tblCellMar>
        </w:tblPrEx>
        <w:trPr>
          <w:trHeight w:val="595"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2130199</w:t>
            </w:r>
          </w:p>
        </w:tc>
        <w:tc>
          <w:tcPr>
            <w:tcW w:w="79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其他农业农村支出</w:t>
            </w:r>
          </w:p>
        </w:tc>
        <w:tc>
          <w:tcPr>
            <w:tcW w:w="59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25.00</w:t>
            </w:r>
          </w:p>
        </w:tc>
        <w:tc>
          <w:tcPr>
            <w:tcW w:w="441"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1"/>
                <w:szCs w:val="21"/>
              </w:rPr>
            </w:pPr>
          </w:p>
        </w:tc>
        <w:tc>
          <w:tcPr>
            <w:tcW w:w="47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25.00</w:t>
            </w:r>
          </w:p>
        </w:tc>
        <w:tc>
          <w:tcPr>
            <w:tcW w:w="60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25.00</w:t>
            </w:r>
          </w:p>
        </w:tc>
        <w:tc>
          <w:tcPr>
            <w:tcW w:w="76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1"/>
                <w:szCs w:val="21"/>
              </w:rPr>
            </w:pP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25.00</w:t>
            </w:r>
          </w:p>
        </w:tc>
      </w:tr>
      <w:tr>
        <w:tblPrEx>
          <w:tblCellMar>
            <w:top w:w="0" w:type="dxa"/>
            <w:left w:w="108" w:type="dxa"/>
            <w:bottom w:w="0" w:type="dxa"/>
            <w:right w:w="108" w:type="dxa"/>
          </w:tblCellMar>
        </w:tblPrEx>
        <w:trPr>
          <w:trHeight w:val="595"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2130599</w:t>
            </w:r>
          </w:p>
        </w:tc>
        <w:tc>
          <w:tcPr>
            <w:tcW w:w="79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其他巩固脱贫攻坚成果衔接乡村振兴支出</w:t>
            </w:r>
          </w:p>
        </w:tc>
        <w:tc>
          <w:tcPr>
            <w:tcW w:w="59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2.00</w:t>
            </w:r>
          </w:p>
        </w:tc>
        <w:tc>
          <w:tcPr>
            <w:tcW w:w="441"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1"/>
                <w:szCs w:val="21"/>
              </w:rPr>
            </w:pPr>
          </w:p>
        </w:tc>
        <w:tc>
          <w:tcPr>
            <w:tcW w:w="47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2.00</w:t>
            </w:r>
          </w:p>
        </w:tc>
        <w:tc>
          <w:tcPr>
            <w:tcW w:w="60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2.00</w:t>
            </w:r>
          </w:p>
        </w:tc>
        <w:tc>
          <w:tcPr>
            <w:tcW w:w="763"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1"/>
                <w:szCs w:val="21"/>
              </w:rPr>
            </w:pPr>
          </w:p>
        </w:tc>
        <w:tc>
          <w:tcPr>
            <w:tcW w:w="65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2.00</w:t>
            </w:r>
          </w:p>
        </w:tc>
      </w:tr>
      <w:tr>
        <w:tblPrEx>
          <w:tblCellMar>
            <w:top w:w="0" w:type="dxa"/>
            <w:left w:w="108" w:type="dxa"/>
            <w:bottom w:w="0" w:type="dxa"/>
            <w:right w:w="108" w:type="dxa"/>
          </w:tblCellMar>
        </w:tblPrEx>
        <w:trPr>
          <w:trHeight w:val="595" w:hRule="atLeast"/>
          <w:jc w:val="center"/>
        </w:trPr>
        <w:tc>
          <w:tcPr>
            <w:tcW w:w="67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2210201</w:t>
            </w:r>
          </w:p>
        </w:tc>
        <w:tc>
          <w:tcPr>
            <w:tcW w:w="79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住房公积金</w:t>
            </w:r>
          </w:p>
        </w:tc>
        <w:tc>
          <w:tcPr>
            <w:tcW w:w="59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0.58</w:t>
            </w:r>
          </w:p>
        </w:tc>
        <w:tc>
          <w:tcPr>
            <w:tcW w:w="44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0.58</w:t>
            </w:r>
          </w:p>
        </w:tc>
        <w:tc>
          <w:tcPr>
            <w:tcW w:w="47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1"/>
                <w:szCs w:val="21"/>
              </w:rPr>
            </w:pPr>
          </w:p>
        </w:tc>
        <w:tc>
          <w:tcPr>
            <w:tcW w:w="604"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0.58</w:t>
            </w:r>
          </w:p>
        </w:tc>
        <w:tc>
          <w:tcPr>
            <w:tcW w:w="76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0.58</w:t>
            </w:r>
          </w:p>
        </w:tc>
        <w:tc>
          <w:tcPr>
            <w:tcW w:w="654"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1"/>
                <w:szCs w:val="21"/>
              </w:rPr>
            </w:pPr>
          </w:p>
        </w:tc>
      </w:tr>
    </w:tbl>
    <w:p>
      <w:pPr>
        <w:widowControl/>
        <w:spacing w:before="120"/>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pStyle w:val="2"/>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怀化市农业科技教育促进中心</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471"/>
        <w:gridCol w:w="611"/>
        <w:gridCol w:w="976"/>
        <w:gridCol w:w="2604"/>
        <w:gridCol w:w="611"/>
        <w:gridCol w:w="976"/>
        <w:gridCol w:w="1659"/>
        <w:gridCol w:w="1917"/>
        <w:gridCol w:w="1395"/>
      </w:tblGrid>
      <w:tr>
        <w:tblPrEx>
          <w:tblCellMar>
            <w:top w:w="0" w:type="dxa"/>
            <w:left w:w="108" w:type="dxa"/>
            <w:bottom w:w="0" w:type="dxa"/>
            <w:right w:w="108" w:type="dxa"/>
          </w:tblCellMar>
        </w:tblPrEx>
        <w:trPr>
          <w:trHeight w:val="402" w:hRule="atLeast"/>
          <w:jc w:val="center"/>
        </w:trPr>
        <w:tc>
          <w:tcPr>
            <w:tcW w:w="495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67"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238.89</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33</w:t>
            </w: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21"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w:t>
            </w: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21"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35</w:t>
            </w: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21"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36</w:t>
            </w: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21"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w:t>
            </w: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21"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38</w:t>
            </w: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21"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39</w:t>
            </w: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21"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40</w:t>
            </w: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18.84</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18.84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821"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41</w:t>
            </w: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7.88</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7.88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821"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十、节能环保支出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42</w:t>
            </w: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821"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43</w:t>
            </w: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821"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十二、农林水支出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44</w:t>
            </w: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211.60</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211.60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821"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十三、交通运输支出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45</w:t>
            </w:r>
          </w:p>
        </w:tc>
        <w:tc>
          <w:tcPr>
            <w:tcW w:w="8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821"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十四、资源勘探工业信息等支出</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46</w:t>
            </w:r>
          </w:p>
        </w:tc>
        <w:tc>
          <w:tcPr>
            <w:tcW w:w="82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　</w:t>
            </w: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47</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十六、金融支出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48</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49</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18</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50</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51</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0.58</w:t>
            </w: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0.58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52</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二十一、国有资本经营预算支出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53</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54</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二十三、其他支出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55</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二十四、债务还本支出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56</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二十五、债务付息支出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57</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58</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b/>
                <w:bCs/>
                <w:kern w:val="0"/>
                <w:sz w:val="22"/>
              </w:rPr>
              <w:t>本年收入合计</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238.89</w:t>
            </w: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b/>
                <w:bCs/>
                <w:kern w:val="0"/>
                <w:sz w:val="22"/>
              </w:rPr>
              <w:t>本年支出合计</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59</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238.89</w:t>
            </w: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238.89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年初财政拨款结转和结余</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0.00</w:t>
            </w: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年末财政拨款结转和结余</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60</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0.00</w:t>
            </w: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xml:space="preserve">   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0.00</w:t>
            </w: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61</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xml:space="preserve">     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xml:space="preserve">      国有资本经营预算财政拨款</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2"/>
                <w:szCs w:val="22"/>
                <w:lang w:val="en-US" w:eastAsia="zh-CN" w:bidi="ar-SA"/>
              </w:rPr>
            </w:pP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63</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r>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b/>
                <w:bCs/>
                <w:kern w:val="0"/>
                <w:sz w:val="22"/>
              </w:rPr>
              <w:t>总计</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238.89</w:t>
            </w:r>
          </w:p>
        </w:tc>
        <w:tc>
          <w:tcPr>
            <w:tcW w:w="2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b/>
                <w:bCs/>
                <w:kern w:val="0"/>
                <w:sz w:val="22"/>
              </w:rPr>
              <w:t>总计</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w:t>
            </w:r>
          </w:p>
        </w:tc>
        <w:tc>
          <w:tcPr>
            <w:tcW w:w="82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238.89</w:t>
            </w:r>
          </w:p>
        </w:tc>
        <w:tc>
          <w:tcPr>
            <w:tcW w:w="167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238.89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bidi="ar-SA"/>
              </w:rPr>
            </w:pP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156" w:beforeLines="5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 w:val="20"/>
          <w:szCs w:val="20"/>
          <w:lang w:eastAsia="zh-CN"/>
        </w:rPr>
        <w:t>怀化市农业科技教育促进中心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b/>
                <w:i w:val="0"/>
                <w:color w:val="000000"/>
                <w:kern w:val="0"/>
                <w:sz w:val="21"/>
                <w:szCs w:val="21"/>
                <w:u w:val="none"/>
                <w:lang w:val="en-US" w:eastAsia="zh-CN" w:bidi="ar"/>
              </w:rPr>
              <w:t>238.89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b/>
                <w:i w:val="0"/>
                <w:color w:val="000000"/>
                <w:kern w:val="0"/>
                <w:sz w:val="21"/>
                <w:szCs w:val="21"/>
                <w:u w:val="none"/>
                <w:lang w:val="en-US" w:eastAsia="zh-CN" w:bidi="ar"/>
              </w:rPr>
              <w:t>211.89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b/>
                <w:i w:val="0"/>
                <w:color w:val="000000"/>
                <w:kern w:val="0"/>
                <w:sz w:val="21"/>
                <w:szCs w:val="21"/>
                <w:u w:val="none"/>
                <w:lang w:val="en-US" w:eastAsia="zh-CN" w:bidi="ar"/>
              </w:rPr>
              <w:t>27.00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18.84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18.84</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行政单位医疗</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7.88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7.88</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2130104</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事业运行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184.60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184.60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其他农业农村支出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25.00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2130599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其他巩固脱贫攻坚成果衔接乡村振兴支出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2210201</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住房公积金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0.58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rPr>
            </w:pPr>
            <w:r>
              <w:rPr>
                <w:rFonts w:hint="eastAsia" w:ascii="宋体" w:hAnsi="宋体" w:eastAsia="宋体" w:cs="宋体"/>
                <w:i w:val="0"/>
                <w:color w:val="000000"/>
                <w:kern w:val="0"/>
                <w:sz w:val="21"/>
                <w:szCs w:val="21"/>
                <w:u w:val="none"/>
                <w:lang w:val="en-US" w:eastAsia="zh-CN" w:bidi="ar"/>
              </w:rPr>
              <w:t>0.58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 w:val="21"/>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p>
      <w:pPr>
        <w:widowControl/>
        <w:spacing w:line="240" w:lineRule="exact"/>
        <w:jc w:val="lef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怀化市农业科技教育促进中心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186.80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16.29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67.55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58.37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0.52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13.42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18.84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7.88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16.21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0.50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8.80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8.80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5.17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0.76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 w:val="21"/>
                <w:szCs w:val="20"/>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 w:val="21"/>
                <w:szCs w:val="20"/>
                <w:lang w:val="en-US" w:eastAsia="zh-CN" w:bidi="ar-SA"/>
              </w:rPr>
              <w:t>195.60</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16.29</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怀化市农业科技教育促进中心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怀化市农业科技教育促进中心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lang w:eastAsia="zh-CN"/>
        </w:rPr>
        <w:t>怀化市农业科技教育促进中心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0.23</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238.89</w:t>
      </w:r>
      <w:r>
        <w:rPr>
          <w:rFonts w:ascii="Times New Roman" w:hAnsi="Times New Roman" w:eastAsia="仿宋_GB2312" w:cs="Times New Roman"/>
          <w:sz w:val="32"/>
          <w:szCs w:val="32"/>
        </w:rPr>
        <w:t>万元。与上年相比</w:t>
      </w:r>
      <w:r>
        <w:rPr>
          <w:rFonts w:ascii="Times New Roman" w:hAnsi="Times New Roman" w:eastAsia="仿宋_GB2312" w:cs="Times New Roman"/>
          <w:color w:val="auto"/>
          <w:sz w:val="32"/>
          <w:szCs w:val="32"/>
        </w:rPr>
        <w:t>，增加</w:t>
      </w:r>
      <w:r>
        <w:rPr>
          <w:rFonts w:hint="default" w:ascii="Times New Roman" w:hAnsi="Times New Roman" w:eastAsia="仿宋_GB2312"/>
          <w:color w:val="auto"/>
          <w:sz w:val="32"/>
          <w:szCs w:val="32"/>
          <w:lang w:val="en" w:eastAsia="zh-CN"/>
        </w:rPr>
        <w:t>25.54</w:t>
      </w:r>
      <w:r>
        <w:rPr>
          <w:rFonts w:ascii="Times New Roman" w:hAnsi="Times New Roman" w:eastAsia="仿宋_GB2312" w:cs="Times New Roman"/>
          <w:color w:val="auto"/>
          <w:sz w:val="32"/>
          <w:szCs w:val="32"/>
        </w:rPr>
        <w:t>万元，增长</w:t>
      </w:r>
      <w:r>
        <w:rPr>
          <w:rFonts w:hint="eastAsia" w:ascii="Times New Roman" w:hAnsi="Times New Roman" w:eastAsia="仿宋_GB2312"/>
          <w:color w:val="auto"/>
          <w:sz w:val="32"/>
          <w:szCs w:val="32"/>
          <w:lang w:val="en-US" w:eastAsia="zh-CN"/>
        </w:rPr>
        <w:t>11.97</w:t>
      </w:r>
      <w:r>
        <w:rPr>
          <w:rFonts w:ascii="Times New Roman" w:hAnsi="Times New Roman" w:eastAsia="仿宋_GB2312" w:cs="Times New Roman"/>
          <w:color w:val="auto"/>
          <w:sz w:val="32"/>
          <w:szCs w:val="32"/>
        </w:rPr>
        <w:t>%，主要是因为</w:t>
      </w:r>
      <w:r>
        <w:rPr>
          <w:rFonts w:hint="eastAsia" w:ascii="Times New Roman" w:hAnsi="Times New Roman" w:eastAsia="仿宋_GB2312"/>
          <w:color w:val="auto"/>
          <w:sz w:val="32"/>
          <w:szCs w:val="32"/>
          <w:lang w:val="en-US" w:eastAsia="zh-CN"/>
        </w:rPr>
        <w:t>军转安置1人，人员经费增加。</w:t>
      </w:r>
      <w:r>
        <w:rPr>
          <w:rFonts w:ascii="Times New Roman" w:hAnsi="Times New Roman" w:cs="Times New Roman"/>
          <w:bCs/>
          <w:color w:val="auto"/>
          <w:sz w:val="32"/>
          <w:szCs w:val="32"/>
        </w:rPr>
        <w:t>二、收入决算情况说明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238.89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238.89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238.89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211.89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88.70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27.00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11.30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3"/>
        <w:overflowPunct w:val="0"/>
        <w:autoSpaceDE/>
        <w:autoSpaceDN/>
        <w:spacing w:line="600" w:lineRule="exact"/>
        <w:ind w:firstLine="640" w:firstLineChars="200"/>
        <w:jc w:val="both"/>
        <w:rPr>
          <w:rFonts w:hint="eastAsia" w:ascii="Times New Roman" w:hAnsi="Times New Roman" w:eastAsia="仿宋_GB2312"/>
          <w:color w:val="auto"/>
          <w:sz w:val="32"/>
          <w:szCs w:val="32"/>
          <w:lang w:val="en-US" w:eastAsia="zh-CN"/>
        </w:rPr>
      </w:pPr>
      <w:r>
        <w:rPr>
          <w:rFonts w:ascii="Times New Roman" w:hAnsi="Times New Roman" w:eastAsia="仿宋_GB2312" w:cs="Times New Roman"/>
          <w:color w:val="auto"/>
          <w:sz w:val="32"/>
          <w:szCs w:val="32"/>
        </w:rPr>
        <w:t>2024年度财政拨款收、支总计</w:t>
      </w:r>
      <w:r>
        <w:rPr>
          <w:rFonts w:hint="eastAsia" w:ascii="Times New Roman" w:hAnsi="Times New Roman" w:eastAsia="仿宋_GB2312" w:cs="Times New Roman"/>
          <w:color w:val="auto"/>
          <w:sz w:val="32"/>
          <w:szCs w:val="32"/>
        </w:rPr>
        <w:t>238.89</w:t>
      </w:r>
      <w:r>
        <w:rPr>
          <w:rFonts w:ascii="Times New Roman" w:hAnsi="Times New Roman" w:eastAsia="仿宋_GB2312" w:cs="Times New Roman"/>
          <w:color w:val="auto"/>
          <w:sz w:val="32"/>
          <w:szCs w:val="32"/>
        </w:rPr>
        <w:t>万元，与上年相比，增加</w:t>
      </w:r>
      <w:r>
        <w:rPr>
          <w:rFonts w:hint="default" w:ascii="Times New Roman" w:hAnsi="Times New Roman" w:eastAsia="仿宋_GB2312"/>
          <w:color w:val="auto"/>
          <w:sz w:val="32"/>
          <w:szCs w:val="32"/>
          <w:lang w:val="en" w:eastAsia="zh-CN"/>
        </w:rPr>
        <w:t>25.54</w:t>
      </w:r>
      <w:r>
        <w:rPr>
          <w:rFonts w:ascii="Times New Roman" w:hAnsi="Times New Roman" w:eastAsia="仿宋_GB2312" w:cs="Times New Roman"/>
          <w:color w:val="auto"/>
          <w:sz w:val="32"/>
          <w:szCs w:val="32"/>
        </w:rPr>
        <w:t>万元,增长</w:t>
      </w:r>
      <w:r>
        <w:rPr>
          <w:rFonts w:hint="eastAsia" w:ascii="Times New Roman" w:hAnsi="Times New Roman" w:eastAsia="仿宋_GB2312"/>
          <w:color w:val="auto"/>
          <w:sz w:val="32"/>
          <w:szCs w:val="32"/>
          <w:lang w:val="en-US" w:eastAsia="zh-CN"/>
        </w:rPr>
        <w:t>11.97</w:t>
      </w:r>
      <w:r>
        <w:rPr>
          <w:rFonts w:ascii="Times New Roman" w:hAnsi="Times New Roman" w:eastAsia="仿宋_GB2312" w:cs="Times New Roman"/>
          <w:color w:val="auto"/>
          <w:sz w:val="32"/>
          <w:szCs w:val="32"/>
        </w:rPr>
        <w:t>%，主要是因为</w:t>
      </w:r>
      <w:r>
        <w:rPr>
          <w:rFonts w:hint="eastAsia" w:ascii="Times New Roman" w:hAnsi="Times New Roman" w:eastAsia="仿宋_GB2312"/>
          <w:color w:val="auto"/>
          <w:sz w:val="32"/>
          <w:szCs w:val="32"/>
          <w:lang w:val="en-US" w:eastAsia="zh-CN"/>
        </w:rPr>
        <w:t>军转安置1人，人员经费增加。</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五、一般公共预算财政拨款支出决算情况说明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（一）一般公共预算财政拨款支出决算总体情况</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rPr>
        <w:t>238.89</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%，与上年相比，财政拨款支出增加</w:t>
      </w:r>
      <w:r>
        <w:rPr>
          <w:rFonts w:hint="eastAsia" w:ascii="Times New Roman" w:hAnsi="Times New Roman" w:eastAsia="仿宋_GB2312" w:cs="Times New Roman"/>
          <w:color w:val="auto"/>
          <w:sz w:val="32"/>
          <w:szCs w:val="32"/>
          <w:lang w:val="en-US" w:eastAsia="zh-CN"/>
        </w:rPr>
        <w:t>25.57</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11.99</w:t>
      </w:r>
      <w:r>
        <w:rPr>
          <w:rFonts w:ascii="Times New Roman" w:hAnsi="Times New Roman" w:eastAsia="仿宋_GB2312" w:cs="Times New Roman"/>
          <w:color w:val="auto"/>
          <w:sz w:val="32"/>
          <w:szCs w:val="32"/>
        </w:rPr>
        <w:t>%，主要是因为</w:t>
      </w:r>
      <w:r>
        <w:rPr>
          <w:rFonts w:hint="eastAsia" w:ascii="Times New Roman" w:hAnsi="Times New Roman" w:eastAsia="仿宋_GB2312"/>
          <w:color w:val="auto"/>
          <w:sz w:val="32"/>
          <w:szCs w:val="32"/>
          <w:lang w:val="en-US" w:eastAsia="zh-CN"/>
        </w:rPr>
        <w:t>军转安置1人，人员经费增加。</w:t>
      </w:r>
    </w:p>
    <w:p>
      <w:pPr>
        <w:pStyle w:val="13"/>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（二）一般公共预算财政拨款支出决算结构情况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238.89</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社会保障和就业（类）支出18.84万元，占7.89%；卫生健康（类）支出7.8</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3.30</w:t>
      </w:r>
      <w:r>
        <w:rPr>
          <w:rFonts w:hint="eastAsia" w:ascii="Times New Roman" w:hAnsi="Times New Roman" w:eastAsia="仿宋_GB2312" w:cs="Times New Roman"/>
          <w:sz w:val="32"/>
          <w:szCs w:val="32"/>
        </w:rPr>
        <w:t>%;农林水（类）支出211.60万元，占88.58%；住房保障支出0.58万元，占0.24%</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227.47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238.89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105.02</w:t>
      </w:r>
      <w:r>
        <w:rPr>
          <w:rFonts w:ascii="Times New Roman" w:hAnsi="Times New Roman" w:eastAsia="仿宋_GB2312" w:cs="Times New Roman"/>
          <w:sz w:val="32"/>
          <w:szCs w:val="32"/>
        </w:rPr>
        <w:t>%，其中：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社会保障和就业支出（类）行政事业单位养老支出（款）机关事业单位基本养老保险缴费支出（项）</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olor w:val="auto"/>
          <w:sz w:val="32"/>
          <w:szCs w:val="32"/>
          <w:lang w:val="en-US" w:eastAsia="zh-CN"/>
        </w:rPr>
        <w:t>18.76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olor w:val="auto"/>
          <w:sz w:val="32"/>
          <w:szCs w:val="32"/>
          <w:lang w:val="en-US" w:eastAsia="zh-CN"/>
        </w:rPr>
        <w:t>18.84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100.42</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eastAsia="zh-CN"/>
        </w:rPr>
        <w:t>持平。</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卫生健康支出（类）行政事业单位医疗（款）行政单位医疗（项）。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7.90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7.88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99.75</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eastAsia="zh-CN"/>
        </w:rPr>
        <w:t>持平。</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3、农林水支出（类）农业农村（款）事业运行（项）。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年初预算为200.82 万元，支出决算为184.60万元，完成年初预算的91.92%，决算数小于年初预算数的主要原因是：2024年度预算事业运行包括25万的项目经费。</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4、农林水支出（类）农业农村（款）其他农业农村支出（项）。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年初预算为0万元，支出决算为25.00万元，无法计算完成比例，决算数大于年初预算数的主要原因是：该项为2024年项目经费。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5、农林水支出（类）巩固脱贫衔接乡村振兴（款）其他巩固脱贫衔接乡村振兴支出（项）。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年初预算为0万元，支出决算为2万元，无法计算完成比例，决算数大于年初预算数的主要原因是年内追加乡村振兴工作经费，年初预算未单列。</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6、住房保障支出（类）住房改革支出（款）住房公积金（项）</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年初预算为0万元，支出决算为0.58万元，无法计算完成比例，决算数大于年初预算数的主要原因是2024年公积金年初预算未单列。</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211.89</w:t>
      </w:r>
      <w:r>
        <w:rPr>
          <w:rFonts w:ascii="Times New Roman" w:hAnsi="Times New Roman" w:eastAsia="仿宋_GB2312" w:cs="Times New Roman"/>
          <w:sz w:val="32"/>
          <w:szCs w:val="32"/>
        </w:rPr>
        <w:t>万元，其中：</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195.60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92.31</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基本工资、津贴补贴、奖金、伙食补助费、机关事业单位基本养老保险缴费、职工基本医疗保险缴费、其他社会保障缴费、住房公积金、生活补助。</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16.29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7.69</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办公费、印刷费、邮电费、差旅费、租赁费、公务接待费、工会经费、福利费、其他交通费、其他商品和服务支出等。</w:t>
      </w:r>
    </w:p>
    <w:p>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115.00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64.58</w:t>
      </w:r>
      <w:r>
        <w:rPr>
          <w:rFonts w:ascii="Times New Roman" w:hAnsi="Times New Roman" w:eastAsia="仿宋_GB2312" w:cs="Times New Roman"/>
          <w:sz w:val="32"/>
          <w:szCs w:val="32"/>
        </w:rPr>
        <w:t>%。决算数大于预算数的主要原因</w:t>
      </w:r>
      <w:r>
        <w:rPr>
          <w:rFonts w:hint="eastAsia" w:ascii="Times New Roman" w:hAnsi="Times New Roman" w:eastAsia="仿宋_GB2312" w:cs="Times New Roman"/>
          <w:sz w:val="32"/>
          <w:szCs w:val="32"/>
          <w:lang w:eastAsia="zh-CN"/>
        </w:rPr>
        <w:t>是本度年因业务需要，上级调研通知和下级单位前来交流学习较多，导致接待费增加</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由于上年资金短缺，今年款项支付了上年经费</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决算数与年初预算数持平，主要原因按预算执行，与上年数持平，主要原因本年度未安排因公出国（境）。</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与上年相比无增减变动。</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决算数与预算数持平的主要原因是厉行节约，减少开支。</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115.00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64.58</w:t>
      </w:r>
      <w:r>
        <w:rPr>
          <w:rFonts w:ascii="Times New Roman" w:hAnsi="Times New Roman" w:eastAsia="仿宋_GB2312" w:cs="Times New Roman"/>
          <w:sz w:val="32"/>
          <w:szCs w:val="32"/>
        </w:rPr>
        <w:t>%。决算数大于预算数的主要原因</w:t>
      </w:r>
      <w:r>
        <w:rPr>
          <w:rFonts w:hint="eastAsia" w:ascii="Times New Roman" w:hAnsi="Times New Roman" w:eastAsia="仿宋_GB2312" w:cs="Times New Roman"/>
          <w:sz w:val="32"/>
          <w:szCs w:val="32"/>
          <w:lang w:eastAsia="zh-CN"/>
        </w:rPr>
        <w:t>是本度年因业务需要，上级调研通知和下级单位前来交流学习较多，导致接待费增加</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由于上年资金短缺，今年款项支付了上年经费</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学习、考察、调研</w:t>
      </w:r>
      <w:r>
        <w:rPr>
          <w:rFonts w:ascii="Times New Roman" w:hAnsi="Times New Roman" w:eastAsia="仿宋_GB2312" w:cs="Times New Roman"/>
          <w:sz w:val="32"/>
          <w:szCs w:val="32"/>
        </w:rPr>
        <w:t>发生的接待支出。</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本单位无政府性基金收支</w:t>
      </w:r>
      <w:r>
        <w:rPr>
          <w:rFonts w:hint="eastAsia" w:ascii="Times New Roman" w:hAnsi="Times New Roman" w:eastAsia="仿宋_GB2312" w:cs="Times New Roman"/>
          <w:sz w:val="32"/>
          <w:szCs w:val="32"/>
          <w:lang w:eastAsia="zh-CN"/>
        </w:rPr>
        <w:t>。</w:t>
      </w:r>
    </w:p>
    <w:p>
      <w:pPr>
        <w:pStyle w:val="13"/>
        <w:numPr>
          <w:ilvl w:val="0"/>
          <w:numId w:val="1"/>
        </w:numPr>
        <w:overflowPunct w:val="0"/>
        <w:autoSpaceDE/>
        <w:autoSpaceDN/>
        <w:spacing w:line="600" w:lineRule="exact"/>
        <w:ind w:firstLine="640" w:firstLineChars="200"/>
        <w:jc w:val="both"/>
        <w:rPr>
          <w:rFonts w:hint="eastAsia" w:ascii="Times New Roman" w:hAnsi="Times New Roman" w:cs="Times New Roman"/>
          <w:bCs/>
          <w:sz w:val="32"/>
          <w:szCs w:val="32"/>
        </w:rPr>
      </w:pPr>
      <w:r>
        <w:rPr>
          <w:rFonts w:hint="eastAsia" w:ascii="Times New Roman" w:hAnsi="Times New Roman" w:cs="Times New Roman"/>
          <w:bCs/>
          <w:sz w:val="32"/>
          <w:szCs w:val="32"/>
        </w:rPr>
        <w:t>国有资产经营预算收入支出决算情况</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年度本部门无国有资本经营预算财政拨款收入，也没有国有资本经营预算财政拨款支出。</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十、关于机关运行经费支出说明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16.29</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0.69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4.42</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军转安置1人，人员经费增加。</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十一、一般性支出情况说明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没有举办</w:t>
      </w:r>
      <w:r>
        <w:rPr>
          <w:rFonts w:ascii="Times New Roman" w:hAnsi="Times New Roman" w:eastAsia="仿宋_GB2312" w:cs="Times New Roman"/>
          <w:sz w:val="32"/>
          <w:szCs w:val="32"/>
        </w:rPr>
        <w:t>举办节庆、晚会、论坛、赛事活动</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color w:val="auto"/>
          <w:sz w:val="32"/>
          <w:szCs w:val="32"/>
        </w:rPr>
        <w:t>十二、</w:t>
      </w:r>
      <w:r>
        <w:rPr>
          <w:rFonts w:ascii="Times New Roman" w:hAnsi="Times New Roman" w:cs="Times New Roman"/>
          <w:bCs/>
          <w:sz w:val="32"/>
          <w:szCs w:val="32"/>
        </w:rPr>
        <w:t>关于政府采购支出说明</w:t>
      </w:r>
    </w:p>
    <w:p>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6.21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2.29</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3.92</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6.21</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6.21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36.88</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63.12</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十三、关于国有资产占用情况说明</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w:t>
      </w:r>
      <w:r>
        <w:rPr>
          <w:rFonts w:hint="eastAsia" w:ascii="Times New Roman" w:hAnsi="Times New Roman" w:eastAsia="仿宋_GB2312" w:cs="Times New Roman"/>
          <w:kern w:val="0"/>
          <w:sz w:val="32"/>
          <w:szCs w:val="32"/>
          <w:lang w:eastAsia="zh-CN"/>
        </w:rPr>
        <w:t>中心</w:t>
      </w:r>
      <w:r>
        <w:rPr>
          <w:rFonts w:ascii="Times New Roman" w:hAnsi="Times New Roman" w:eastAsia="仿宋_GB2312" w:cs="Times New Roman"/>
          <w:kern w:val="0"/>
          <w:sz w:val="32"/>
          <w:szCs w:val="32"/>
        </w:rPr>
        <w:t>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27.00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27.00</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11.30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w:t>
      </w:r>
      <w:r>
        <w:rPr>
          <w:rFonts w:hint="eastAsia" w:ascii="Times New Roman" w:hAnsi="Times New Roman" w:eastAsia="仿宋_GB2312" w:cs="Times New Roman"/>
          <w:kern w:val="0"/>
          <w:sz w:val="32"/>
          <w:szCs w:val="32"/>
          <w:lang w:eastAsia="zh-CN"/>
        </w:rPr>
        <w:t>中心</w:t>
      </w:r>
      <w:r>
        <w:rPr>
          <w:rFonts w:ascii="Times New Roman" w:hAnsi="Times New Roman" w:eastAsia="仿宋_GB2312" w:cs="Times New Roman"/>
          <w:kern w:val="0"/>
          <w:sz w:val="32"/>
          <w:szCs w:val="32"/>
        </w:rPr>
        <w:t>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239.26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238.89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99.85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94.48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开展乡村人才培训</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期</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完善重点产业培训示范基地</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个</w:t>
      </w:r>
      <w:r>
        <w:rPr>
          <w:rFonts w:hint="eastAsia" w:ascii="Times New Roman" w:hAnsi="Times New Roman" w:eastAsia="仿宋_GB2312" w:cs="Times New Roman"/>
          <w:sz w:val="32"/>
          <w:szCs w:val="32"/>
          <w:lang w:eastAsia="zh-CN"/>
        </w:rPr>
        <w:t>；三是发送新闻稿件5篇</w:t>
      </w:r>
      <w:r>
        <w:rPr>
          <w:rFonts w:ascii="Times New Roman" w:hAnsi="Times New Roman" w:eastAsia="仿宋_GB2312" w:cs="Times New Roman"/>
          <w:sz w:val="32"/>
          <w:szCs w:val="32"/>
        </w:rPr>
        <w:t>。发现的主要问题及原因：一是</w:t>
      </w:r>
      <w:r>
        <w:rPr>
          <w:rFonts w:ascii="Calibri" w:hAnsi="仿宋_GB2312" w:eastAsia="仿宋_GB2312" w:cs="Times New Roman"/>
          <w:sz w:val="32"/>
          <w:szCs w:val="32"/>
        </w:rPr>
        <w:t>收支预算执行过程中</w:t>
      </w:r>
      <w:r>
        <w:rPr>
          <w:rFonts w:hint="eastAsia" w:ascii="Calibri" w:hAnsi="仿宋_GB2312" w:eastAsia="仿宋_GB2312" w:cs="Times New Roman"/>
          <w:sz w:val="32"/>
          <w:szCs w:val="32"/>
          <w:lang w:eastAsia="zh-CN"/>
        </w:rPr>
        <w:t>存在</w:t>
      </w:r>
      <w:r>
        <w:rPr>
          <w:rFonts w:ascii="Calibri" w:hAnsi="仿宋_GB2312" w:eastAsia="仿宋_GB2312" w:cs="Times New Roman"/>
          <w:sz w:val="32"/>
          <w:szCs w:val="32"/>
        </w:rPr>
        <w:t>偏差</w:t>
      </w:r>
      <w:r>
        <w:rPr>
          <w:rFonts w:hint="eastAsia" w:hAnsi="仿宋_GB2312" w:eastAsia="仿宋_GB2312"/>
          <w:sz w:val="32"/>
          <w:szCs w:val="32"/>
        </w:rPr>
        <w:t>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绩效指标缺乏经费保障，实现绩效目标存在一定困难</w:t>
      </w:r>
      <w:r>
        <w:rPr>
          <w:rFonts w:ascii="Times New Roman" w:hAnsi="Times New Roman" w:eastAsia="仿宋_GB2312" w:cs="Times New Roman"/>
          <w:sz w:val="32"/>
          <w:szCs w:val="32"/>
        </w:rPr>
        <w:t>。下一步改进措施：一是</w:t>
      </w:r>
      <w:r>
        <w:rPr>
          <w:rFonts w:ascii="Calibri" w:hAnsi="仿宋_GB2312" w:eastAsia="仿宋_GB2312" w:cs="Times New Roman"/>
          <w:sz w:val="32"/>
          <w:szCs w:val="32"/>
        </w:rPr>
        <w:t>在编制部门预算时，结合专项业务工作的实际情况，考虑追加资金的可能性，</w:t>
      </w:r>
      <w:r>
        <w:rPr>
          <w:rFonts w:hint="eastAsia" w:hAnsi="仿宋_GB2312" w:eastAsia="仿宋_GB2312"/>
          <w:sz w:val="32"/>
          <w:szCs w:val="32"/>
        </w:rPr>
        <w:t>有效减少</w:t>
      </w:r>
      <w:r>
        <w:rPr>
          <w:rFonts w:ascii="Calibri" w:hAnsi="仿宋_GB2312" w:eastAsia="仿宋_GB2312" w:cs="Times New Roman"/>
          <w:sz w:val="32"/>
          <w:szCs w:val="32"/>
        </w:rPr>
        <w:t>部门收支预算执行过程中偏差</w:t>
      </w:r>
      <w:r>
        <w:rPr>
          <w:rFonts w:hint="eastAsia" w:hAnsi="仿宋_GB2312" w:eastAsia="仿宋_GB2312"/>
          <w:sz w:val="32"/>
          <w:szCs w:val="32"/>
        </w:rPr>
        <w:t>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建议财政提高项目资金的保障力度</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highlight w:val="none"/>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kern w:val="2"/>
          <w:sz w:val="32"/>
          <w:szCs w:val="32"/>
          <w:highlight w:val="none"/>
          <w:lang w:val="en-US" w:eastAsia="zh-CN" w:bidi="ar-SA"/>
        </w:rPr>
        <w:t>一是</w:t>
      </w:r>
      <w:r>
        <w:rPr>
          <w:rFonts w:hint="default" w:ascii="Times New Roman" w:hAnsi="Times New Roman" w:eastAsia="仿宋_GB2312" w:cs="Times New Roman"/>
          <w:color w:val="auto"/>
          <w:kern w:val="2"/>
          <w:sz w:val="32"/>
          <w:szCs w:val="32"/>
          <w:highlight w:val="none"/>
          <w:lang w:val="en-US" w:eastAsia="zh-CN" w:bidi="ar-SA"/>
        </w:rPr>
        <w:t>针对绩效自评发现的问题，</w:t>
      </w:r>
      <w:r>
        <w:rPr>
          <w:rFonts w:hint="eastAsia" w:ascii="Times New Roman" w:hAnsi="Times New Roman" w:eastAsia="仿宋_GB2312" w:cs="Times New Roman"/>
          <w:color w:val="auto"/>
          <w:kern w:val="2"/>
          <w:sz w:val="32"/>
          <w:szCs w:val="32"/>
          <w:highlight w:val="none"/>
          <w:lang w:val="en-US" w:eastAsia="zh-CN" w:bidi="ar-SA"/>
        </w:rPr>
        <w:t>建立《问题清单》，</w:t>
      </w:r>
      <w:r>
        <w:rPr>
          <w:rFonts w:hint="default" w:ascii="Times New Roman" w:hAnsi="Times New Roman" w:eastAsia="仿宋_GB2312" w:cs="Times New Roman"/>
          <w:color w:val="auto"/>
          <w:kern w:val="2"/>
          <w:sz w:val="32"/>
          <w:szCs w:val="32"/>
          <w:highlight w:val="none"/>
          <w:lang w:val="en-US" w:eastAsia="zh-CN" w:bidi="ar-SA"/>
        </w:rPr>
        <w:t>进行整改</w:t>
      </w:r>
      <w:r>
        <w:rPr>
          <w:rFonts w:hint="eastAsia" w:ascii="Times New Roman" w:hAnsi="Times New Roman" w:eastAsia="仿宋_GB2312" w:cs="Times New Roman"/>
          <w:color w:val="auto"/>
          <w:kern w:val="2"/>
          <w:sz w:val="32"/>
          <w:szCs w:val="32"/>
          <w:highlight w:val="none"/>
          <w:lang w:val="en-US" w:eastAsia="zh-CN" w:bidi="ar-SA"/>
        </w:rPr>
        <w:t>，并跟踪整改结果。二是将此次绩效自评结果</w:t>
      </w:r>
      <w:r>
        <w:rPr>
          <w:rFonts w:hint="default" w:ascii="Times New Roman" w:hAnsi="Times New Roman" w:eastAsia="仿宋_GB2312" w:cs="Times New Roman"/>
          <w:color w:val="auto"/>
          <w:kern w:val="2"/>
          <w:sz w:val="32"/>
          <w:szCs w:val="32"/>
          <w:highlight w:val="none"/>
          <w:lang w:val="en-US" w:eastAsia="zh-CN" w:bidi="ar-SA"/>
        </w:rPr>
        <w:t>作为部门绩效考核和下年度资金安排参考依据。</w:t>
      </w:r>
      <w:r>
        <w:rPr>
          <w:rFonts w:hint="eastAsia" w:ascii="Times New Roman" w:hAnsi="Times New Roman" w:eastAsia="仿宋_GB2312" w:cs="Times New Roman"/>
          <w:color w:val="auto"/>
          <w:kern w:val="2"/>
          <w:sz w:val="32"/>
          <w:szCs w:val="32"/>
          <w:highlight w:val="none"/>
          <w:lang w:val="en-US" w:eastAsia="zh-CN" w:bidi="ar-SA"/>
        </w:rPr>
        <w:t>三是根据要求将</w:t>
      </w:r>
      <w:r>
        <w:rPr>
          <w:rFonts w:hint="default" w:ascii="Times New Roman" w:hAnsi="Times New Roman" w:eastAsia="仿宋_GB2312" w:cs="Times New Roman"/>
          <w:color w:val="auto"/>
          <w:kern w:val="2"/>
          <w:sz w:val="32"/>
          <w:szCs w:val="32"/>
          <w:highlight w:val="none"/>
          <w:lang w:val="en-US" w:eastAsia="zh-CN" w:bidi="ar-SA"/>
        </w:rPr>
        <w:t>本报告进行公示</w:t>
      </w:r>
    </w:p>
    <w:p>
      <w:pPr>
        <w:pStyle w:val="13"/>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rPr>
          <w:rFonts w:ascii="Times New Roman" w:hAnsi="Times New Roman" w:cs="Times New Roman"/>
          <w:sz w:val="72"/>
          <w:szCs w:val="72"/>
        </w:rPr>
      </w:pPr>
      <w:r>
        <w:rPr>
          <w:rFonts w:ascii="Times New Roman" w:hAnsi="Times New Roman" w:cs="Times New Roman"/>
          <w:sz w:val="72"/>
          <w:szCs w:val="72"/>
        </w:rPr>
        <w:br w:type="page"/>
      </w: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一、财政拨款收入：指财政当年拨付的资金。 </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三、经营收入：指事业单位在专业业务活动及其辅助活动之外开展非独立核算经营活动取得的收入。如：中国财政杂志社广告收入等。 </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四、其他收入：指除上述“财政拨款收入”、“事业收入”、“经营收入”等以外的收入。主要是按规定动用的售房收入、存款利息收入等。 </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六、年初结转和结余：指以前年度尚未完成、结转到本年按有关规定继续使用的资金。 </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七、结余分配：指事业单位按规定提取的职工福利基金、事业基金和缴纳的所得税，以及建设单位按规定应交回的基本建设竣工项目结余资金。</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八、年末结转和结余：指本年度或以前年度预算安排、因客观条件发生变化无法按原计划实施，需要延迟到以后年度按有关规定继续使用的资金。 </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九、基本支出：指为保障机构正常运转、完成日常工作任务而发生的人员支出和公用支出。 </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十、项目支出：指在基本支出之外为完成特定行政任务和事业发展目标所发生的支出。 </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十一、经营支出：指事业单位在专业业务活动及其辅助活动之外开展非独立核算经营活动发生的支出。 </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rPr>
          <w:rFonts w:ascii="Times New Roman" w:hAnsi="Times New Roman" w:cs="Times New Roman"/>
          <w:sz w:val="72"/>
          <w:szCs w:val="72"/>
        </w:rPr>
      </w:pPr>
      <w:r>
        <w:rPr>
          <w:rFonts w:ascii="Times New Roman" w:hAnsi="Times New Roman" w:cs="Times New Roman"/>
          <w:sz w:val="72"/>
          <w:szCs w:val="72"/>
        </w:rPr>
        <w:br w:type="page"/>
      </w: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3"/>
        <w:spacing w:line="60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一</w:t>
      </w:r>
      <w:r>
        <w:rPr>
          <w:rFonts w:hint="eastAsia" w:ascii="Times New Roman" w:hAnsi="Times New Roman" w:eastAsia="仿宋_GB2312" w:cs="Times New Roman"/>
          <w:sz w:val="32"/>
          <w:szCs w:val="32"/>
          <w:lang w:eastAsia="zh-CN"/>
        </w:rPr>
        <w:t>、怀化市农业科技教育促进中心</w:t>
      </w:r>
      <w:r>
        <w:rPr>
          <w:rFonts w:hint="eastAsia" w:ascii="Times New Roman" w:hAnsi="Times New Roman" w:eastAsia="仿宋_GB2312" w:cs="Times New Roman"/>
          <w:sz w:val="32"/>
          <w:szCs w:val="32"/>
          <w:lang w:val="en-US" w:eastAsia="zh-CN"/>
        </w:rPr>
        <w:t>2024年度决算公开表</w:t>
      </w:r>
      <w:r>
        <w:rPr>
          <w:rFonts w:hint="default" w:ascii="Times New Roman" w:hAnsi="Times New Roman" w:eastAsia="仿宋_GB2312" w:cs="Times New Roman"/>
          <w:sz w:val="32"/>
          <w:szCs w:val="32"/>
          <w:lang w:eastAsia="zh-CN"/>
        </w:rPr>
        <w:t>；</w:t>
      </w:r>
    </w:p>
    <w:p>
      <w:pPr>
        <w:pStyle w:val="13"/>
        <w:spacing w:line="600" w:lineRule="exact"/>
        <w:ind w:firstLine="640" w:firstLineChars="200"/>
        <w:rPr>
          <w:rFonts w:hint="default" w:ascii="Times New Roman" w:hAnsi="Times New Roman" w:eastAsia="仿宋_GB2312" w:cs="Times New Roman"/>
          <w:sz w:val="32"/>
          <w:szCs w:val="32"/>
        </w:rPr>
      </w:pPr>
      <w:r>
        <w:rPr>
          <w:rFonts w:ascii="Times New Roman" w:hAnsi="Times New Roman" w:eastAsia="仿宋_GB2312" w:cs="Times New Roman"/>
          <w:b/>
          <w:bCs/>
          <w:sz w:val="32"/>
          <w:szCs w:val="32"/>
        </w:rPr>
        <w:t>二</w:t>
      </w:r>
      <w:r>
        <w:rPr>
          <w:rFonts w:ascii="Times New Roman" w:hAnsi="Times New Roman" w:eastAsia="仿宋_GB2312" w:cs="Times New Roman"/>
          <w:b/>
          <w:bCs/>
          <w:sz w:val="32"/>
          <w:szCs w:val="32"/>
        </w:rPr>
        <w:t>、</w:t>
      </w:r>
      <w:r>
        <w:rPr>
          <w:rFonts w:hint="eastAsia" w:ascii="Times New Roman" w:hAnsi="Times New Roman" w:eastAsia="仿宋_GB2312" w:cs="Times New Roman"/>
          <w:sz w:val="32"/>
          <w:szCs w:val="32"/>
          <w:lang w:eastAsia="zh-CN"/>
        </w:rPr>
        <w:t>怀化市农业科技</w:t>
      </w:r>
      <w:bookmarkStart w:id="3" w:name="_GoBack"/>
      <w:bookmarkEnd w:id="3"/>
      <w:r>
        <w:rPr>
          <w:rFonts w:hint="eastAsia" w:ascii="Times New Roman" w:hAnsi="Times New Roman" w:eastAsia="仿宋_GB2312" w:cs="Times New Roman"/>
          <w:sz w:val="32"/>
          <w:szCs w:val="32"/>
          <w:lang w:eastAsia="zh-CN"/>
        </w:rPr>
        <w:t>教育促进中心</w:t>
      </w:r>
      <w:r>
        <w:rPr>
          <w:rFonts w:ascii="Times New Roman" w:hAnsi="Times New Roman" w:eastAsia="仿宋_GB2312" w:cs="Times New Roman"/>
          <w:sz w:val="32"/>
          <w:szCs w:val="32"/>
        </w:rPr>
        <w:t>2024年度部门整体支出绩效自评报告</w:t>
      </w:r>
      <w:r>
        <w:rPr>
          <w:rFonts w:ascii="Times New Roman" w:hAnsi="Times New Roman" w:eastAsia="仿宋_GB2312" w:cs="Times New Roman"/>
          <w:sz w:val="32"/>
          <w:szCs w:val="32"/>
        </w:rPr>
        <w:t>；</w:t>
      </w:r>
    </w:p>
    <w:p>
      <w:pPr>
        <w:pStyle w:val="13"/>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三</w:t>
      </w:r>
      <w:r>
        <w:rPr>
          <w:rFonts w:hint="eastAsia" w:ascii="Times New Roman" w:hAnsi="Times New Roman" w:eastAsia="仿宋_GB2312" w:cs="Times New Roman"/>
          <w:sz w:val="32"/>
          <w:szCs w:val="32"/>
          <w:lang w:eastAsia="zh-CN"/>
        </w:rPr>
        <w:t>、怀化市农业科技教育促进中心</w:t>
      </w:r>
      <w:r>
        <w:rPr>
          <w:rFonts w:ascii="Times New Roman" w:hAnsi="Times New Roman" w:eastAsia="仿宋_GB2312" w:cs="Times New Roman"/>
          <w:sz w:val="32"/>
          <w:szCs w:val="32"/>
        </w:rPr>
        <w:t>2024年度部门</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rPr>
        <w:t>支出绩效自评报告</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p>
    <w:p>
      <w:pPr>
        <w:pStyle w:val="13"/>
        <w:numPr>
          <w:ilvl w:val="0"/>
          <w:numId w:val="0"/>
        </w:numPr>
        <w:spacing w:line="600" w:lineRule="exact"/>
        <w:rPr>
          <w:rFonts w:hint="default" w:ascii="Times New Roman" w:hAnsi="Times New Roman" w:eastAsia="仿宋_GB2312" w:cs="Times New Roman"/>
          <w:sz w:val="32"/>
          <w:szCs w:val="32"/>
          <w:lang w:val="en-US" w:eastAsia="zh-CN"/>
        </w:rPr>
      </w:pPr>
    </w:p>
    <w:p>
      <w:pPr>
        <w:pStyle w:val="13"/>
        <w:spacing w:line="600" w:lineRule="exact"/>
        <w:ind w:firstLine="640" w:firstLineChars="200"/>
        <w:rPr>
          <w:rFonts w:ascii="Times New Roman" w:hAnsi="Times New Roman" w:eastAsia="仿宋_GB2312" w:cs="Times New Roman"/>
          <w:sz w:val="32"/>
          <w:szCs w:val="32"/>
        </w:rPr>
      </w:pPr>
    </w:p>
    <w:p>
      <w:pPr>
        <w:pStyle w:val="13"/>
        <w:spacing w:line="600" w:lineRule="exact"/>
        <w:ind w:firstLine="640" w:firstLineChars="200"/>
        <w:rPr>
          <w:rFonts w:ascii="Times New Roman" w:hAnsi="Times New Roman" w:eastAsia="仿宋_GB2312" w:cs="Times New Roman"/>
          <w:sz w:val="32"/>
          <w:szCs w:val="3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方正书宋_GBK"/>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5dblS0AAAAAUBAAAPAAAAAAAAAAEAIAAA&#10;ADgAAABkcnMvZG93bnJldi54bWxQSwECFAAUAAAACACHTuJAig5Ohv4BAADoAwAADgAAAAAAAAAB&#10;ACAAAAA1AQAAZHJzL2Uyb0RvYy54bWxQSwUGAAAAAAYABgBZAQAApQUAAAAA&#10;">
              <v:fill on="f" focussize="0,0"/>
              <v:stroke on="f"/>
              <v:imagedata o:title=""/>
              <o:lock v:ext="edit" aspectratio="t"/>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8A776"/>
    <w:multiLevelType w:val="singleLevel"/>
    <w:tmpl w:val="5678A776"/>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25A1B"/>
    <w:rsid w:val="1CEF1E44"/>
    <w:rsid w:val="1FFF2DB8"/>
    <w:rsid w:val="355A1251"/>
    <w:rsid w:val="36E3D7A8"/>
    <w:rsid w:val="37DFCE5E"/>
    <w:rsid w:val="4CA97EBE"/>
    <w:rsid w:val="4EEB3766"/>
    <w:rsid w:val="5BEB4A2C"/>
    <w:rsid w:val="5FD19EC4"/>
    <w:rsid w:val="696F1EDE"/>
    <w:rsid w:val="6E3FC268"/>
    <w:rsid w:val="6FBF5927"/>
    <w:rsid w:val="773738D4"/>
    <w:rsid w:val="7757B2BB"/>
    <w:rsid w:val="77CFA1BD"/>
    <w:rsid w:val="77D68833"/>
    <w:rsid w:val="7CFDA54A"/>
    <w:rsid w:val="7DBA257C"/>
    <w:rsid w:val="7EF9FD98"/>
    <w:rsid w:val="7EFFE565"/>
    <w:rsid w:val="7FDBB624"/>
    <w:rsid w:val="7FFDCF39"/>
    <w:rsid w:val="8EBC7483"/>
    <w:rsid w:val="9EF6C743"/>
    <w:rsid w:val="AFFB2474"/>
    <w:rsid w:val="B7F3A335"/>
    <w:rsid w:val="BEFD1F76"/>
    <w:rsid w:val="BF222CA6"/>
    <w:rsid w:val="BFFD2681"/>
    <w:rsid w:val="D6FE77C9"/>
    <w:rsid w:val="D7FD1F9E"/>
    <w:rsid w:val="DBFDC80E"/>
    <w:rsid w:val="DEBEB7B4"/>
    <w:rsid w:val="DFEBDFCC"/>
    <w:rsid w:val="E53F3C34"/>
    <w:rsid w:val="E78EC2D5"/>
    <w:rsid w:val="E7FE8EC6"/>
    <w:rsid w:val="ECFEA3A9"/>
    <w:rsid w:val="EF1FACDC"/>
    <w:rsid w:val="F5EF4E1B"/>
    <w:rsid w:val="F7FFA7BF"/>
    <w:rsid w:val="F8F7D15C"/>
    <w:rsid w:val="FADBDC34"/>
    <w:rsid w:val="FBF68921"/>
    <w:rsid w:val="FD593025"/>
    <w:rsid w:val="FEEBCA8A"/>
    <w:rsid w:val="FFE64112"/>
    <w:rsid w:val="FFFFD73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TotalTime>6</TotalTime>
  <ScaleCrop>false</ScaleCrop>
  <LinksUpToDate>false</LinksUpToDate>
  <CharactersWithSpaces>9786</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2025-08-19T18:17:00Z</dcterms:created>
  <dc:creator>李航 null</dc:creator>
  <cp:lastModifiedBy>greatwall</cp:lastModifiedBy>
  <cp:lastPrinted>2025-09-19T18:15:00Z</cp:lastPrinted>
  <dcterms:modified xsi:type="dcterms:W3CDTF">2025-09-28T12:40:18Z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BB7B6AA21D207914D6FDA268992A22D6</vt:lpwstr>
  </property>
</Properties>
</file>