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BE316">
      <w:pPr>
        <w:pStyle w:val="13"/>
        <w:jc w:val="both"/>
        <w:rPr>
          <w:rFonts w:hAnsi="黑体"/>
          <w:sz w:val="36"/>
          <w:szCs w:val="36"/>
        </w:rPr>
      </w:pPr>
      <w:r>
        <w:rPr>
          <w:rFonts w:hint="eastAsia" w:hAnsi="黑体"/>
          <w:sz w:val="36"/>
          <w:szCs w:val="36"/>
        </w:rPr>
        <w:t>附件2</w:t>
      </w:r>
    </w:p>
    <w:p w14:paraId="33940E05">
      <w:pPr>
        <w:pStyle w:val="13"/>
        <w:jc w:val="center"/>
        <w:rPr>
          <w:rFonts w:ascii="Times New Roman" w:hAnsi="Times New Roman" w:cs="Times New Roman"/>
          <w:sz w:val="56"/>
          <w:szCs w:val="56"/>
        </w:rPr>
      </w:pPr>
    </w:p>
    <w:p w14:paraId="1EA1BA76">
      <w:pPr>
        <w:pStyle w:val="13"/>
        <w:jc w:val="center"/>
        <w:rPr>
          <w:rFonts w:ascii="Times New Roman" w:hAnsi="Times New Roman" w:cs="Times New Roman"/>
          <w:sz w:val="84"/>
          <w:szCs w:val="84"/>
        </w:rPr>
      </w:pPr>
    </w:p>
    <w:p w14:paraId="68480845">
      <w:pPr>
        <w:pStyle w:val="13"/>
        <w:jc w:val="center"/>
        <w:rPr>
          <w:rFonts w:ascii="Times New Roman" w:hAnsi="Times New Roman" w:cs="Times New Roman"/>
          <w:sz w:val="84"/>
          <w:szCs w:val="84"/>
        </w:rPr>
      </w:pPr>
    </w:p>
    <w:p w14:paraId="2B28CE46">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2FA4DAC8">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怀化市交通运输从业资</w:t>
      </w:r>
      <w:r>
        <w:rPr>
          <w:rFonts w:hint="eastAsia" w:ascii="Times New Roman" w:hAnsi="Times New Roman" w:eastAsia="方正小标宋简体" w:cs="Times New Roman"/>
          <w:sz w:val="72"/>
          <w:szCs w:val="72"/>
          <w:lang w:eastAsia="zh-CN"/>
        </w:rPr>
        <w:t>格</w:t>
      </w:r>
      <w:r>
        <w:rPr>
          <w:rFonts w:hint="eastAsia" w:ascii="Times New Roman" w:hAnsi="Times New Roman" w:eastAsia="方正小标宋简体" w:cs="Times New Roman"/>
          <w:sz w:val="72"/>
          <w:szCs w:val="72"/>
        </w:rPr>
        <w:t>考试中心</w:t>
      </w:r>
      <w:r>
        <w:rPr>
          <w:rFonts w:ascii="Times New Roman" w:hAnsi="Times New Roman" w:eastAsia="方正小标宋简体" w:cs="Times New Roman"/>
          <w:sz w:val="72"/>
          <w:szCs w:val="72"/>
        </w:rPr>
        <w:t>部门决算</w:t>
      </w:r>
    </w:p>
    <w:p w14:paraId="4929BA1D">
      <w:pPr>
        <w:pStyle w:val="13"/>
        <w:jc w:val="center"/>
        <w:rPr>
          <w:rFonts w:ascii="Times New Roman" w:hAnsi="Times New Roman" w:eastAsia="方正小标宋_GBK" w:cs="Times New Roman"/>
          <w:sz w:val="56"/>
          <w:szCs w:val="56"/>
        </w:rPr>
      </w:pPr>
    </w:p>
    <w:p w14:paraId="4DCC44D5">
      <w:pPr>
        <w:pStyle w:val="13"/>
        <w:jc w:val="center"/>
        <w:rPr>
          <w:rFonts w:ascii="Times New Roman" w:hAnsi="Times New Roman" w:cs="Times New Roman"/>
          <w:sz w:val="56"/>
          <w:szCs w:val="56"/>
        </w:rPr>
      </w:pPr>
    </w:p>
    <w:p w14:paraId="388E7D72">
      <w:pPr>
        <w:pStyle w:val="13"/>
        <w:rPr>
          <w:rFonts w:ascii="Times New Roman" w:hAnsi="Times New Roman" w:cs="Times New Roman"/>
          <w:sz w:val="56"/>
          <w:szCs w:val="56"/>
        </w:rPr>
      </w:pPr>
    </w:p>
    <w:p w14:paraId="2D66847B">
      <w:pPr>
        <w:pStyle w:val="13"/>
        <w:jc w:val="center"/>
        <w:rPr>
          <w:rFonts w:ascii="Times New Roman" w:hAnsi="Times New Roman" w:cs="Times New Roman"/>
          <w:sz w:val="32"/>
          <w:szCs w:val="32"/>
        </w:rPr>
      </w:pPr>
    </w:p>
    <w:p w14:paraId="34B43AC8">
      <w:pPr>
        <w:pStyle w:val="13"/>
        <w:jc w:val="center"/>
        <w:rPr>
          <w:rFonts w:ascii="Times New Roman" w:hAnsi="Times New Roman" w:cs="Times New Roman"/>
          <w:sz w:val="32"/>
          <w:szCs w:val="32"/>
        </w:rPr>
      </w:pPr>
    </w:p>
    <w:p w14:paraId="7DB01555">
      <w:pPr>
        <w:pStyle w:val="13"/>
        <w:jc w:val="center"/>
        <w:rPr>
          <w:rFonts w:ascii="Times New Roman" w:hAnsi="Times New Roman" w:cs="Times New Roman"/>
          <w:sz w:val="32"/>
          <w:szCs w:val="32"/>
        </w:rPr>
      </w:pPr>
    </w:p>
    <w:p w14:paraId="5AD78BE7">
      <w:pPr>
        <w:pStyle w:val="13"/>
        <w:jc w:val="center"/>
        <w:rPr>
          <w:rFonts w:ascii="Times New Roman" w:hAnsi="Times New Roman" w:cs="Times New Roman"/>
          <w:sz w:val="32"/>
          <w:szCs w:val="32"/>
        </w:rPr>
      </w:pPr>
    </w:p>
    <w:p w14:paraId="464A2990">
      <w:pPr>
        <w:pStyle w:val="13"/>
        <w:jc w:val="center"/>
        <w:rPr>
          <w:rFonts w:ascii="Times New Roman" w:hAnsi="Times New Roman" w:cs="Times New Roman"/>
          <w:sz w:val="32"/>
          <w:szCs w:val="32"/>
        </w:rPr>
      </w:pPr>
    </w:p>
    <w:p w14:paraId="7552EBF9">
      <w:pPr>
        <w:pStyle w:val="13"/>
        <w:jc w:val="center"/>
        <w:rPr>
          <w:rFonts w:ascii="Times New Roman" w:hAnsi="Times New Roman" w:cs="Times New Roman"/>
          <w:sz w:val="32"/>
          <w:szCs w:val="32"/>
        </w:rPr>
      </w:pPr>
    </w:p>
    <w:p w14:paraId="2C6643C4">
      <w:pPr>
        <w:pStyle w:val="13"/>
        <w:spacing w:line="540" w:lineRule="exact"/>
        <w:jc w:val="center"/>
        <w:rPr>
          <w:rFonts w:ascii="Times New Roman" w:hAnsi="Times New Roman" w:cs="Times New Roman"/>
          <w:sz w:val="56"/>
          <w:szCs w:val="56"/>
        </w:rPr>
      </w:pPr>
    </w:p>
    <w:p w14:paraId="3A1C8A1F">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597D55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D04096E">
      <w:pPr>
        <w:pStyle w:val="13"/>
        <w:spacing w:line="600" w:lineRule="exact"/>
        <w:jc w:val="both"/>
        <w:rPr>
          <w:rFonts w:ascii="Times New Roman" w:hAnsi="Times New Roman" w:cs="Times New Roman"/>
          <w:b/>
          <w:sz w:val="36"/>
          <w:szCs w:val="28"/>
        </w:rPr>
      </w:pPr>
    </w:p>
    <w:p w14:paraId="106D74D5">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AAF12E1">
      <w:pPr>
        <w:pStyle w:val="13"/>
        <w:spacing w:line="600" w:lineRule="exact"/>
        <w:jc w:val="center"/>
        <w:rPr>
          <w:rFonts w:ascii="Times New Roman" w:hAnsi="Times New Roman" w:cs="Times New Roman"/>
          <w:b/>
          <w:sz w:val="36"/>
          <w:szCs w:val="28"/>
        </w:rPr>
      </w:pPr>
    </w:p>
    <w:p w14:paraId="2DC1A0F7">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怀化市交通运输从业资格考试中心</w:t>
      </w:r>
      <w:r>
        <w:rPr>
          <w:rFonts w:ascii="Times New Roman" w:hAnsi="Times New Roman" w:cs="Times New Roman"/>
          <w:bCs/>
          <w:sz w:val="32"/>
          <w:szCs w:val="32"/>
        </w:rPr>
        <w:t>概况</w:t>
      </w:r>
    </w:p>
    <w:p w14:paraId="74375B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2021A8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5DC37C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DC4095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913CB8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34EA76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45B48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92F63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ADFEA8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49CCB6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EA07D7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1BEE6B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3958D2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B4F6F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3CA9C3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51458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3C765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5A3D1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935F0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B4776B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CA48D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DFA1558">
      <w:pPr>
        <w:autoSpaceDE w:val="0"/>
        <w:autoSpaceDN w:val="0"/>
        <w:adjustRightInd w:val="0"/>
        <w:spacing w:line="600" w:lineRule="exact"/>
        <w:jc w:val="left"/>
        <w:rPr>
          <w:rFonts w:ascii="Times New Roman" w:hAnsi="Times New Roman" w:eastAsia="仿宋_GB2312" w:cs="Times New Roman"/>
          <w:color w:val="FF0000"/>
          <w:kern w:val="0"/>
          <w:sz w:val="32"/>
          <w:szCs w:val="32"/>
          <w:lang w:val="en"/>
        </w:rPr>
      </w:pPr>
      <w:r>
        <w:rPr>
          <w:rFonts w:ascii="Times New Roman" w:hAnsi="Times New Roman" w:eastAsia="仿宋_GB2312" w:cs="Times New Roman"/>
          <w:color w:val="000000"/>
          <w:kern w:val="0"/>
          <w:sz w:val="32"/>
          <w:szCs w:val="32"/>
        </w:rPr>
        <w:t>八、政府性基金预算收入支出决算情况</w:t>
      </w:r>
    </w:p>
    <w:p w14:paraId="73BA4515">
      <w:pPr>
        <w:autoSpaceDE w:val="0"/>
        <w:autoSpaceDN w:val="0"/>
        <w:adjustRightInd w:val="0"/>
        <w:spacing w:line="600" w:lineRule="exact"/>
        <w:jc w:val="left"/>
      </w:pPr>
      <w:r>
        <w:rPr>
          <w:rFonts w:hint="eastAsia" w:ascii="Times New Roman" w:hAnsi="Times New Roman" w:eastAsia="仿宋_GB2312" w:cs="Times New Roman"/>
          <w:kern w:val="0"/>
          <w:sz w:val="32"/>
          <w:szCs w:val="32"/>
          <w:lang w:val="en"/>
        </w:rPr>
        <w:t>九、国有资本经营预算收入支出决算情况</w:t>
      </w:r>
      <w:r>
        <w:rPr>
          <w:rFonts w:ascii="Times New Roman" w:hAnsi="Times New Roman" w:eastAsia="仿宋_GB2312" w:cs="Times New Roman"/>
          <w:kern w:val="0"/>
          <w:sz w:val="32"/>
          <w:szCs w:val="32"/>
          <w:lang w:val="en"/>
        </w:rPr>
        <w:t xml:space="preserve">  </w:t>
      </w:r>
    </w:p>
    <w:p w14:paraId="12E77210">
      <w:pPr>
        <w:autoSpaceDE w:val="0"/>
        <w:autoSpaceDN w:val="0"/>
        <w:adjustRightInd w:val="0"/>
        <w:spacing w:line="600" w:lineRule="exact"/>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w:t>
      </w:r>
      <w:r>
        <w:rPr>
          <w:rFonts w:ascii="Times New Roman" w:hAnsi="Times New Roman" w:eastAsia="仿宋_GB2312" w:cs="Times New Roman"/>
          <w:kern w:val="0"/>
          <w:sz w:val="32"/>
          <w:szCs w:val="32"/>
        </w:rPr>
        <w:t>、关于机关运行经费支出说明</w:t>
      </w:r>
    </w:p>
    <w:p w14:paraId="2060E557">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w:t>
      </w:r>
      <w:r>
        <w:rPr>
          <w:rFonts w:hint="eastAsia" w:ascii="Times New Roman" w:hAnsi="Times New Roman" w:eastAsia="仿宋_GB2312" w:cs="Times New Roman"/>
          <w:kern w:val="0"/>
          <w:sz w:val="32"/>
          <w:szCs w:val="32"/>
        </w:rPr>
        <w:t>一</w:t>
      </w:r>
      <w:r>
        <w:rPr>
          <w:rFonts w:ascii="Times New Roman" w:hAnsi="Times New Roman" w:eastAsia="仿宋_GB2312" w:cs="Times New Roman"/>
          <w:kern w:val="0"/>
          <w:sz w:val="32"/>
          <w:szCs w:val="32"/>
        </w:rPr>
        <w:t>、一般性支出情况说明</w:t>
      </w:r>
    </w:p>
    <w:p w14:paraId="15B7B1DD">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w:t>
      </w:r>
      <w:r>
        <w:rPr>
          <w:rFonts w:hint="eastAsia" w:ascii="Times New Roman" w:hAnsi="Times New Roman" w:eastAsia="仿宋_GB2312" w:cs="Times New Roman"/>
          <w:kern w:val="0"/>
          <w:sz w:val="32"/>
          <w:szCs w:val="32"/>
        </w:rPr>
        <w:t>二</w:t>
      </w:r>
      <w:r>
        <w:rPr>
          <w:rFonts w:ascii="Times New Roman" w:hAnsi="Times New Roman" w:eastAsia="仿宋_GB2312" w:cs="Times New Roman"/>
          <w:kern w:val="0"/>
          <w:sz w:val="32"/>
          <w:szCs w:val="32"/>
        </w:rPr>
        <w:t>、关于政府采购支出说明</w:t>
      </w:r>
    </w:p>
    <w:p w14:paraId="356CA5EE">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rPr>
        <w:t>三</w:t>
      </w:r>
      <w:r>
        <w:rPr>
          <w:rFonts w:ascii="Times New Roman" w:hAnsi="Times New Roman" w:eastAsia="仿宋_GB2312" w:cs="Times New Roman"/>
          <w:color w:val="auto"/>
          <w:sz w:val="32"/>
          <w:szCs w:val="32"/>
        </w:rPr>
        <w:t>、关于国有资产占用情况说明</w:t>
      </w:r>
    </w:p>
    <w:p w14:paraId="0CFE90F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rPr>
        <w:t>四</w:t>
      </w:r>
      <w:r>
        <w:rPr>
          <w:rFonts w:ascii="Times New Roman" w:hAnsi="Times New Roman" w:eastAsia="仿宋_GB2312" w:cs="Times New Roman"/>
          <w:color w:val="auto"/>
          <w:sz w:val="32"/>
          <w:szCs w:val="32"/>
        </w:rPr>
        <w:t>、关于2</w:t>
      </w:r>
      <w:r>
        <w:rPr>
          <w:rFonts w:ascii="Times New Roman" w:hAnsi="Times New Roman" w:eastAsia="仿宋_GB2312" w:cs="Times New Roman"/>
          <w:sz w:val="32"/>
          <w:szCs w:val="32"/>
        </w:rPr>
        <w:t>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0EE81D0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7015E9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C5F1EE7">
      <w:pPr>
        <w:pStyle w:val="13"/>
        <w:spacing w:line="600" w:lineRule="exact"/>
        <w:rPr>
          <w:rFonts w:ascii="Times New Roman" w:hAnsi="Times New Roman" w:cs="Times New Roman"/>
          <w:bCs/>
          <w:sz w:val="28"/>
          <w:szCs w:val="28"/>
        </w:rPr>
      </w:pPr>
    </w:p>
    <w:p w14:paraId="746DD8B4">
      <w:pPr>
        <w:jc w:val="center"/>
        <w:rPr>
          <w:rFonts w:ascii="Times New Roman" w:hAnsi="Times New Roman" w:cs="Times New Roman"/>
          <w:sz w:val="72"/>
          <w:szCs w:val="72"/>
        </w:rPr>
      </w:pPr>
    </w:p>
    <w:p w14:paraId="0531DAC4">
      <w:pPr>
        <w:jc w:val="center"/>
        <w:rPr>
          <w:rFonts w:ascii="Times New Roman" w:hAnsi="Times New Roman" w:cs="Times New Roman"/>
          <w:sz w:val="72"/>
          <w:szCs w:val="72"/>
        </w:rPr>
      </w:pPr>
    </w:p>
    <w:p w14:paraId="371972AC">
      <w:pPr>
        <w:jc w:val="center"/>
        <w:rPr>
          <w:rFonts w:ascii="Times New Roman" w:hAnsi="Times New Roman" w:cs="Times New Roman"/>
          <w:sz w:val="72"/>
          <w:szCs w:val="72"/>
        </w:rPr>
      </w:pPr>
    </w:p>
    <w:p w14:paraId="2240154E">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5AC2DC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E5D7415">
      <w:pPr>
        <w:pStyle w:val="13"/>
        <w:spacing w:line="360" w:lineRule="auto"/>
        <w:jc w:val="center"/>
        <w:rPr>
          <w:rFonts w:ascii="Times New Roman" w:hAnsi="Times New Roman" w:eastAsia="方正小标宋_GBK" w:cs="Times New Roman"/>
          <w:spacing w:val="-20"/>
          <w:sz w:val="52"/>
          <w:szCs w:val="52"/>
        </w:rPr>
      </w:pPr>
      <w:r>
        <w:rPr>
          <w:rFonts w:hint="eastAsia" w:ascii="Times New Roman" w:hAnsi="Times New Roman" w:eastAsia="方正小标宋_GBK" w:cs="Times New Roman"/>
          <w:spacing w:val="-20"/>
          <w:sz w:val="52"/>
          <w:szCs w:val="52"/>
        </w:rPr>
        <w:t>怀化市交通运输从业资格考试中心</w:t>
      </w:r>
      <w:r>
        <w:rPr>
          <w:rFonts w:ascii="Times New Roman" w:hAnsi="Times New Roman" w:eastAsia="方正小标宋_GBK" w:cs="Times New Roman"/>
          <w:spacing w:val="-20"/>
          <w:sz w:val="52"/>
          <w:szCs w:val="52"/>
        </w:rPr>
        <w:t>概况</w:t>
      </w:r>
    </w:p>
    <w:p w14:paraId="17D74727">
      <w:pPr>
        <w:pStyle w:val="3"/>
        <w:ind w:left="0" w:leftChars="0" w:firstLine="0" w:firstLineChars="0"/>
        <w:rPr>
          <w:rFonts w:ascii="Times New Roman" w:hAnsi="Times New Roman" w:cs="Times New Roman"/>
        </w:rPr>
      </w:pPr>
    </w:p>
    <w:p w14:paraId="2FD2296A">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8E3E92A">
      <w:pPr>
        <w:spacing w:line="6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主要承担交通运输系统岗位培训、行业职业技能和从业资格培训考试，旧机动车交易规范服务等事务性职责。</w:t>
      </w:r>
    </w:p>
    <w:p w14:paraId="74AFB0E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0FC4864">
      <w:pPr>
        <w:spacing w:line="600" w:lineRule="exact"/>
        <w:ind w:firstLine="480" w:firstLineChars="1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（一）内设机构设置。怀化市交通运输从业资格考试中心作为怀化市交通运输局的二级部门预算单位，编办未批复内设科室。</w:t>
      </w:r>
    </w:p>
    <w:p w14:paraId="4D7DAB3C">
      <w:pPr>
        <w:spacing w:line="600" w:lineRule="exact"/>
        <w:ind w:firstLine="640" w:firstLineChars="200"/>
        <w:jc w:val="left"/>
        <w:rPr>
          <w:rFonts w:ascii="Times New Roman" w:hAnsi="Times New Roman" w:eastAsia="仿宋_GB2312" w:cs="Times New Roman"/>
          <w:bCs/>
          <w:kern w:val="0"/>
          <w:sz w:val="32"/>
          <w:szCs w:val="32"/>
        </w:rPr>
      </w:pPr>
      <w:r>
        <w:rPr>
          <w:rFonts w:hint="eastAsia" w:ascii="Times New Roman" w:hAnsi="Times New Roman" w:eastAsia="仿宋_GB2312" w:cs="Times New Roman"/>
          <w:sz w:val="32"/>
          <w:szCs w:val="32"/>
        </w:rPr>
        <w:t>（二）决算单位构成。怀化市交通运输从业资格考试中心2025年部门决算公开单位构成包括：怀化市交通运输从业资格考试中心本级。</w:t>
      </w:r>
    </w:p>
    <w:p w14:paraId="03055A27">
      <w:pPr>
        <w:jc w:val="left"/>
        <w:rPr>
          <w:rFonts w:ascii="Times New Roman" w:hAnsi="Times New Roman" w:eastAsia="仿宋_GB2312" w:cs="Times New Roman"/>
          <w:sz w:val="28"/>
          <w:szCs w:val="32"/>
        </w:rPr>
      </w:pPr>
    </w:p>
    <w:p w14:paraId="1C166CC4">
      <w:pPr>
        <w:jc w:val="center"/>
        <w:rPr>
          <w:rFonts w:ascii="Times New Roman" w:hAnsi="Times New Roman" w:eastAsia="黑体" w:cs="Times New Roman"/>
          <w:sz w:val="28"/>
          <w:szCs w:val="28"/>
        </w:rPr>
      </w:pPr>
    </w:p>
    <w:p w14:paraId="7678D4DF">
      <w:pPr>
        <w:jc w:val="center"/>
        <w:rPr>
          <w:rFonts w:ascii="Times New Roman" w:hAnsi="Times New Roman" w:eastAsia="黑体" w:cs="Times New Roman"/>
          <w:sz w:val="28"/>
          <w:szCs w:val="28"/>
        </w:rPr>
      </w:pPr>
    </w:p>
    <w:p w14:paraId="790B1888">
      <w:pPr>
        <w:jc w:val="center"/>
        <w:rPr>
          <w:rFonts w:ascii="Times New Roman" w:hAnsi="Times New Roman" w:eastAsia="黑体" w:cs="Times New Roman"/>
          <w:sz w:val="28"/>
          <w:szCs w:val="28"/>
        </w:rPr>
      </w:pPr>
    </w:p>
    <w:p w14:paraId="6E05D0CF">
      <w:pPr>
        <w:jc w:val="center"/>
        <w:rPr>
          <w:rFonts w:ascii="Times New Roman" w:hAnsi="Times New Roman" w:eastAsia="黑体" w:cs="Times New Roman"/>
          <w:sz w:val="28"/>
          <w:szCs w:val="28"/>
        </w:rPr>
      </w:pPr>
    </w:p>
    <w:p w14:paraId="67AC8B34">
      <w:pPr>
        <w:jc w:val="center"/>
        <w:rPr>
          <w:rFonts w:ascii="Times New Roman" w:hAnsi="Times New Roman" w:eastAsia="黑体" w:cs="Times New Roman"/>
          <w:sz w:val="28"/>
          <w:szCs w:val="28"/>
        </w:rPr>
      </w:pPr>
    </w:p>
    <w:p w14:paraId="55E6C32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4C4A58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E8861C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D23625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88CA47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怀化市交通运输从业资格考试中心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76B7546">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463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4B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F7DDC3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BD5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44FD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B2C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B72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E90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71A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4ACA2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FE3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18EF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148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A4D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8E44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334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C1FA02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3AC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39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EF9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513.81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91E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8C4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51A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13.2</w:t>
            </w:r>
          </w:p>
        </w:tc>
      </w:tr>
      <w:tr w14:paraId="433328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A9E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29C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0D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D4E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2B7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BDF7">
            <w:pPr>
              <w:jc w:val="right"/>
              <w:rPr>
                <w:rFonts w:ascii="Times New Roman" w:hAnsi="Times New Roman" w:eastAsia="仿宋_GB2312" w:cs="Times New Roman"/>
                <w:color w:val="000000"/>
                <w:sz w:val="22"/>
              </w:rPr>
            </w:pPr>
          </w:p>
        </w:tc>
      </w:tr>
      <w:tr w14:paraId="1068787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643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72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C3F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05E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171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B936">
            <w:pPr>
              <w:jc w:val="right"/>
              <w:rPr>
                <w:rFonts w:ascii="Times New Roman" w:hAnsi="Times New Roman" w:eastAsia="仿宋_GB2312" w:cs="Times New Roman"/>
                <w:color w:val="000000"/>
                <w:sz w:val="22"/>
              </w:rPr>
            </w:pPr>
          </w:p>
        </w:tc>
      </w:tr>
      <w:tr w14:paraId="35AFF5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4A1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266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50E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4F8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458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F304">
            <w:pPr>
              <w:jc w:val="right"/>
              <w:rPr>
                <w:rFonts w:ascii="Times New Roman" w:hAnsi="Times New Roman" w:eastAsia="仿宋_GB2312" w:cs="Times New Roman"/>
                <w:color w:val="000000"/>
                <w:sz w:val="22"/>
              </w:rPr>
            </w:pPr>
          </w:p>
        </w:tc>
      </w:tr>
      <w:tr w14:paraId="41DCE1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53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550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07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E2E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75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8D1E">
            <w:pPr>
              <w:jc w:val="right"/>
              <w:rPr>
                <w:rFonts w:ascii="Times New Roman" w:hAnsi="Times New Roman" w:eastAsia="仿宋_GB2312" w:cs="Times New Roman"/>
                <w:color w:val="000000"/>
                <w:sz w:val="22"/>
              </w:rPr>
            </w:pPr>
          </w:p>
        </w:tc>
      </w:tr>
      <w:tr w14:paraId="12178B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A5E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B9B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D94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576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54A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B9C7">
            <w:pPr>
              <w:jc w:val="right"/>
              <w:rPr>
                <w:rFonts w:ascii="Times New Roman" w:hAnsi="Times New Roman" w:eastAsia="仿宋_GB2312" w:cs="Times New Roman"/>
                <w:color w:val="000000"/>
                <w:sz w:val="22"/>
              </w:rPr>
            </w:pPr>
          </w:p>
        </w:tc>
      </w:tr>
      <w:tr w14:paraId="55BDBE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4C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63C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396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078E">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十四、交通运输支出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6E8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20F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500.61</w:t>
            </w:r>
          </w:p>
        </w:tc>
      </w:tr>
      <w:tr w14:paraId="21384F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CD3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C6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F805">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C4B7">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F7C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87FC">
            <w:pPr>
              <w:jc w:val="center"/>
              <w:rPr>
                <w:rFonts w:ascii="Times New Roman" w:hAnsi="Times New Roman" w:eastAsia="仿宋_GB2312" w:cs="Times New Roman"/>
                <w:color w:val="000000"/>
                <w:sz w:val="22"/>
              </w:rPr>
            </w:pPr>
          </w:p>
        </w:tc>
      </w:tr>
      <w:tr w14:paraId="503966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6748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FD8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D8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4C7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002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47E">
            <w:pPr>
              <w:rPr>
                <w:rFonts w:ascii="Times New Roman" w:hAnsi="Times New Roman" w:eastAsia="仿宋_GB2312" w:cs="Times New Roman"/>
                <w:b/>
                <w:color w:val="000000"/>
                <w:sz w:val="22"/>
              </w:rPr>
            </w:pPr>
          </w:p>
        </w:tc>
      </w:tr>
      <w:tr w14:paraId="697594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D2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B40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0D4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80D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82F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F30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513.81</w:t>
            </w:r>
          </w:p>
        </w:tc>
      </w:tr>
      <w:tr w14:paraId="43E08E33">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51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32A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A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F1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178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A174">
            <w:pPr>
              <w:jc w:val="right"/>
              <w:rPr>
                <w:rFonts w:ascii="Times New Roman" w:hAnsi="Times New Roman" w:eastAsia="仿宋_GB2312" w:cs="Times New Roman"/>
                <w:color w:val="000000"/>
                <w:sz w:val="22"/>
              </w:rPr>
            </w:pPr>
          </w:p>
        </w:tc>
      </w:tr>
      <w:tr w14:paraId="7D1C50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5B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C4A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66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23A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5C1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045F">
            <w:pPr>
              <w:jc w:val="right"/>
              <w:rPr>
                <w:rFonts w:ascii="Times New Roman" w:hAnsi="Times New Roman" w:eastAsia="仿宋_GB2312" w:cs="Times New Roman"/>
                <w:color w:val="000000"/>
                <w:sz w:val="22"/>
              </w:rPr>
            </w:pPr>
          </w:p>
        </w:tc>
      </w:tr>
      <w:tr w14:paraId="32C611AA">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43BA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9F1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862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513.81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D819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091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C8A4">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513.81</w:t>
            </w:r>
          </w:p>
        </w:tc>
      </w:tr>
    </w:tbl>
    <w:p w14:paraId="5876CA40">
      <w:pPr>
        <w:widowControl/>
        <w:jc w:val="left"/>
        <w:textAlignment w:val="center"/>
        <w:rPr>
          <w:rFonts w:ascii="Times New Roman" w:hAnsi="Times New Roman" w:eastAsia="宋体" w:cs="Times New Roman"/>
          <w:color w:val="000000"/>
          <w:kern w:val="0"/>
          <w:sz w:val="24"/>
          <w:szCs w:val="24"/>
          <w:lang w:bidi="ar"/>
        </w:rPr>
      </w:pPr>
    </w:p>
    <w:p w14:paraId="7E71E19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014D4C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675B9F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469BF2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2262D6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怀化市交通运输从业资格考试中心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465"/>
        <w:gridCol w:w="2552"/>
        <w:gridCol w:w="1276"/>
        <w:gridCol w:w="1559"/>
        <w:gridCol w:w="1254"/>
        <w:gridCol w:w="1640"/>
        <w:gridCol w:w="1640"/>
        <w:gridCol w:w="1897"/>
        <w:gridCol w:w="1383"/>
      </w:tblGrid>
      <w:tr w14:paraId="7087F987">
        <w:tblPrEx>
          <w:tblCellMar>
            <w:top w:w="0" w:type="dxa"/>
            <w:left w:w="0" w:type="dxa"/>
            <w:bottom w:w="0" w:type="dxa"/>
            <w:right w:w="0" w:type="dxa"/>
          </w:tblCellMar>
        </w:tblPrEx>
        <w:trPr>
          <w:trHeight w:val="450" w:hRule="atLeast"/>
          <w:jc w:val="center"/>
        </w:trPr>
        <w:tc>
          <w:tcPr>
            <w:tcW w:w="401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AB1CC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E228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D658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9EDD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598E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D676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4CFA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54FBE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1A56D36">
        <w:trPr>
          <w:trHeight w:val="334" w:hRule="exact"/>
          <w:jc w:val="center"/>
        </w:trPr>
        <w:tc>
          <w:tcPr>
            <w:tcW w:w="14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B8DC6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5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4D186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1BEC471D">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1827EB53">
            <w:pPr>
              <w:rPr>
                <w:rFonts w:ascii="Times New Roman" w:hAnsi="Times New Roman" w:eastAsia="仿宋_GB2312" w:cs="Times New Roman"/>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074FA5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B7B7C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888DC4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6C6D13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E937A67">
            <w:pPr>
              <w:rPr>
                <w:rFonts w:ascii="Times New Roman" w:hAnsi="Times New Roman" w:eastAsia="仿宋_GB2312" w:cs="Times New Roman"/>
                <w:sz w:val="24"/>
                <w:szCs w:val="24"/>
              </w:rPr>
            </w:pPr>
          </w:p>
        </w:tc>
      </w:tr>
      <w:tr w14:paraId="50F4ADBD">
        <w:tblPrEx>
          <w:tblCellMar>
            <w:top w:w="0" w:type="dxa"/>
            <w:left w:w="0" w:type="dxa"/>
            <w:bottom w:w="0" w:type="dxa"/>
            <w:right w:w="0" w:type="dxa"/>
          </w:tblCellMar>
        </w:tblPrEx>
        <w:trPr>
          <w:trHeight w:val="312" w:hRule="atLeast"/>
          <w:jc w:val="center"/>
        </w:trPr>
        <w:tc>
          <w:tcPr>
            <w:tcW w:w="1465" w:type="dxa"/>
            <w:vMerge w:val="continue"/>
            <w:tcBorders>
              <w:top w:val="single" w:color="auto" w:sz="4" w:space="0"/>
              <w:left w:val="single" w:color="auto" w:sz="4" w:space="0"/>
              <w:bottom w:val="single" w:color="auto" w:sz="4" w:space="0"/>
              <w:right w:val="single" w:color="auto" w:sz="4" w:space="0"/>
            </w:tcBorders>
            <w:vAlign w:val="center"/>
          </w:tcPr>
          <w:p w14:paraId="0237F61B">
            <w:pPr>
              <w:rPr>
                <w:rFonts w:ascii="Times New Roman" w:hAnsi="Times New Roman" w:eastAsia="仿宋_GB2312" w:cs="Times New Roman"/>
                <w:sz w:val="24"/>
                <w:szCs w:val="24"/>
              </w:rPr>
            </w:pPr>
          </w:p>
        </w:tc>
        <w:tc>
          <w:tcPr>
            <w:tcW w:w="2552" w:type="dxa"/>
            <w:vMerge w:val="continue"/>
            <w:tcBorders>
              <w:top w:val="nil"/>
              <w:left w:val="single" w:color="auto" w:sz="4" w:space="0"/>
              <w:bottom w:val="single" w:color="auto" w:sz="4" w:space="0"/>
              <w:right w:val="single" w:color="auto" w:sz="4" w:space="0"/>
            </w:tcBorders>
            <w:vAlign w:val="center"/>
          </w:tcPr>
          <w:p w14:paraId="22D98EB2">
            <w:pP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13B38E94">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62D4F42A">
            <w:pPr>
              <w:rPr>
                <w:rFonts w:ascii="Times New Roman" w:hAnsi="Times New Roman" w:eastAsia="仿宋_GB2312" w:cs="Times New Roman"/>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219234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D6F1A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F8279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90C0EC8">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BD240C6">
            <w:pPr>
              <w:rPr>
                <w:rFonts w:ascii="Times New Roman" w:hAnsi="Times New Roman" w:eastAsia="仿宋_GB2312" w:cs="Times New Roman"/>
                <w:sz w:val="24"/>
                <w:szCs w:val="24"/>
              </w:rPr>
            </w:pPr>
          </w:p>
        </w:tc>
      </w:tr>
      <w:tr w14:paraId="7D1A108C">
        <w:trPr>
          <w:trHeight w:val="450" w:hRule="atLeast"/>
          <w:jc w:val="center"/>
        </w:trPr>
        <w:tc>
          <w:tcPr>
            <w:tcW w:w="40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9DE9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1618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41073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6A80B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0F65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636E1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4CD521">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09086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7797375">
        <w:tblPrEx>
          <w:tblCellMar>
            <w:top w:w="0" w:type="dxa"/>
            <w:left w:w="0" w:type="dxa"/>
            <w:bottom w:w="0" w:type="dxa"/>
            <w:right w:w="0" w:type="dxa"/>
          </w:tblCellMar>
        </w:tblPrEx>
        <w:trPr>
          <w:trHeight w:val="450" w:hRule="atLeast"/>
          <w:jc w:val="center"/>
        </w:trPr>
        <w:tc>
          <w:tcPr>
            <w:tcW w:w="40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B43D4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A53CB">
            <w:pPr>
              <w:jc w:val="right"/>
              <w:rPr>
                <w:rFonts w:ascii="Times New Roman" w:hAnsi="Times New Roman" w:eastAsia="仿宋_GB2312" w:cs="Times New Roman"/>
                <w:sz w:val="24"/>
                <w:szCs w:val="24"/>
              </w:rPr>
            </w:pPr>
            <w:r>
              <w:rPr>
                <w:rFonts w:hint="eastAsia" w:ascii="Times New Roman" w:hAnsi="Times New Roman" w:eastAsia="仿宋_GB2312" w:cs="Times New Roman"/>
              </w:rPr>
              <w:t>513.81</w:t>
            </w: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5E472">
            <w:pPr>
              <w:jc w:val="right"/>
              <w:rPr>
                <w:rFonts w:ascii="Times New Roman" w:hAnsi="Times New Roman" w:eastAsia="仿宋_GB2312" w:cs="Times New Roman"/>
                <w:sz w:val="24"/>
                <w:szCs w:val="24"/>
              </w:rPr>
            </w:pPr>
            <w:r>
              <w:rPr>
                <w:rFonts w:hint="eastAsia" w:ascii="Times New Roman" w:hAnsi="Times New Roman" w:eastAsia="仿宋_GB2312" w:cs="Times New Roman"/>
              </w:rPr>
              <w:t>513.81</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971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4B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5CD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AA3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D19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94E872">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A4705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BA4EC">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r>
              <w:rPr>
                <w:rFonts w:hint="eastAsia" w:ascii="Times New Roman" w:hAnsi="Times New Roman" w:eastAsia="仿宋_GB2312" w:cs="Times New Roman"/>
              </w:rPr>
              <w:tab/>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31F79">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E520E">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A8A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D22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765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094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692A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5ECE2B">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CA689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70481F">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43DB0">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EA2B2">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688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C62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075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F9D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8F1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D93CF01">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B2BDC8">
            <w:pPr>
              <w:ind w:firstLine="210" w:firstLineChars="100"/>
              <w:rPr>
                <w:rFonts w:ascii="Times New Roman" w:hAnsi="Times New Roman" w:eastAsia="仿宋_GB2312" w:cs="Times New Roman"/>
                <w:sz w:val="24"/>
                <w:szCs w:val="24"/>
              </w:rPr>
            </w:pPr>
            <w:r>
              <w:rPr>
                <w:rFonts w:hint="eastAsia" w:ascii="Times New Roman" w:hAnsi="Times New Roman" w:eastAsia="仿宋_GB2312" w:cs="Times New Roman"/>
              </w:rPr>
              <w:t>2019999</w:t>
            </w:r>
            <w:r>
              <w:rPr>
                <w:rFonts w:hint="eastAsia" w:ascii="Times New Roman" w:hAnsi="Times New Roman" w:eastAsia="仿宋_GB2312" w:cs="Times New Roman"/>
              </w:rPr>
              <w:tab/>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5F5044">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2D201">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1DFDA">
            <w:pPr>
              <w:jc w:val="right"/>
              <w:rPr>
                <w:rFonts w:ascii="Times New Roman" w:hAnsi="Times New Roman" w:eastAsia="仿宋_GB2312" w:cs="Times New Roman"/>
                <w:sz w:val="24"/>
                <w:szCs w:val="24"/>
              </w:rPr>
            </w:pPr>
            <w:r>
              <w:rPr>
                <w:rFonts w:hint="eastAsia" w:ascii="Times New Roman" w:hAnsi="Times New Roman" w:eastAsia="仿宋_GB2312" w:cs="Times New Roman"/>
              </w:rPr>
              <w:t>13.2</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FEA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98DC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10E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B95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4AC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DBCDF18">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65CB6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214</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73CD25">
            <w:pPr>
              <w:rPr>
                <w:rFonts w:ascii="Times New Roman" w:hAnsi="Times New Roman" w:eastAsia="仿宋_GB2312" w:cs="Times New Roman"/>
                <w:sz w:val="24"/>
                <w:szCs w:val="24"/>
              </w:rPr>
            </w:pPr>
            <w:r>
              <w:rPr>
                <w:rFonts w:hint="eastAsia" w:ascii="Times New Roman" w:hAnsi="Times New Roman" w:eastAsia="仿宋_GB2312" w:cs="Times New Roman"/>
              </w:rPr>
              <w:t>交通运输支出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66652">
            <w:pPr>
              <w:jc w:val="right"/>
              <w:rPr>
                <w:rFonts w:ascii="Times New Roman" w:hAnsi="Times New Roman" w:eastAsia="仿宋_GB2312" w:cs="Times New Roman"/>
                <w:sz w:val="24"/>
                <w:szCs w:val="24"/>
              </w:rPr>
            </w:pPr>
            <w:r>
              <w:rPr>
                <w:rFonts w:hint="eastAsia" w:ascii="Times New Roman" w:hAnsi="Times New Roman" w:eastAsia="仿宋_GB2312" w:cs="Times New Roman"/>
              </w:rPr>
              <w:t>500.61</w:t>
            </w: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A21A1">
            <w:pPr>
              <w:jc w:val="right"/>
              <w:rPr>
                <w:rFonts w:ascii="Times New Roman" w:hAnsi="Times New Roman" w:eastAsia="仿宋_GB2312" w:cs="Times New Roman"/>
                <w:sz w:val="24"/>
                <w:szCs w:val="24"/>
              </w:rPr>
            </w:pPr>
            <w:r>
              <w:rPr>
                <w:rFonts w:hint="eastAsia" w:ascii="Times New Roman" w:hAnsi="Times New Roman" w:eastAsia="仿宋_GB2312" w:cs="Times New Roman"/>
              </w:rPr>
              <w:t>500.61</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E0F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E00D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AC5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8A0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748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AFB2A74">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DD212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21401</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7784E">
            <w:pPr>
              <w:rPr>
                <w:rFonts w:ascii="Times New Roman" w:hAnsi="Times New Roman" w:eastAsia="仿宋_GB2312" w:cs="Times New Roman"/>
                <w:sz w:val="24"/>
                <w:szCs w:val="24"/>
              </w:rPr>
            </w:pPr>
            <w:r>
              <w:rPr>
                <w:rFonts w:hint="eastAsia" w:ascii="Times New Roman" w:hAnsi="Times New Roman" w:eastAsia="仿宋_GB2312" w:cs="Times New Roman"/>
              </w:rPr>
              <w:t>公路水路运输</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F2A7F">
            <w:pPr>
              <w:jc w:val="right"/>
              <w:rPr>
                <w:rFonts w:ascii="Times New Roman" w:hAnsi="Times New Roman" w:eastAsia="仿宋_GB2312" w:cs="Times New Roman"/>
                <w:sz w:val="24"/>
                <w:szCs w:val="24"/>
              </w:rPr>
            </w:pPr>
            <w:r>
              <w:rPr>
                <w:rFonts w:ascii="Times New Roman" w:hAnsi="Times New Roman" w:eastAsia="仿宋_GB2312" w:cs="Times New Roman"/>
              </w:rPr>
              <w:t>497.61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C6D75">
            <w:pPr>
              <w:jc w:val="right"/>
              <w:rPr>
                <w:rFonts w:ascii="Times New Roman" w:hAnsi="Times New Roman" w:eastAsia="仿宋_GB2312" w:cs="Times New Roman"/>
                <w:sz w:val="24"/>
                <w:szCs w:val="24"/>
              </w:rPr>
            </w:pPr>
            <w:r>
              <w:rPr>
                <w:rFonts w:ascii="Times New Roman" w:hAnsi="Times New Roman" w:eastAsia="仿宋_GB2312" w:cs="Times New Roman"/>
              </w:rPr>
              <w:t>497.61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3E2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C3A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BC9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10B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2CC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87EBE53">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5AB8B6">
            <w:pPr>
              <w:rPr>
                <w:rFonts w:ascii="Times New Roman" w:hAnsi="Times New Roman" w:eastAsia="仿宋_GB2312" w:cs="Times New Roman"/>
                <w:sz w:val="24"/>
                <w:szCs w:val="24"/>
              </w:rPr>
            </w:pPr>
            <w:r>
              <w:rPr>
                <w:rFonts w:ascii="Times New Roman" w:hAnsi="Times New Roman" w:eastAsia="仿宋_GB2312" w:cs="Times New Roman"/>
              </w:rPr>
              <w:t>　2140101</w:t>
            </w:r>
          </w:p>
        </w:tc>
        <w:tc>
          <w:tcPr>
            <w:tcW w:w="25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1FA73D">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139253">
            <w:pPr>
              <w:jc w:val="right"/>
              <w:rPr>
                <w:rFonts w:ascii="Times New Roman" w:hAnsi="Times New Roman" w:eastAsia="仿宋_GB2312" w:cs="Times New Roman"/>
                <w:sz w:val="24"/>
                <w:szCs w:val="24"/>
              </w:rPr>
            </w:pPr>
            <w:r>
              <w:rPr>
                <w:rFonts w:ascii="Times New Roman" w:hAnsi="Times New Roman" w:eastAsia="仿宋_GB2312" w:cs="Times New Roman"/>
              </w:rPr>
              <w:t>497.61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C4123">
            <w:pPr>
              <w:jc w:val="right"/>
              <w:rPr>
                <w:rFonts w:ascii="Times New Roman" w:hAnsi="Times New Roman" w:eastAsia="仿宋_GB2312" w:cs="Times New Roman"/>
                <w:sz w:val="24"/>
                <w:szCs w:val="24"/>
              </w:rPr>
            </w:pPr>
            <w:r>
              <w:rPr>
                <w:rFonts w:hint="eastAsia" w:ascii="Times New Roman" w:hAnsi="Times New Roman" w:eastAsia="仿宋_GB2312" w:cs="Times New Roman"/>
              </w:rPr>
              <w:t>497.61</w:t>
            </w:r>
            <w:r>
              <w:rPr>
                <w:rFonts w:ascii="Times New Roman" w:hAnsi="Times New Roman" w:eastAsia="仿宋_GB2312" w:cs="Times New Roman"/>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913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F84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9A4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69A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6B0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AB14A3A">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C4E4E">
            <w:pPr>
              <w:ind w:firstLine="210" w:firstLineChars="100"/>
              <w:rPr>
                <w:rFonts w:ascii="Times New Roman" w:hAnsi="Times New Roman" w:eastAsia="仿宋_GB2312" w:cs="Times New Roman"/>
              </w:rPr>
            </w:pPr>
            <w:r>
              <w:rPr>
                <w:rFonts w:ascii="Times New Roman" w:hAnsi="Times New Roman" w:eastAsia="仿宋_GB2312" w:cs="Times New Roman"/>
              </w:rPr>
              <w:t>21499</w:t>
            </w:r>
            <w:r>
              <w:rPr>
                <w:rFonts w:ascii="Times New Roman" w:hAnsi="Times New Roman" w:eastAsia="仿宋_GB2312" w:cs="Times New Roman"/>
              </w:rPr>
              <w:tab/>
            </w:r>
            <w:r>
              <w:rPr>
                <w:rFonts w:ascii="Times New Roman" w:hAnsi="Times New Roman" w:eastAsia="仿宋_GB2312" w:cs="Times New Roman"/>
              </w:rPr>
              <w:tab/>
            </w:r>
          </w:p>
        </w:tc>
        <w:tc>
          <w:tcPr>
            <w:tcW w:w="255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A16B9">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D88E5">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7B579">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25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D2BF1">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D0853">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40861">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FD32A">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D9D8E">
            <w:pPr>
              <w:jc w:val="right"/>
              <w:rPr>
                <w:rFonts w:ascii="Times New Roman" w:hAnsi="Times New Roman" w:eastAsia="仿宋_GB2312" w:cs="Times New Roman"/>
              </w:rPr>
            </w:pPr>
          </w:p>
        </w:tc>
      </w:tr>
      <w:tr w14:paraId="64D98245">
        <w:trPr>
          <w:trHeight w:val="450" w:hRule="atLeast"/>
          <w:jc w:val="center"/>
        </w:trPr>
        <w:tc>
          <w:tcPr>
            <w:tcW w:w="146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24AAF6">
            <w:pPr>
              <w:ind w:firstLine="210" w:firstLineChars="100"/>
              <w:rPr>
                <w:rFonts w:ascii="Times New Roman" w:hAnsi="Times New Roman" w:eastAsia="仿宋_GB2312" w:cs="Times New Roman"/>
              </w:rPr>
            </w:pPr>
            <w:r>
              <w:rPr>
                <w:rFonts w:ascii="Times New Roman" w:hAnsi="Times New Roman" w:eastAsia="仿宋_GB2312" w:cs="Times New Roman"/>
              </w:rPr>
              <w:t>2149999</w:t>
            </w:r>
            <w:r>
              <w:rPr>
                <w:rFonts w:ascii="Times New Roman" w:hAnsi="Times New Roman" w:eastAsia="仿宋_GB2312" w:cs="Times New Roman"/>
              </w:rPr>
              <w:tab/>
            </w:r>
          </w:p>
        </w:tc>
        <w:tc>
          <w:tcPr>
            <w:tcW w:w="255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98CF56">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943706">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C7EE2">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25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2F191">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4AA1A">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B12BE">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7CA75D">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89797">
            <w:pPr>
              <w:jc w:val="right"/>
              <w:rPr>
                <w:rFonts w:ascii="Times New Roman" w:hAnsi="Times New Roman" w:eastAsia="仿宋_GB2312" w:cs="Times New Roman"/>
              </w:rPr>
            </w:pPr>
          </w:p>
        </w:tc>
      </w:tr>
    </w:tbl>
    <w:p w14:paraId="2513451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A36548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130253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2F4786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FA6B55B">
      <w:pPr>
        <w:widowControl/>
        <w:tabs>
          <w:tab w:val="left" w:pos="1236"/>
          <w:tab w:val="left" w:pos="1499"/>
          <w:tab w:val="left" w:pos="2980"/>
          <w:tab w:val="left" w:pos="4932"/>
          <w:tab w:val="left" w:pos="6620"/>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怀化市交通运输从业资格考试中心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fixed"/>
        <w:tblCellMar>
          <w:top w:w="0" w:type="dxa"/>
          <w:left w:w="108" w:type="dxa"/>
          <w:bottom w:w="0" w:type="dxa"/>
          <w:right w:w="108" w:type="dxa"/>
        </w:tblCellMar>
      </w:tblPr>
      <w:tblGrid>
        <w:gridCol w:w="1525"/>
        <w:gridCol w:w="2837"/>
        <w:gridCol w:w="1842"/>
        <w:gridCol w:w="1382"/>
        <w:gridCol w:w="1185"/>
        <w:gridCol w:w="1728"/>
        <w:gridCol w:w="1185"/>
        <w:gridCol w:w="2530"/>
      </w:tblGrid>
      <w:tr w14:paraId="2F7BCC55">
        <w:tblPrEx>
          <w:tblCellMar>
            <w:top w:w="0" w:type="dxa"/>
            <w:left w:w="108" w:type="dxa"/>
            <w:bottom w:w="0" w:type="dxa"/>
            <w:right w:w="108" w:type="dxa"/>
          </w:tblCellMar>
        </w:tblPrEx>
        <w:trPr>
          <w:trHeight w:val="595" w:hRule="atLeast"/>
          <w:jc w:val="center"/>
        </w:trPr>
        <w:tc>
          <w:tcPr>
            <w:tcW w:w="153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CA470F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962E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C700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DA1E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4FBBA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C8052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DD9C5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297D75B">
        <w:tblPrEx>
          <w:tblCellMar>
            <w:top w:w="0" w:type="dxa"/>
            <w:left w:w="108" w:type="dxa"/>
            <w:bottom w:w="0" w:type="dxa"/>
            <w:right w:w="108" w:type="dxa"/>
          </w:tblCellMar>
        </w:tblPrEx>
        <w:trPr>
          <w:trHeight w:val="312" w:hRule="exact"/>
          <w:jc w:val="center"/>
        </w:trPr>
        <w:tc>
          <w:tcPr>
            <w:tcW w:w="5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5AB9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97" w:type="pct"/>
            <w:vMerge w:val="restart"/>
            <w:tcBorders>
              <w:top w:val="nil"/>
              <w:left w:val="single" w:color="auto" w:sz="4" w:space="0"/>
              <w:bottom w:val="single" w:color="auto" w:sz="4" w:space="0"/>
              <w:right w:val="single" w:color="auto" w:sz="4" w:space="0"/>
            </w:tcBorders>
            <w:shd w:val="clear" w:color="000000" w:fill="FFFFFF"/>
            <w:vAlign w:val="center"/>
          </w:tcPr>
          <w:p w14:paraId="47A6E6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48" w:type="pct"/>
            <w:vMerge w:val="continue"/>
            <w:tcBorders>
              <w:top w:val="single" w:color="auto" w:sz="4" w:space="0"/>
              <w:left w:val="single" w:color="auto" w:sz="4" w:space="0"/>
              <w:bottom w:val="single" w:color="auto" w:sz="4" w:space="0"/>
              <w:right w:val="single" w:color="auto" w:sz="4" w:space="0"/>
            </w:tcBorders>
            <w:vAlign w:val="center"/>
          </w:tcPr>
          <w:p w14:paraId="7733816B">
            <w:pPr>
              <w:widowControl/>
              <w:jc w:val="left"/>
              <w:rPr>
                <w:rFonts w:ascii="Times New Roman" w:hAnsi="Times New Roman" w:eastAsia="仿宋_GB2312" w:cs="Times New Roman"/>
                <w:b/>
                <w:bCs/>
                <w:kern w:val="0"/>
                <w:sz w:val="24"/>
                <w:szCs w:val="24"/>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74A458C4">
            <w:pPr>
              <w:widowControl/>
              <w:jc w:val="left"/>
              <w:rPr>
                <w:rFonts w:ascii="Times New Roman" w:hAnsi="Times New Roman" w:eastAsia="仿宋_GB2312" w:cs="Times New Roman"/>
                <w:b/>
                <w:bCs/>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52C27C2B">
            <w:pPr>
              <w:widowControl/>
              <w:jc w:val="left"/>
              <w:rPr>
                <w:rFonts w:ascii="Times New Roman" w:hAnsi="Times New Roman" w:eastAsia="仿宋_GB2312" w:cs="Times New Roman"/>
                <w:b/>
                <w:bCs/>
                <w:kern w:val="0"/>
                <w:sz w:val="24"/>
                <w:szCs w:val="24"/>
              </w:rPr>
            </w:pPr>
          </w:p>
        </w:tc>
        <w:tc>
          <w:tcPr>
            <w:tcW w:w="608" w:type="pct"/>
            <w:vMerge w:val="continue"/>
            <w:tcBorders>
              <w:top w:val="single" w:color="auto" w:sz="4" w:space="0"/>
              <w:left w:val="single" w:color="auto" w:sz="4" w:space="0"/>
              <w:bottom w:val="single" w:color="auto" w:sz="4" w:space="0"/>
              <w:right w:val="single" w:color="auto" w:sz="4" w:space="0"/>
            </w:tcBorders>
            <w:vAlign w:val="center"/>
          </w:tcPr>
          <w:p w14:paraId="2DB916EE">
            <w:pPr>
              <w:widowControl/>
              <w:jc w:val="left"/>
              <w:rPr>
                <w:rFonts w:ascii="Times New Roman" w:hAnsi="Times New Roman" w:eastAsia="仿宋_GB2312" w:cs="Times New Roman"/>
                <w:b/>
                <w:bCs/>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3089958F">
            <w:pPr>
              <w:widowControl/>
              <w:jc w:val="left"/>
              <w:rPr>
                <w:rFonts w:ascii="Times New Roman" w:hAnsi="Times New Roman" w:eastAsia="仿宋_GB2312" w:cs="Times New Roman"/>
                <w:b/>
                <w:bCs/>
                <w:kern w:val="0"/>
                <w:sz w:val="24"/>
                <w:szCs w:val="24"/>
              </w:rPr>
            </w:pPr>
          </w:p>
        </w:tc>
        <w:tc>
          <w:tcPr>
            <w:tcW w:w="891" w:type="pct"/>
            <w:vMerge w:val="continue"/>
            <w:tcBorders>
              <w:top w:val="single" w:color="auto" w:sz="4" w:space="0"/>
              <w:left w:val="single" w:color="auto" w:sz="4" w:space="0"/>
              <w:bottom w:val="single" w:color="auto" w:sz="4" w:space="0"/>
              <w:right w:val="single" w:color="auto" w:sz="4" w:space="0"/>
            </w:tcBorders>
            <w:vAlign w:val="center"/>
          </w:tcPr>
          <w:p w14:paraId="2B68C4F0">
            <w:pPr>
              <w:widowControl/>
              <w:jc w:val="left"/>
              <w:rPr>
                <w:rFonts w:ascii="Times New Roman" w:hAnsi="Times New Roman" w:eastAsia="仿宋_GB2312" w:cs="Times New Roman"/>
                <w:b/>
                <w:bCs/>
                <w:kern w:val="0"/>
                <w:sz w:val="24"/>
                <w:szCs w:val="24"/>
              </w:rPr>
            </w:pPr>
          </w:p>
        </w:tc>
      </w:tr>
      <w:tr w14:paraId="78AAFBCE">
        <w:tblPrEx>
          <w:tblCellMar>
            <w:top w:w="0" w:type="dxa"/>
            <w:left w:w="108" w:type="dxa"/>
            <w:bottom w:w="0" w:type="dxa"/>
            <w:right w:w="108" w:type="dxa"/>
          </w:tblCellMar>
        </w:tblPrEx>
        <w:trPr>
          <w:trHeight w:val="595" w:hRule="atLeast"/>
          <w:jc w:val="center"/>
        </w:trPr>
        <w:tc>
          <w:tcPr>
            <w:tcW w:w="536" w:type="pct"/>
            <w:vMerge w:val="continue"/>
            <w:tcBorders>
              <w:top w:val="single" w:color="auto" w:sz="4" w:space="0"/>
              <w:left w:val="single" w:color="auto" w:sz="4" w:space="0"/>
              <w:bottom w:val="single" w:color="auto" w:sz="4" w:space="0"/>
              <w:right w:val="single" w:color="auto" w:sz="4" w:space="0"/>
            </w:tcBorders>
            <w:vAlign w:val="center"/>
          </w:tcPr>
          <w:p w14:paraId="4D123C7B">
            <w:pPr>
              <w:widowControl/>
              <w:jc w:val="left"/>
              <w:rPr>
                <w:rFonts w:ascii="Times New Roman" w:hAnsi="Times New Roman" w:eastAsia="仿宋_GB2312" w:cs="Times New Roman"/>
                <w:kern w:val="0"/>
                <w:sz w:val="24"/>
                <w:szCs w:val="24"/>
              </w:rPr>
            </w:pPr>
          </w:p>
        </w:tc>
        <w:tc>
          <w:tcPr>
            <w:tcW w:w="997" w:type="pct"/>
            <w:vMerge w:val="continue"/>
            <w:tcBorders>
              <w:top w:val="nil"/>
              <w:left w:val="single" w:color="auto" w:sz="4" w:space="0"/>
              <w:bottom w:val="single" w:color="auto" w:sz="4" w:space="0"/>
              <w:right w:val="single" w:color="auto" w:sz="4" w:space="0"/>
            </w:tcBorders>
            <w:vAlign w:val="center"/>
          </w:tcPr>
          <w:p w14:paraId="787019F5">
            <w:pPr>
              <w:widowControl/>
              <w:jc w:val="left"/>
              <w:rPr>
                <w:rFonts w:ascii="Times New Roman" w:hAnsi="Times New Roman" w:eastAsia="仿宋_GB2312" w:cs="Times New Roman"/>
                <w:kern w:val="0"/>
                <w:sz w:val="24"/>
                <w:szCs w:val="24"/>
              </w:rPr>
            </w:pPr>
          </w:p>
        </w:tc>
        <w:tc>
          <w:tcPr>
            <w:tcW w:w="648" w:type="pct"/>
            <w:vMerge w:val="continue"/>
            <w:tcBorders>
              <w:top w:val="single" w:color="auto" w:sz="4" w:space="0"/>
              <w:left w:val="single" w:color="auto" w:sz="4" w:space="0"/>
              <w:bottom w:val="single" w:color="auto" w:sz="4" w:space="0"/>
              <w:right w:val="single" w:color="auto" w:sz="4" w:space="0"/>
            </w:tcBorders>
            <w:vAlign w:val="center"/>
          </w:tcPr>
          <w:p w14:paraId="0D9E4C54">
            <w:pPr>
              <w:widowControl/>
              <w:jc w:val="left"/>
              <w:rPr>
                <w:rFonts w:ascii="Times New Roman" w:hAnsi="Times New Roman" w:eastAsia="仿宋_GB2312" w:cs="Times New Roman"/>
                <w:kern w:val="0"/>
                <w:sz w:val="24"/>
                <w:szCs w:val="24"/>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0925ECF5">
            <w:pPr>
              <w:widowControl/>
              <w:jc w:val="left"/>
              <w:rPr>
                <w:rFonts w:ascii="Times New Roman" w:hAnsi="Times New Roman" w:eastAsia="仿宋_GB2312" w:cs="Times New Roman"/>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098357C4">
            <w:pPr>
              <w:widowControl/>
              <w:jc w:val="left"/>
              <w:rPr>
                <w:rFonts w:ascii="Times New Roman" w:hAnsi="Times New Roman" w:eastAsia="仿宋_GB2312" w:cs="Times New Roman"/>
                <w:kern w:val="0"/>
                <w:sz w:val="24"/>
                <w:szCs w:val="24"/>
              </w:rPr>
            </w:pPr>
          </w:p>
        </w:tc>
        <w:tc>
          <w:tcPr>
            <w:tcW w:w="608" w:type="pct"/>
            <w:vMerge w:val="continue"/>
            <w:tcBorders>
              <w:top w:val="single" w:color="auto" w:sz="4" w:space="0"/>
              <w:left w:val="single" w:color="auto" w:sz="4" w:space="0"/>
              <w:bottom w:val="single" w:color="auto" w:sz="4" w:space="0"/>
              <w:right w:val="single" w:color="auto" w:sz="4" w:space="0"/>
            </w:tcBorders>
            <w:vAlign w:val="center"/>
          </w:tcPr>
          <w:p w14:paraId="5B7E6769">
            <w:pPr>
              <w:widowControl/>
              <w:jc w:val="left"/>
              <w:rPr>
                <w:rFonts w:ascii="Times New Roman" w:hAnsi="Times New Roman" w:eastAsia="仿宋_GB2312" w:cs="Times New Roman"/>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33143C79">
            <w:pPr>
              <w:widowControl/>
              <w:jc w:val="left"/>
              <w:rPr>
                <w:rFonts w:ascii="Times New Roman" w:hAnsi="Times New Roman" w:eastAsia="仿宋_GB2312" w:cs="Times New Roman"/>
                <w:kern w:val="0"/>
                <w:sz w:val="24"/>
                <w:szCs w:val="24"/>
              </w:rPr>
            </w:pPr>
          </w:p>
        </w:tc>
        <w:tc>
          <w:tcPr>
            <w:tcW w:w="891" w:type="pct"/>
            <w:vMerge w:val="continue"/>
            <w:tcBorders>
              <w:top w:val="single" w:color="auto" w:sz="4" w:space="0"/>
              <w:left w:val="single" w:color="auto" w:sz="4" w:space="0"/>
              <w:bottom w:val="single" w:color="auto" w:sz="4" w:space="0"/>
              <w:right w:val="single" w:color="auto" w:sz="4" w:space="0"/>
            </w:tcBorders>
            <w:vAlign w:val="center"/>
          </w:tcPr>
          <w:p w14:paraId="294D9C2E">
            <w:pPr>
              <w:widowControl/>
              <w:jc w:val="left"/>
              <w:rPr>
                <w:rFonts w:ascii="Times New Roman" w:hAnsi="Times New Roman" w:eastAsia="仿宋_GB2312" w:cs="Times New Roman"/>
                <w:kern w:val="0"/>
                <w:sz w:val="24"/>
                <w:szCs w:val="24"/>
              </w:rPr>
            </w:pPr>
          </w:p>
        </w:tc>
      </w:tr>
      <w:tr w14:paraId="62C8A7A2">
        <w:trPr>
          <w:trHeight w:val="595" w:hRule="atLeast"/>
          <w:jc w:val="center"/>
        </w:trPr>
        <w:tc>
          <w:tcPr>
            <w:tcW w:w="153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EA77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48" w:type="pct"/>
            <w:tcBorders>
              <w:top w:val="nil"/>
              <w:left w:val="nil"/>
              <w:bottom w:val="single" w:color="auto" w:sz="4" w:space="0"/>
              <w:right w:val="single" w:color="auto" w:sz="4" w:space="0"/>
            </w:tcBorders>
            <w:shd w:val="clear" w:color="000000" w:fill="FFFFFF"/>
            <w:noWrap/>
            <w:vAlign w:val="center"/>
          </w:tcPr>
          <w:p w14:paraId="01E49A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86" w:type="pct"/>
            <w:tcBorders>
              <w:top w:val="nil"/>
              <w:left w:val="nil"/>
              <w:bottom w:val="single" w:color="auto" w:sz="4" w:space="0"/>
              <w:right w:val="single" w:color="auto" w:sz="4" w:space="0"/>
            </w:tcBorders>
            <w:shd w:val="clear" w:color="000000" w:fill="FFFFFF"/>
            <w:noWrap/>
            <w:vAlign w:val="center"/>
          </w:tcPr>
          <w:p w14:paraId="101391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17" w:type="pct"/>
            <w:tcBorders>
              <w:top w:val="nil"/>
              <w:left w:val="nil"/>
              <w:bottom w:val="single" w:color="auto" w:sz="4" w:space="0"/>
              <w:right w:val="single" w:color="auto" w:sz="4" w:space="0"/>
            </w:tcBorders>
            <w:shd w:val="clear" w:color="000000" w:fill="FFFFFF"/>
            <w:noWrap/>
            <w:vAlign w:val="center"/>
          </w:tcPr>
          <w:p w14:paraId="02BC09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08" w:type="pct"/>
            <w:tcBorders>
              <w:top w:val="nil"/>
              <w:left w:val="nil"/>
              <w:bottom w:val="single" w:color="auto" w:sz="4" w:space="0"/>
              <w:right w:val="single" w:color="auto" w:sz="4" w:space="0"/>
            </w:tcBorders>
            <w:shd w:val="clear" w:color="000000" w:fill="FFFFFF"/>
            <w:noWrap/>
            <w:vAlign w:val="center"/>
          </w:tcPr>
          <w:p w14:paraId="2C67D8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17" w:type="pct"/>
            <w:tcBorders>
              <w:top w:val="nil"/>
              <w:left w:val="nil"/>
              <w:bottom w:val="single" w:color="auto" w:sz="4" w:space="0"/>
              <w:right w:val="single" w:color="auto" w:sz="4" w:space="0"/>
            </w:tcBorders>
            <w:shd w:val="clear" w:color="000000" w:fill="FFFFFF"/>
            <w:noWrap/>
            <w:vAlign w:val="center"/>
          </w:tcPr>
          <w:p w14:paraId="731903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91" w:type="pct"/>
            <w:tcBorders>
              <w:top w:val="nil"/>
              <w:left w:val="nil"/>
              <w:bottom w:val="single" w:color="auto" w:sz="4" w:space="0"/>
              <w:right w:val="single" w:color="auto" w:sz="4" w:space="0"/>
            </w:tcBorders>
            <w:shd w:val="clear" w:color="000000" w:fill="FFFFFF"/>
            <w:noWrap/>
            <w:vAlign w:val="center"/>
          </w:tcPr>
          <w:p w14:paraId="7BA116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276C311">
        <w:tblPrEx>
          <w:tblCellMar>
            <w:top w:w="0" w:type="dxa"/>
            <w:left w:w="108" w:type="dxa"/>
            <w:bottom w:w="0" w:type="dxa"/>
            <w:right w:w="108" w:type="dxa"/>
          </w:tblCellMar>
        </w:tblPrEx>
        <w:trPr>
          <w:trHeight w:val="595" w:hRule="atLeast"/>
          <w:jc w:val="center"/>
        </w:trPr>
        <w:tc>
          <w:tcPr>
            <w:tcW w:w="153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FA16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48" w:type="pct"/>
            <w:tcBorders>
              <w:top w:val="nil"/>
              <w:left w:val="nil"/>
              <w:bottom w:val="single" w:color="auto" w:sz="4" w:space="0"/>
              <w:right w:val="single" w:color="auto" w:sz="4" w:space="0"/>
            </w:tcBorders>
            <w:shd w:val="clear" w:color="auto" w:fill="auto"/>
            <w:noWrap/>
            <w:vAlign w:val="center"/>
          </w:tcPr>
          <w:p w14:paraId="29E0E82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513.81</w:t>
            </w: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14:paraId="3E5367A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513.81</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7B0D98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32DE65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72D4B3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044C1B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06999D">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DA66D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66296E7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一般公共服务支出</w:t>
            </w:r>
          </w:p>
        </w:tc>
        <w:tc>
          <w:tcPr>
            <w:tcW w:w="648" w:type="pct"/>
            <w:tcBorders>
              <w:top w:val="nil"/>
              <w:left w:val="nil"/>
              <w:bottom w:val="single" w:color="auto" w:sz="4" w:space="0"/>
              <w:right w:val="single" w:color="auto" w:sz="4" w:space="0"/>
            </w:tcBorders>
            <w:shd w:val="clear" w:color="auto" w:fill="auto"/>
            <w:noWrap/>
            <w:vAlign w:val="center"/>
          </w:tcPr>
          <w:p w14:paraId="4E32E5B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14:paraId="744D10E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207AC1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0213BD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141976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0FC32A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2D4A0E">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993AF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71AA315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648" w:type="pct"/>
            <w:tcBorders>
              <w:top w:val="nil"/>
              <w:left w:val="nil"/>
              <w:bottom w:val="single" w:color="auto" w:sz="4" w:space="0"/>
              <w:right w:val="single" w:color="auto" w:sz="4" w:space="0"/>
            </w:tcBorders>
            <w:shd w:val="clear" w:color="auto" w:fill="auto"/>
            <w:noWrap/>
            <w:vAlign w:val="center"/>
          </w:tcPr>
          <w:p w14:paraId="349C6C3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14:paraId="7B628BB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06C91D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4405C0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5B281B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7E70C8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5AD3F84">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29B214">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2019999</w:t>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071DDEB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648" w:type="pct"/>
            <w:tcBorders>
              <w:top w:val="nil"/>
              <w:left w:val="nil"/>
              <w:bottom w:val="single" w:color="auto" w:sz="4" w:space="0"/>
              <w:right w:val="single" w:color="auto" w:sz="4" w:space="0"/>
            </w:tcBorders>
            <w:shd w:val="clear" w:color="auto" w:fill="auto"/>
            <w:noWrap/>
            <w:vAlign w:val="center"/>
          </w:tcPr>
          <w:p w14:paraId="460A1A9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14:paraId="3EE8684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13.2</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6345A0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097B37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7F18BF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410CD2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CCD8CE7">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6E872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52AB42B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交通运输支出</w:t>
            </w:r>
          </w:p>
        </w:tc>
        <w:tc>
          <w:tcPr>
            <w:tcW w:w="648" w:type="pct"/>
            <w:tcBorders>
              <w:top w:val="nil"/>
              <w:left w:val="nil"/>
              <w:bottom w:val="single" w:color="auto" w:sz="4" w:space="0"/>
              <w:right w:val="single" w:color="auto" w:sz="4" w:space="0"/>
            </w:tcBorders>
            <w:shd w:val="clear" w:color="auto" w:fill="auto"/>
            <w:noWrap/>
            <w:vAlign w:val="center"/>
          </w:tcPr>
          <w:p w14:paraId="3D22565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500.61</w:t>
            </w: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14:paraId="01C92D8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500.61</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4E994BE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53E69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24EB12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31248F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EC5FB1D">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38C48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21401</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7A71C12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公路水路运输</w:t>
            </w:r>
          </w:p>
        </w:tc>
        <w:tc>
          <w:tcPr>
            <w:tcW w:w="648" w:type="pct"/>
            <w:tcBorders>
              <w:top w:val="nil"/>
              <w:left w:val="nil"/>
              <w:bottom w:val="single" w:color="auto" w:sz="4" w:space="0"/>
              <w:right w:val="single" w:color="auto" w:sz="4" w:space="0"/>
            </w:tcBorders>
            <w:shd w:val="clear" w:color="auto" w:fill="auto"/>
            <w:noWrap/>
            <w:vAlign w:val="center"/>
          </w:tcPr>
          <w:p w14:paraId="3EBE4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497.61　</w:t>
            </w:r>
          </w:p>
        </w:tc>
        <w:tc>
          <w:tcPr>
            <w:tcW w:w="486" w:type="pct"/>
            <w:tcBorders>
              <w:top w:val="nil"/>
              <w:left w:val="nil"/>
              <w:bottom w:val="single" w:color="auto" w:sz="4" w:space="0"/>
              <w:right w:val="single" w:color="auto" w:sz="4" w:space="0"/>
            </w:tcBorders>
            <w:shd w:val="clear" w:color="auto" w:fill="auto"/>
            <w:noWrap/>
            <w:vAlign w:val="center"/>
          </w:tcPr>
          <w:p w14:paraId="171AB5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497.61　</w:t>
            </w:r>
          </w:p>
        </w:tc>
        <w:tc>
          <w:tcPr>
            <w:tcW w:w="417" w:type="pct"/>
            <w:tcBorders>
              <w:top w:val="nil"/>
              <w:left w:val="nil"/>
              <w:bottom w:val="single" w:color="auto" w:sz="4" w:space="0"/>
              <w:right w:val="single" w:color="auto" w:sz="4" w:space="0"/>
            </w:tcBorders>
            <w:shd w:val="clear" w:color="auto" w:fill="auto"/>
            <w:noWrap/>
            <w:vAlign w:val="center"/>
          </w:tcPr>
          <w:p w14:paraId="68BFEA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7C2973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3EBAD0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289F8B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928960">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ED2D0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2140101</w:t>
            </w:r>
            <w:r>
              <w:rPr>
                <w:rFonts w:hint="eastAsia" w:ascii="Times New Roman" w:hAnsi="Times New Roman" w:eastAsia="仿宋_GB2312" w:cs="Times New Roman"/>
                <w:kern w:val="0"/>
                <w:sz w:val="24"/>
                <w:szCs w:val="24"/>
              </w:rPr>
              <w:tab/>
            </w:r>
          </w:p>
        </w:tc>
        <w:tc>
          <w:tcPr>
            <w:tcW w:w="997" w:type="pct"/>
            <w:tcBorders>
              <w:top w:val="nil"/>
              <w:left w:val="nil"/>
              <w:bottom w:val="single" w:color="auto" w:sz="4" w:space="0"/>
              <w:right w:val="single" w:color="auto" w:sz="4" w:space="0"/>
            </w:tcBorders>
            <w:shd w:val="clear" w:color="000000" w:fill="FFFFFF"/>
            <w:noWrap/>
            <w:vAlign w:val="center"/>
          </w:tcPr>
          <w:p w14:paraId="36E9252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48" w:type="pct"/>
            <w:tcBorders>
              <w:top w:val="nil"/>
              <w:left w:val="nil"/>
              <w:bottom w:val="single" w:color="auto" w:sz="4" w:space="0"/>
              <w:right w:val="single" w:color="auto" w:sz="4" w:space="0"/>
            </w:tcBorders>
            <w:shd w:val="clear" w:color="auto" w:fill="auto"/>
            <w:noWrap/>
            <w:vAlign w:val="center"/>
          </w:tcPr>
          <w:p w14:paraId="683CFF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497.61　</w:t>
            </w:r>
          </w:p>
        </w:tc>
        <w:tc>
          <w:tcPr>
            <w:tcW w:w="486" w:type="pct"/>
            <w:tcBorders>
              <w:top w:val="nil"/>
              <w:left w:val="nil"/>
              <w:bottom w:val="single" w:color="auto" w:sz="4" w:space="0"/>
              <w:right w:val="single" w:color="auto" w:sz="4" w:space="0"/>
            </w:tcBorders>
            <w:shd w:val="clear" w:color="auto" w:fill="auto"/>
            <w:noWrap/>
            <w:vAlign w:val="center"/>
          </w:tcPr>
          <w:p w14:paraId="5C0BE3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497.61　</w:t>
            </w:r>
          </w:p>
        </w:tc>
        <w:tc>
          <w:tcPr>
            <w:tcW w:w="417" w:type="pct"/>
            <w:tcBorders>
              <w:top w:val="nil"/>
              <w:left w:val="nil"/>
              <w:bottom w:val="single" w:color="auto" w:sz="4" w:space="0"/>
              <w:right w:val="single" w:color="auto" w:sz="4" w:space="0"/>
            </w:tcBorders>
            <w:shd w:val="clear" w:color="auto" w:fill="auto"/>
            <w:noWrap/>
            <w:vAlign w:val="center"/>
          </w:tcPr>
          <w:p w14:paraId="25CA52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8" w:type="pct"/>
            <w:tcBorders>
              <w:top w:val="nil"/>
              <w:left w:val="nil"/>
              <w:bottom w:val="single" w:color="auto" w:sz="4" w:space="0"/>
              <w:right w:val="single" w:color="auto" w:sz="4" w:space="0"/>
            </w:tcBorders>
            <w:shd w:val="clear" w:color="auto" w:fill="auto"/>
            <w:noWrap/>
            <w:vAlign w:val="center"/>
          </w:tcPr>
          <w:p w14:paraId="1DA585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4991B4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1" w:type="pct"/>
            <w:tcBorders>
              <w:top w:val="nil"/>
              <w:left w:val="nil"/>
              <w:bottom w:val="single" w:color="auto" w:sz="4" w:space="0"/>
              <w:right w:val="single" w:color="auto" w:sz="4" w:space="0"/>
            </w:tcBorders>
            <w:shd w:val="clear" w:color="auto" w:fill="auto"/>
            <w:noWrap/>
            <w:vAlign w:val="center"/>
          </w:tcPr>
          <w:p w14:paraId="3144A4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CB4BC2C">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181A0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21499</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997" w:type="pct"/>
            <w:tcBorders>
              <w:top w:val="single" w:color="auto" w:sz="4" w:space="0"/>
              <w:left w:val="nil"/>
              <w:bottom w:val="single" w:color="auto" w:sz="4" w:space="0"/>
              <w:right w:val="single" w:color="auto" w:sz="4" w:space="0"/>
            </w:tcBorders>
            <w:shd w:val="clear" w:color="000000" w:fill="FFFFFF"/>
            <w:noWrap/>
            <w:vAlign w:val="center"/>
          </w:tcPr>
          <w:p w14:paraId="1350989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其他交通运输支出</w:t>
            </w:r>
          </w:p>
        </w:tc>
        <w:tc>
          <w:tcPr>
            <w:tcW w:w="648" w:type="pct"/>
            <w:tcBorders>
              <w:top w:val="single" w:color="auto" w:sz="4" w:space="0"/>
              <w:left w:val="nil"/>
              <w:bottom w:val="single" w:color="auto" w:sz="4" w:space="0"/>
              <w:right w:val="single" w:color="auto" w:sz="4" w:space="0"/>
            </w:tcBorders>
            <w:shd w:val="clear" w:color="auto" w:fill="auto"/>
            <w:noWrap/>
            <w:vAlign w:val="center"/>
          </w:tcPr>
          <w:p w14:paraId="380AD43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486" w:type="pct"/>
            <w:tcBorders>
              <w:top w:val="single" w:color="auto" w:sz="4" w:space="0"/>
              <w:left w:val="nil"/>
              <w:bottom w:val="single" w:color="auto" w:sz="4" w:space="0"/>
              <w:right w:val="single" w:color="auto" w:sz="4" w:space="0"/>
            </w:tcBorders>
            <w:shd w:val="clear" w:color="auto" w:fill="auto"/>
            <w:noWrap/>
            <w:vAlign w:val="center"/>
          </w:tcPr>
          <w:p w14:paraId="7F48E7C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417" w:type="pct"/>
            <w:tcBorders>
              <w:top w:val="single" w:color="auto" w:sz="4" w:space="0"/>
              <w:left w:val="nil"/>
              <w:bottom w:val="single" w:color="auto" w:sz="4" w:space="0"/>
              <w:right w:val="single" w:color="auto" w:sz="4" w:space="0"/>
            </w:tcBorders>
            <w:shd w:val="clear" w:color="auto" w:fill="auto"/>
            <w:noWrap/>
            <w:vAlign w:val="center"/>
          </w:tcPr>
          <w:p w14:paraId="78D7172B">
            <w:pPr>
              <w:widowControl/>
              <w:jc w:val="right"/>
              <w:rPr>
                <w:rFonts w:ascii="Times New Roman" w:hAnsi="Times New Roman" w:eastAsia="仿宋_GB2312" w:cs="Times New Roman"/>
                <w:kern w:val="0"/>
                <w:sz w:val="24"/>
                <w:szCs w:val="24"/>
              </w:rPr>
            </w:pPr>
          </w:p>
        </w:tc>
        <w:tc>
          <w:tcPr>
            <w:tcW w:w="608" w:type="pct"/>
            <w:tcBorders>
              <w:top w:val="single" w:color="auto" w:sz="4" w:space="0"/>
              <w:left w:val="nil"/>
              <w:bottom w:val="single" w:color="auto" w:sz="4" w:space="0"/>
              <w:right w:val="single" w:color="auto" w:sz="4" w:space="0"/>
            </w:tcBorders>
            <w:shd w:val="clear" w:color="auto" w:fill="auto"/>
            <w:noWrap/>
            <w:vAlign w:val="center"/>
          </w:tcPr>
          <w:p w14:paraId="368C4E00">
            <w:pPr>
              <w:widowControl/>
              <w:jc w:val="right"/>
              <w:rPr>
                <w:rFonts w:ascii="Times New Roman" w:hAnsi="Times New Roman" w:eastAsia="仿宋_GB2312" w:cs="Times New Roman"/>
                <w:kern w:val="0"/>
                <w:sz w:val="24"/>
                <w:szCs w:val="24"/>
              </w:rPr>
            </w:pPr>
          </w:p>
        </w:tc>
        <w:tc>
          <w:tcPr>
            <w:tcW w:w="417" w:type="pct"/>
            <w:tcBorders>
              <w:top w:val="single" w:color="auto" w:sz="4" w:space="0"/>
              <w:left w:val="nil"/>
              <w:bottom w:val="single" w:color="auto" w:sz="4" w:space="0"/>
              <w:right w:val="single" w:color="auto" w:sz="4" w:space="0"/>
            </w:tcBorders>
            <w:shd w:val="clear" w:color="auto" w:fill="auto"/>
            <w:noWrap/>
            <w:vAlign w:val="center"/>
          </w:tcPr>
          <w:p w14:paraId="039D0710">
            <w:pPr>
              <w:widowControl/>
              <w:jc w:val="right"/>
              <w:rPr>
                <w:rFonts w:ascii="Times New Roman" w:hAnsi="Times New Roman" w:eastAsia="仿宋_GB2312" w:cs="Times New Roman"/>
                <w:kern w:val="0"/>
                <w:sz w:val="24"/>
                <w:szCs w:val="24"/>
              </w:rPr>
            </w:pPr>
          </w:p>
        </w:tc>
        <w:tc>
          <w:tcPr>
            <w:tcW w:w="891" w:type="pct"/>
            <w:tcBorders>
              <w:top w:val="single" w:color="auto" w:sz="4" w:space="0"/>
              <w:left w:val="nil"/>
              <w:bottom w:val="single" w:color="auto" w:sz="4" w:space="0"/>
              <w:right w:val="single" w:color="auto" w:sz="4" w:space="0"/>
            </w:tcBorders>
            <w:shd w:val="clear" w:color="auto" w:fill="auto"/>
            <w:noWrap/>
            <w:vAlign w:val="center"/>
          </w:tcPr>
          <w:p w14:paraId="74561339">
            <w:pPr>
              <w:widowControl/>
              <w:jc w:val="right"/>
              <w:rPr>
                <w:rFonts w:ascii="Times New Roman" w:hAnsi="Times New Roman" w:eastAsia="仿宋_GB2312" w:cs="Times New Roman"/>
                <w:kern w:val="0"/>
                <w:sz w:val="24"/>
                <w:szCs w:val="24"/>
              </w:rPr>
            </w:pPr>
          </w:p>
        </w:tc>
      </w:tr>
      <w:tr w14:paraId="2C1769DD">
        <w:tblPrEx>
          <w:tblCellMar>
            <w:top w:w="0" w:type="dxa"/>
            <w:left w:w="108" w:type="dxa"/>
            <w:bottom w:w="0" w:type="dxa"/>
            <w:right w:w="108" w:type="dxa"/>
          </w:tblCellMar>
        </w:tblPrEx>
        <w:trPr>
          <w:trHeight w:val="595" w:hRule="atLeast"/>
          <w:jc w:val="center"/>
        </w:trPr>
        <w:tc>
          <w:tcPr>
            <w:tcW w:w="53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1A4CB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2149999</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 xml:space="preserve"> </w:t>
            </w:r>
          </w:p>
        </w:tc>
        <w:tc>
          <w:tcPr>
            <w:tcW w:w="997" w:type="pct"/>
            <w:tcBorders>
              <w:top w:val="single" w:color="auto" w:sz="4" w:space="0"/>
              <w:left w:val="nil"/>
              <w:bottom w:val="single" w:color="auto" w:sz="4" w:space="0"/>
              <w:right w:val="single" w:color="auto" w:sz="4" w:space="0"/>
            </w:tcBorders>
            <w:shd w:val="clear" w:color="000000" w:fill="FFFFFF"/>
            <w:noWrap/>
            <w:vAlign w:val="center"/>
          </w:tcPr>
          <w:p w14:paraId="34905DA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其他交通运输支出</w:t>
            </w:r>
          </w:p>
        </w:tc>
        <w:tc>
          <w:tcPr>
            <w:tcW w:w="648" w:type="pct"/>
            <w:tcBorders>
              <w:top w:val="single" w:color="auto" w:sz="4" w:space="0"/>
              <w:left w:val="nil"/>
              <w:bottom w:val="single" w:color="auto" w:sz="4" w:space="0"/>
              <w:right w:val="single" w:color="auto" w:sz="4" w:space="0"/>
            </w:tcBorders>
            <w:shd w:val="clear" w:color="auto" w:fill="auto"/>
            <w:noWrap/>
            <w:vAlign w:val="center"/>
          </w:tcPr>
          <w:p w14:paraId="6F581CC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486" w:type="pct"/>
            <w:tcBorders>
              <w:top w:val="single" w:color="auto" w:sz="4" w:space="0"/>
              <w:left w:val="nil"/>
              <w:bottom w:val="single" w:color="auto" w:sz="4" w:space="0"/>
              <w:right w:val="single" w:color="auto" w:sz="4" w:space="0"/>
            </w:tcBorders>
            <w:shd w:val="clear" w:color="auto" w:fill="auto"/>
            <w:noWrap/>
            <w:vAlign w:val="center"/>
          </w:tcPr>
          <w:p w14:paraId="4B2CBDF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417" w:type="pct"/>
            <w:tcBorders>
              <w:top w:val="single" w:color="auto" w:sz="4" w:space="0"/>
              <w:left w:val="nil"/>
              <w:bottom w:val="single" w:color="auto" w:sz="4" w:space="0"/>
              <w:right w:val="single" w:color="auto" w:sz="4" w:space="0"/>
            </w:tcBorders>
            <w:shd w:val="clear" w:color="auto" w:fill="auto"/>
            <w:noWrap/>
            <w:vAlign w:val="center"/>
          </w:tcPr>
          <w:p w14:paraId="5E6C2B8D">
            <w:pPr>
              <w:widowControl/>
              <w:jc w:val="right"/>
              <w:rPr>
                <w:rFonts w:ascii="Times New Roman" w:hAnsi="Times New Roman" w:eastAsia="仿宋_GB2312" w:cs="Times New Roman"/>
                <w:kern w:val="0"/>
                <w:sz w:val="24"/>
                <w:szCs w:val="24"/>
              </w:rPr>
            </w:pPr>
          </w:p>
        </w:tc>
        <w:tc>
          <w:tcPr>
            <w:tcW w:w="608" w:type="pct"/>
            <w:tcBorders>
              <w:top w:val="single" w:color="auto" w:sz="4" w:space="0"/>
              <w:left w:val="nil"/>
              <w:bottom w:val="single" w:color="auto" w:sz="4" w:space="0"/>
              <w:right w:val="single" w:color="auto" w:sz="4" w:space="0"/>
            </w:tcBorders>
            <w:shd w:val="clear" w:color="auto" w:fill="auto"/>
            <w:noWrap/>
            <w:vAlign w:val="center"/>
          </w:tcPr>
          <w:p w14:paraId="077F975A">
            <w:pPr>
              <w:widowControl/>
              <w:jc w:val="right"/>
              <w:rPr>
                <w:rFonts w:ascii="Times New Roman" w:hAnsi="Times New Roman" w:eastAsia="仿宋_GB2312" w:cs="Times New Roman"/>
                <w:kern w:val="0"/>
                <w:sz w:val="24"/>
                <w:szCs w:val="24"/>
              </w:rPr>
            </w:pPr>
          </w:p>
        </w:tc>
        <w:tc>
          <w:tcPr>
            <w:tcW w:w="417" w:type="pct"/>
            <w:tcBorders>
              <w:top w:val="single" w:color="auto" w:sz="4" w:space="0"/>
              <w:left w:val="nil"/>
              <w:bottom w:val="single" w:color="auto" w:sz="4" w:space="0"/>
              <w:right w:val="single" w:color="auto" w:sz="4" w:space="0"/>
            </w:tcBorders>
            <w:shd w:val="clear" w:color="auto" w:fill="auto"/>
            <w:noWrap/>
            <w:vAlign w:val="center"/>
          </w:tcPr>
          <w:p w14:paraId="4AA6EAA3">
            <w:pPr>
              <w:widowControl/>
              <w:jc w:val="right"/>
              <w:rPr>
                <w:rFonts w:ascii="Times New Roman" w:hAnsi="Times New Roman" w:eastAsia="仿宋_GB2312" w:cs="Times New Roman"/>
                <w:kern w:val="0"/>
                <w:sz w:val="24"/>
                <w:szCs w:val="24"/>
              </w:rPr>
            </w:pPr>
          </w:p>
        </w:tc>
        <w:tc>
          <w:tcPr>
            <w:tcW w:w="891" w:type="pct"/>
            <w:tcBorders>
              <w:top w:val="single" w:color="auto" w:sz="4" w:space="0"/>
              <w:left w:val="nil"/>
              <w:bottom w:val="single" w:color="auto" w:sz="4" w:space="0"/>
              <w:right w:val="single" w:color="auto" w:sz="4" w:space="0"/>
            </w:tcBorders>
            <w:shd w:val="clear" w:color="auto" w:fill="auto"/>
            <w:noWrap/>
            <w:vAlign w:val="center"/>
          </w:tcPr>
          <w:p w14:paraId="10A97ACD">
            <w:pPr>
              <w:widowControl/>
              <w:jc w:val="right"/>
              <w:rPr>
                <w:rFonts w:ascii="Times New Roman" w:hAnsi="Times New Roman" w:eastAsia="仿宋_GB2312" w:cs="Times New Roman"/>
                <w:kern w:val="0"/>
                <w:sz w:val="24"/>
                <w:szCs w:val="24"/>
              </w:rPr>
            </w:pPr>
          </w:p>
        </w:tc>
      </w:tr>
    </w:tbl>
    <w:p w14:paraId="6C4374B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0037A2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01B020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703F41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公开04表</w:t>
      </w:r>
    </w:p>
    <w:p w14:paraId="0A88BE5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怀化市交通运输从业资格考试中心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04"/>
        <w:gridCol w:w="1731"/>
        <w:gridCol w:w="1859"/>
      </w:tblGrid>
      <w:tr w14:paraId="4C9CCA12">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82C5E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4D624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84D7739">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AAFE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F8B1A1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9235D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69D67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959FCE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79847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7CF8E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5C68C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0258E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611639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DF0C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29675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2CC94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9C81C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7E60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53076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44438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07FD1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3CFE3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E12ABD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7D90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6DD0A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9DF334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A819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988E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60AFEF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13.2</w:t>
            </w:r>
          </w:p>
        </w:tc>
        <w:tc>
          <w:tcPr>
            <w:tcW w:w="0" w:type="auto"/>
            <w:tcBorders>
              <w:top w:val="nil"/>
              <w:left w:val="nil"/>
              <w:bottom w:val="single" w:color="auto" w:sz="4" w:space="0"/>
              <w:right w:val="single" w:color="auto" w:sz="4" w:space="0"/>
            </w:tcBorders>
            <w:shd w:val="clear" w:color="auto" w:fill="auto"/>
            <w:noWrap/>
            <w:vAlign w:val="center"/>
          </w:tcPr>
          <w:p w14:paraId="0EAE3A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D38A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B82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09D3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50ECC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B34A9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08E4F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358A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2175B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CC7CA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8ADA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69F3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43E1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2E73B5">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0C52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D95FE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39E58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96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74761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278DE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0920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430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49E5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090C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1E8C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6153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5B23AD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B746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08A4C1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E5A19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45FF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B665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47CF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76D9CD">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5F2C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74E1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93569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26E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D9C22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A1207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B0CE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CD06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AB72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4BC80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326B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2DF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A2BD5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0015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D2B72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410CCF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4D5A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AC83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90CF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B9AF6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3B57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17C6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E4FD5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D83B7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282D9B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289552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500.61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BD1A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FABF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DB4D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E915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7738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6E1A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91794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7A82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D32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3BCFAF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7C33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F57B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A748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93D548">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7B76A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F6EC3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966C5E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27D17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FB28C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30B742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2E34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AA3C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1E431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FCB83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B883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E9A6F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2C3D62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9F77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7547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4336F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8518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9A22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4EA3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92591A">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365E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A8D2C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98A40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7376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71FB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A7503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E245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928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0FA9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379F1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0A6F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76FAA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F11A7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8703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14EA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3258B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9E6D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85BA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CB54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D4A1D2">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6D40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10B6D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DE2D6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AAB3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C005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B9B45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078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E4EE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C1DF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20E8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0DE011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4120B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460CAC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18C89F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F2134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57FEF8A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513.81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3AD50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90F16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A499D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308B10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515425F">
      <w:pPr>
        <w:widowControl/>
        <w:jc w:val="center"/>
        <w:rPr>
          <w:rFonts w:ascii="Times New Roman" w:hAnsi="Times New Roman" w:eastAsia="方正小标宋_GBK" w:cs="Times New Roman"/>
          <w:kern w:val="0"/>
          <w:sz w:val="36"/>
          <w:szCs w:val="36"/>
        </w:rPr>
      </w:pPr>
    </w:p>
    <w:p w14:paraId="4AE1D2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C334FC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怀化市交通运输从业资格考试中心</w:t>
      </w:r>
      <w:r>
        <w:rPr>
          <w:rFonts w:hint="eastAsia" w:ascii="Times New Roman" w:hAnsi="Times New Roman" w:eastAsia="仿宋_GB2312" w:cs="Times New Roman"/>
          <w:color w:val="000000"/>
          <w:kern w:val="0"/>
          <w:szCs w:val="21"/>
        </w:rPr>
        <w:tab/>
      </w:r>
      <w:r>
        <w:rPr>
          <w:rFonts w:ascii="Times New Roman" w:hAnsi="Times New Roman" w:eastAsia="仿宋_GB2312" w:cs="Times New Roman"/>
          <w:color w:val="000000"/>
          <w:kern w:val="0"/>
          <w:szCs w:val="21"/>
        </w:rPr>
        <w:t xml:space="preserve">                                                                             公开05表</w:t>
      </w:r>
    </w:p>
    <w:p w14:paraId="086144B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C1374F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87C03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451EB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3BCCB0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62ED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7800F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0DA37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AC18E4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49AB2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CF6F49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87C21B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130FFF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69A7DD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49B39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2583D4E">
            <w:pPr>
              <w:widowControl/>
              <w:jc w:val="left"/>
              <w:rPr>
                <w:rFonts w:ascii="Times New Roman" w:hAnsi="Times New Roman" w:eastAsia="仿宋_GB2312" w:cs="Times New Roman"/>
                <w:kern w:val="0"/>
                <w:szCs w:val="21"/>
              </w:rPr>
            </w:pPr>
          </w:p>
        </w:tc>
      </w:tr>
      <w:tr w14:paraId="2939B75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11623C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37DDB9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4942C0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5A1C8C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7911B42">
            <w:pPr>
              <w:widowControl/>
              <w:jc w:val="left"/>
              <w:rPr>
                <w:rFonts w:ascii="Times New Roman" w:hAnsi="Times New Roman" w:eastAsia="仿宋_GB2312" w:cs="Times New Roman"/>
                <w:kern w:val="0"/>
                <w:szCs w:val="21"/>
              </w:rPr>
            </w:pPr>
          </w:p>
        </w:tc>
      </w:tr>
      <w:tr w14:paraId="29908D1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0F96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D2E1D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A07F2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44C0F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CA2C45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344B5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61D06F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513.81</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AACD083">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510.81</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C5DFD2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r>
              <w:rPr>
                <w:rFonts w:ascii="Times New Roman" w:hAnsi="Times New Roman" w:eastAsia="仿宋_GB2312" w:cs="Times New Roman"/>
                <w:kern w:val="0"/>
                <w:szCs w:val="21"/>
              </w:rPr>
              <w:t>　</w:t>
            </w:r>
          </w:p>
        </w:tc>
      </w:tr>
      <w:tr w14:paraId="58C197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B94D0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3527" w:type="dxa"/>
            <w:tcBorders>
              <w:top w:val="nil"/>
              <w:left w:val="nil"/>
              <w:bottom w:val="single" w:color="auto" w:sz="4" w:space="0"/>
              <w:right w:val="single" w:color="auto" w:sz="4" w:space="0"/>
            </w:tcBorders>
            <w:shd w:val="clear" w:color="auto" w:fill="auto"/>
            <w:vAlign w:val="center"/>
          </w:tcPr>
          <w:p w14:paraId="3DD1E398">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AC0021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13.2</w:t>
            </w:r>
          </w:p>
        </w:tc>
        <w:tc>
          <w:tcPr>
            <w:tcW w:w="3492" w:type="dxa"/>
            <w:tcBorders>
              <w:top w:val="nil"/>
              <w:left w:val="nil"/>
              <w:bottom w:val="single" w:color="auto" w:sz="4" w:space="0"/>
              <w:right w:val="single" w:color="auto" w:sz="4" w:space="0"/>
            </w:tcBorders>
            <w:shd w:val="clear" w:color="auto" w:fill="auto"/>
            <w:vAlign w:val="center"/>
          </w:tcPr>
          <w:p w14:paraId="05B2AC2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13.2</w:t>
            </w:r>
          </w:p>
        </w:tc>
        <w:tc>
          <w:tcPr>
            <w:tcW w:w="3000" w:type="dxa"/>
            <w:tcBorders>
              <w:top w:val="nil"/>
              <w:left w:val="nil"/>
              <w:bottom w:val="single" w:color="auto" w:sz="4" w:space="0"/>
              <w:right w:val="single" w:color="auto" w:sz="8" w:space="0"/>
            </w:tcBorders>
            <w:shd w:val="clear" w:color="auto" w:fill="auto"/>
            <w:vAlign w:val="center"/>
          </w:tcPr>
          <w:p w14:paraId="2BF3E5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29A73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AFA5E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w:t>
            </w:r>
            <w:r>
              <w:rPr>
                <w:rFonts w:hint="eastAsia" w:ascii="Times New Roman" w:hAnsi="Times New Roman" w:eastAsia="仿宋_GB2312" w:cs="Times New Roman"/>
                <w:kern w:val="0"/>
                <w:sz w:val="24"/>
                <w:szCs w:val="24"/>
              </w:rPr>
              <w:tab/>
            </w:r>
          </w:p>
        </w:tc>
        <w:tc>
          <w:tcPr>
            <w:tcW w:w="3527" w:type="dxa"/>
            <w:tcBorders>
              <w:top w:val="nil"/>
              <w:left w:val="nil"/>
              <w:bottom w:val="single" w:color="auto" w:sz="4" w:space="0"/>
              <w:right w:val="single" w:color="auto" w:sz="4" w:space="0"/>
            </w:tcBorders>
            <w:shd w:val="clear" w:color="auto" w:fill="auto"/>
            <w:vAlign w:val="center"/>
          </w:tcPr>
          <w:p w14:paraId="185030BE">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E34B07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13.2</w:t>
            </w:r>
          </w:p>
        </w:tc>
        <w:tc>
          <w:tcPr>
            <w:tcW w:w="3492" w:type="dxa"/>
            <w:tcBorders>
              <w:top w:val="nil"/>
              <w:left w:val="nil"/>
              <w:bottom w:val="single" w:color="auto" w:sz="4" w:space="0"/>
              <w:right w:val="single" w:color="auto" w:sz="4" w:space="0"/>
            </w:tcBorders>
            <w:shd w:val="clear" w:color="auto" w:fill="auto"/>
            <w:vAlign w:val="center"/>
          </w:tcPr>
          <w:p w14:paraId="55612C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13.2</w:t>
            </w:r>
          </w:p>
        </w:tc>
        <w:tc>
          <w:tcPr>
            <w:tcW w:w="3000" w:type="dxa"/>
            <w:tcBorders>
              <w:top w:val="nil"/>
              <w:left w:val="nil"/>
              <w:bottom w:val="single" w:color="auto" w:sz="4" w:space="0"/>
              <w:right w:val="single" w:color="auto" w:sz="8" w:space="0"/>
            </w:tcBorders>
            <w:shd w:val="clear" w:color="auto" w:fill="auto"/>
            <w:vAlign w:val="center"/>
          </w:tcPr>
          <w:p w14:paraId="26700D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94D71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FBE92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2019999</w:t>
            </w:r>
          </w:p>
        </w:tc>
        <w:tc>
          <w:tcPr>
            <w:tcW w:w="3527" w:type="dxa"/>
            <w:tcBorders>
              <w:top w:val="nil"/>
              <w:left w:val="nil"/>
              <w:bottom w:val="single" w:color="auto" w:sz="4" w:space="0"/>
              <w:right w:val="single" w:color="auto" w:sz="4" w:space="0"/>
            </w:tcBorders>
            <w:shd w:val="clear" w:color="auto" w:fill="auto"/>
            <w:vAlign w:val="center"/>
          </w:tcPr>
          <w:p w14:paraId="3014560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38B43E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13.2</w:t>
            </w:r>
          </w:p>
        </w:tc>
        <w:tc>
          <w:tcPr>
            <w:tcW w:w="3492" w:type="dxa"/>
            <w:tcBorders>
              <w:top w:val="nil"/>
              <w:left w:val="nil"/>
              <w:bottom w:val="single" w:color="auto" w:sz="4" w:space="0"/>
              <w:right w:val="single" w:color="auto" w:sz="4" w:space="0"/>
            </w:tcBorders>
            <w:shd w:val="clear" w:color="auto" w:fill="auto"/>
            <w:vAlign w:val="center"/>
          </w:tcPr>
          <w:p w14:paraId="0796BA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13.2</w:t>
            </w:r>
          </w:p>
        </w:tc>
        <w:tc>
          <w:tcPr>
            <w:tcW w:w="3000" w:type="dxa"/>
            <w:tcBorders>
              <w:top w:val="nil"/>
              <w:left w:val="nil"/>
              <w:bottom w:val="single" w:color="auto" w:sz="4" w:space="0"/>
              <w:right w:val="single" w:color="auto" w:sz="8" w:space="0"/>
            </w:tcBorders>
            <w:shd w:val="clear" w:color="auto" w:fill="auto"/>
            <w:vAlign w:val="center"/>
          </w:tcPr>
          <w:p w14:paraId="7DFD49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D6FB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945088">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w:t>
            </w:r>
            <w:r>
              <w:rPr>
                <w:rFonts w:hint="eastAsia"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rPr>
              <w:tab/>
            </w:r>
          </w:p>
        </w:tc>
        <w:tc>
          <w:tcPr>
            <w:tcW w:w="3527" w:type="dxa"/>
            <w:tcBorders>
              <w:top w:val="nil"/>
              <w:left w:val="nil"/>
              <w:bottom w:val="single" w:color="auto" w:sz="4" w:space="0"/>
              <w:right w:val="single" w:color="auto" w:sz="4" w:space="0"/>
            </w:tcBorders>
            <w:shd w:val="clear" w:color="auto" w:fill="auto"/>
            <w:vAlign w:val="center"/>
          </w:tcPr>
          <w:p w14:paraId="2F1E9B8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交通运输支出</w:t>
            </w:r>
          </w:p>
        </w:tc>
        <w:tc>
          <w:tcPr>
            <w:tcW w:w="3000" w:type="dxa"/>
            <w:tcBorders>
              <w:top w:val="nil"/>
              <w:left w:val="nil"/>
              <w:bottom w:val="single" w:color="auto" w:sz="4" w:space="0"/>
              <w:right w:val="single" w:color="auto" w:sz="4" w:space="0"/>
            </w:tcBorders>
            <w:shd w:val="clear" w:color="auto" w:fill="auto"/>
            <w:vAlign w:val="center"/>
          </w:tcPr>
          <w:p w14:paraId="2E593F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497.61</w:t>
            </w:r>
          </w:p>
        </w:tc>
        <w:tc>
          <w:tcPr>
            <w:tcW w:w="3492" w:type="dxa"/>
            <w:tcBorders>
              <w:top w:val="nil"/>
              <w:left w:val="nil"/>
              <w:bottom w:val="single" w:color="auto" w:sz="4" w:space="0"/>
              <w:right w:val="single" w:color="auto" w:sz="4" w:space="0"/>
            </w:tcBorders>
            <w:shd w:val="clear" w:color="auto" w:fill="auto"/>
            <w:vAlign w:val="center"/>
          </w:tcPr>
          <w:p w14:paraId="1A3DB3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497.61</w:t>
            </w:r>
          </w:p>
        </w:tc>
        <w:tc>
          <w:tcPr>
            <w:tcW w:w="3000" w:type="dxa"/>
            <w:tcBorders>
              <w:top w:val="nil"/>
              <w:left w:val="nil"/>
              <w:bottom w:val="single" w:color="auto" w:sz="4" w:space="0"/>
              <w:right w:val="single" w:color="auto" w:sz="8" w:space="0"/>
            </w:tcBorders>
            <w:shd w:val="clear" w:color="auto" w:fill="auto"/>
            <w:vAlign w:val="center"/>
          </w:tcPr>
          <w:p w14:paraId="705F0E4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26FF1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0344B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21401</w:t>
            </w:r>
            <w:r>
              <w:rPr>
                <w:rFonts w:hint="eastAsia" w:ascii="Times New Roman" w:hAnsi="Times New Roman" w:eastAsia="仿宋_GB2312" w:cs="Times New Roman"/>
                <w:kern w:val="0"/>
                <w:sz w:val="24"/>
                <w:szCs w:val="24"/>
              </w:rPr>
              <w:tab/>
            </w:r>
          </w:p>
        </w:tc>
        <w:tc>
          <w:tcPr>
            <w:tcW w:w="3527" w:type="dxa"/>
            <w:tcBorders>
              <w:top w:val="nil"/>
              <w:left w:val="nil"/>
              <w:bottom w:val="single" w:color="auto" w:sz="4" w:space="0"/>
              <w:right w:val="single" w:color="auto" w:sz="4" w:space="0"/>
            </w:tcBorders>
            <w:shd w:val="clear" w:color="auto" w:fill="auto"/>
            <w:vAlign w:val="center"/>
          </w:tcPr>
          <w:p w14:paraId="19F2DFF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公路水路运输</w:t>
            </w:r>
          </w:p>
        </w:tc>
        <w:tc>
          <w:tcPr>
            <w:tcW w:w="3000" w:type="dxa"/>
            <w:tcBorders>
              <w:top w:val="nil"/>
              <w:left w:val="nil"/>
              <w:bottom w:val="single" w:color="auto" w:sz="4" w:space="0"/>
              <w:right w:val="single" w:color="auto" w:sz="4" w:space="0"/>
            </w:tcBorders>
            <w:shd w:val="clear" w:color="auto" w:fill="auto"/>
            <w:vAlign w:val="center"/>
          </w:tcPr>
          <w:p w14:paraId="6D0B707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497.61</w:t>
            </w:r>
          </w:p>
        </w:tc>
        <w:tc>
          <w:tcPr>
            <w:tcW w:w="3492" w:type="dxa"/>
            <w:tcBorders>
              <w:top w:val="nil"/>
              <w:left w:val="nil"/>
              <w:bottom w:val="single" w:color="auto" w:sz="4" w:space="0"/>
              <w:right w:val="single" w:color="auto" w:sz="4" w:space="0"/>
            </w:tcBorders>
            <w:shd w:val="clear" w:color="auto" w:fill="auto"/>
            <w:vAlign w:val="center"/>
          </w:tcPr>
          <w:p w14:paraId="7675C3C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497.61</w:t>
            </w:r>
          </w:p>
        </w:tc>
        <w:tc>
          <w:tcPr>
            <w:tcW w:w="3000" w:type="dxa"/>
            <w:tcBorders>
              <w:top w:val="nil"/>
              <w:left w:val="nil"/>
              <w:bottom w:val="single" w:color="auto" w:sz="4" w:space="0"/>
              <w:right w:val="single" w:color="auto" w:sz="8" w:space="0"/>
            </w:tcBorders>
            <w:shd w:val="clear" w:color="auto" w:fill="auto"/>
            <w:vAlign w:val="center"/>
          </w:tcPr>
          <w:p w14:paraId="715561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5D9624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948DB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2140101</w:t>
            </w:r>
          </w:p>
        </w:tc>
        <w:tc>
          <w:tcPr>
            <w:tcW w:w="3527" w:type="dxa"/>
            <w:tcBorders>
              <w:top w:val="nil"/>
              <w:left w:val="nil"/>
              <w:bottom w:val="single" w:color="auto" w:sz="4" w:space="0"/>
              <w:right w:val="single" w:color="auto" w:sz="4" w:space="0"/>
            </w:tcBorders>
            <w:shd w:val="clear" w:color="auto" w:fill="auto"/>
            <w:vAlign w:val="center"/>
          </w:tcPr>
          <w:p w14:paraId="4A3E1FC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3000" w:type="dxa"/>
            <w:tcBorders>
              <w:top w:val="nil"/>
              <w:left w:val="nil"/>
              <w:bottom w:val="single" w:color="auto" w:sz="4" w:space="0"/>
              <w:right w:val="single" w:color="auto" w:sz="4" w:space="0"/>
            </w:tcBorders>
            <w:shd w:val="clear" w:color="auto" w:fill="auto"/>
            <w:vAlign w:val="center"/>
          </w:tcPr>
          <w:p w14:paraId="3EAB278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497.61</w:t>
            </w:r>
          </w:p>
        </w:tc>
        <w:tc>
          <w:tcPr>
            <w:tcW w:w="3492" w:type="dxa"/>
            <w:tcBorders>
              <w:top w:val="nil"/>
              <w:left w:val="nil"/>
              <w:bottom w:val="single" w:color="auto" w:sz="4" w:space="0"/>
              <w:right w:val="single" w:color="auto" w:sz="4" w:space="0"/>
            </w:tcBorders>
            <w:shd w:val="clear" w:color="auto" w:fill="auto"/>
            <w:vAlign w:val="center"/>
          </w:tcPr>
          <w:p w14:paraId="3B60E2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497.61</w:t>
            </w:r>
          </w:p>
        </w:tc>
        <w:tc>
          <w:tcPr>
            <w:tcW w:w="3000" w:type="dxa"/>
            <w:tcBorders>
              <w:top w:val="nil"/>
              <w:left w:val="nil"/>
              <w:bottom w:val="single" w:color="auto" w:sz="4" w:space="0"/>
              <w:right w:val="single" w:color="auto" w:sz="8" w:space="0"/>
            </w:tcBorders>
            <w:shd w:val="clear" w:color="auto" w:fill="auto"/>
            <w:vAlign w:val="center"/>
          </w:tcPr>
          <w:p w14:paraId="270D4D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028A0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BEBC72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21499</w:t>
            </w:r>
            <w:r>
              <w:rPr>
                <w:rFonts w:hint="eastAsia" w:ascii="Times New Roman" w:hAnsi="Times New Roman" w:eastAsia="仿宋_GB2312" w:cs="Times New Roman"/>
                <w:kern w:val="0"/>
                <w:sz w:val="24"/>
                <w:szCs w:val="24"/>
              </w:rPr>
              <w:tab/>
            </w:r>
          </w:p>
        </w:tc>
        <w:tc>
          <w:tcPr>
            <w:tcW w:w="3527" w:type="dxa"/>
            <w:tcBorders>
              <w:top w:val="nil"/>
              <w:left w:val="nil"/>
              <w:bottom w:val="single" w:color="auto" w:sz="8" w:space="0"/>
              <w:right w:val="single" w:color="auto" w:sz="4" w:space="0"/>
            </w:tcBorders>
            <w:shd w:val="clear" w:color="auto" w:fill="auto"/>
            <w:vAlign w:val="center"/>
          </w:tcPr>
          <w:p w14:paraId="3F7DBEA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其他交通运输支出</w:t>
            </w:r>
          </w:p>
        </w:tc>
        <w:tc>
          <w:tcPr>
            <w:tcW w:w="3000" w:type="dxa"/>
            <w:tcBorders>
              <w:top w:val="nil"/>
              <w:left w:val="nil"/>
              <w:bottom w:val="single" w:color="auto" w:sz="8" w:space="0"/>
              <w:right w:val="single" w:color="auto" w:sz="4" w:space="0"/>
            </w:tcBorders>
            <w:shd w:val="clear" w:color="auto" w:fill="auto"/>
            <w:vAlign w:val="center"/>
          </w:tcPr>
          <w:p w14:paraId="26A9AA4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c>
          <w:tcPr>
            <w:tcW w:w="3492" w:type="dxa"/>
            <w:tcBorders>
              <w:top w:val="nil"/>
              <w:left w:val="nil"/>
              <w:bottom w:val="single" w:color="auto" w:sz="8" w:space="0"/>
              <w:right w:val="single" w:color="auto" w:sz="4" w:space="0"/>
            </w:tcBorders>
            <w:shd w:val="clear" w:color="auto" w:fill="auto"/>
            <w:vAlign w:val="center"/>
          </w:tcPr>
          <w:p w14:paraId="08176535">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302F5DD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r>
      <w:tr w14:paraId="6BBEAF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EBAB4E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2149999 </w:t>
            </w:r>
          </w:p>
        </w:tc>
        <w:tc>
          <w:tcPr>
            <w:tcW w:w="3527" w:type="dxa"/>
            <w:tcBorders>
              <w:top w:val="nil"/>
              <w:left w:val="nil"/>
              <w:bottom w:val="single" w:color="auto" w:sz="8" w:space="0"/>
              <w:right w:val="single" w:color="auto" w:sz="4" w:space="0"/>
            </w:tcBorders>
            <w:shd w:val="clear" w:color="auto" w:fill="auto"/>
            <w:vAlign w:val="center"/>
          </w:tcPr>
          <w:p w14:paraId="309182B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其他交通运输支出</w:t>
            </w:r>
          </w:p>
        </w:tc>
        <w:tc>
          <w:tcPr>
            <w:tcW w:w="3000" w:type="dxa"/>
            <w:tcBorders>
              <w:top w:val="nil"/>
              <w:left w:val="nil"/>
              <w:bottom w:val="single" w:color="auto" w:sz="8" w:space="0"/>
              <w:right w:val="single" w:color="auto" w:sz="4" w:space="0"/>
            </w:tcBorders>
            <w:shd w:val="clear" w:color="auto" w:fill="auto"/>
            <w:vAlign w:val="center"/>
          </w:tcPr>
          <w:p w14:paraId="7FF92D9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c>
          <w:tcPr>
            <w:tcW w:w="3492" w:type="dxa"/>
            <w:tcBorders>
              <w:top w:val="nil"/>
              <w:left w:val="nil"/>
              <w:bottom w:val="single" w:color="auto" w:sz="8" w:space="0"/>
              <w:right w:val="single" w:color="auto" w:sz="4" w:space="0"/>
            </w:tcBorders>
            <w:shd w:val="clear" w:color="auto" w:fill="auto"/>
            <w:vAlign w:val="center"/>
          </w:tcPr>
          <w:p w14:paraId="28898712">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4F933CB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r>
    </w:tbl>
    <w:p w14:paraId="2759C1A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9E387B8">
      <w:pPr>
        <w:widowControl/>
        <w:jc w:val="left"/>
        <w:rPr>
          <w:rFonts w:ascii="Times New Roman" w:hAnsi="Times New Roman" w:eastAsia="仿宋_GB2312" w:cs="Times New Roman"/>
          <w:bCs/>
          <w:kern w:val="0"/>
          <w:szCs w:val="21"/>
        </w:rPr>
      </w:pPr>
    </w:p>
    <w:p w14:paraId="57851F2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7E15C16">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F7648D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：怀化市交通运输从业资格考试中心</w:t>
      </w:r>
      <w:r>
        <w:rPr>
          <w:rFonts w:ascii="Times New Roman" w:hAnsi="Times New Roman" w:eastAsia="仿宋_GB2312" w:cs="Times New Roman"/>
          <w:color w:val="000000"/>
          <w:kern w:val="0"/>
          <w:szCs w:val="21"/>
        </w:rPr>
        <w:t xml:space="preserve">                                                                                    公开06表</w:t>
      </w:r>
    </w:p>
    <w:p w14:paraId="3B27931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77D34F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5FC8DC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D8FCCF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7CE65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072B5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35D06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A355A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50CC9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18254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CF042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6F4CC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97B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ABB1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w:t>
            </w:r>
            <w:r>
              <w:rPr>
                <w:rFonts w:hint="eastAsia" w:ascii="Times New Roman" w:hAnsi="Times New Roman" w:eastAsia="仿宋_GB2312" w:cs="Times New Roman"/>
                <w:color w:val="000000"/>
                <w:kern w:val="0"/>
                <w:szCs w:val="20"/>
              </w:rPr>
              <w:t>出</w:t>
            </w:r>
          </w:p>
          <w:p w14:paraId="29C2C384">
            <w:pPr>
              <w:pStyle w:val="2"/>
            </w:pPr>
          </w:p>
        </w:tc>
        <w:tc>
          <w:tcPr>
            <w:tcW w:w="966" w:type="dxa"/>
            <w:tcBorders>
              <w:top w:val="nil"/>
              <w:left w:val="nil"/>
              <w:bottom w:val="single" w:color="auto" w:sz="4" w:space="0"/>
              <w:right w:val="single" w:color="auto" w:sz="4" w:space="0"/>
            </w:tcBorders>
            <w:shd w:val="clear" w:color="auto" w:fill="auto"/>
            <w:noWrap/>
            <w:vAlign w:val="center"/>
          </w:tcPr>
          <w:p w14:paraId="671D387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452.35</w:t>
            </w:r>
          </w:p>
        </w:tc>
        <w:tc>
          <w:tcPr>
            <w:tcW w:w="1116" w:type="dxa"/>
            <w:tcBorders>
              <w:top w:val="nil"/>
              <w:left w:val="nil"/>
              <w:bottom w:val="single" w:color="auto" w:sz="4" w:space="0"/>
              <w:right w:val="single" w:color="auto" w:sz="4" w:space="0"/>
            </w:tcBorders>
            <w:shd w:val="clear" w:color="auto" w:fill="auto"/>
            <w:noWrap/>
            <w:vAlign w:val="center"/>
          </w:tcPr>
          <w:p w14:paraId="69D51E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7ABB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F260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9.63</w:t>
            </w:r>
          </w:p>
        </w:tc>
        <w:tc>
          <w:tcPr>
            <w:tcW w:w="1217" w:type="dxa"/>
            <w:tcBorders>
              <w:top w:val="nil"/>
              <w:left w:val="nil"/>
              <w:bottom w:val="single" w:color="auto" w:sz="4" w:space="0"/>
              <w:right w:val="single" w:color="auto" w:sz="4" w:space="0"/>
            </w:tcBorders>
            <w:shd w:val="clear" w:color="auto" w:fill="auto"/>
            <w:noWrap/>
            <w:vAlign w:val="center"/>
          </w:tcPr>
          <w:p w14:paraId="558E2F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5ABB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B9A6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819A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06E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A0CB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066670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147.67</w:t>
            </w:r>
          </w:p>
        </w:tc>
        <w:tc>
          <w:tcPr>
            <w:tcW w:w="1116" w:type="dxa"/>
            <w:tcBorders>
              <w:top w:val="nil"/>
              <w:left w:val="nil"/>
              <w:bottom w:val="single" w:color="auto" w:sz="4" w:space="0"/>
              <w:right w:val="single" w:color="auto" w:sz="4" w:space="0"/>
            </w:tcBorders>
            <w:shd w:val="clear" w:color="auto" w:fill="auto"/>
            <w:noWrap/>
            <w:vAlign w:val="center"/>
          </w:tcPr>
          <w:p w14:paraId="7D0CE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8074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5523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0.47</w:t>
            </w:r>
          </w:p>
        </w:tc>
        <w:tc>
          <w:tcPr>
            <w:tcW w:w="1217" w:type="dxa"/>
            <w:tcBorders>
              <w:top w:val="nil"/>
              <w:left w:val="nil"/>
              <w:bottom w:val="single" w:color="auto" w:sz="4" w:space="0"/>
              <w:right w:val="single" w:color="auto" w:sz="4" w:space="0"/>
            </w:tcBorders>
            <w:shd w:val="clear" w:color="auto" w:fill="auto"/>
            <w:noWrap/>
            <w:vAlign w:val="center"/>
          </w:tcPr>
          <w:p w14:paraId="22BD40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E90E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CDEB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D90C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E5E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90E78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A2FBA4B">
            <w:pPr>
              <w:widowControl/>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D14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A525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FC37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9B8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EA0BC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56A69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B990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E197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A55A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07CEEB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43.05</w:t>
            </w:r>
          </w:p>
        </w:tc>
        <w:tc>
          <w:tcPr>
            <w:tcW w:w="1116" w:type="dxa"/>
            <w:tcBorders>
              <w:top w:val="nil"/>
              <w:left w:val="nil"/>
              <w:bottom w:val="single" w:color="auto" w:sz="4" w:space="0"/>
              <w:right w:val="single" w:color="auto" w:sz="4" w:space="0"/>
            </w:tcBorders>
            <w:shd w:val="clear" w:color="auto" w:fill="auto"/>
            <w:noWrap/>
            <w:vAlign w:val="center"/>
          </w:tcPr>
          <w:p w14:paraId="03F73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50EC8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2F4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CFE0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9AC4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017C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36B9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D47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ACCDE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3BFDAF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0.5</w:t>
            </w:r>
          </w:p>
        </w:tc>
        <w:tc>
          <w:tcPr>
            <w:tcW w:w="1116" w:type="dxa"/>
            <w:tcBorders>
              <w:top w:val="nil"/>
              <w:left w:val="nil"/>
              <w:bottom w:val="single" w:color="auto" w:sz="4" w:space="0"/>
              <w:right w:val="single" w:color="auto" w:sz="4" w:space="0"/>
            </w:tcBorders>
            <w:shd w:val="clear" w:color="auto" w:fill="auto"/>
            <w:noWrap/>
            <w:vAlign w:val="center"/>
          </w:tcPr>
          <w:p w14:paraId="69951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D189B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E6A7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6E0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5DDB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7B35F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C4BE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732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80164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A87408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128.87</w:t>
            </w:r>
          </w:p>
        </w:tc>
        <w:tc>
          <w:tcPr>
            <w:tcW w:w="1116" w:type="dxa"/>
            <w:tcBorders>
              <w:top w:val="nil"/>
              <w:left w:val="nil"/>
              <w:bottom w:val="single" w:color="auto" w:sz="4" w:space="0"/>
              <w:right w:val="single" w:color="auto" w:sz="4" w:space="0"/>
            </w:tcBorders>
            <w:shd w:val="clear" w:color="auto" w:fill="auto"/>
            <w:noWrap/>
            <w:vAlign w:val="center"/>
          </w:tcPr>
          <w:p w14:paraId="4912A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8EBB1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19BF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9083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0295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6E1D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F3DC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340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3EEA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9FF48E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51.63</w:t>
            </w:r>
          </w:p>
        </w:tc>
        <w:tc>
          <w:tcPr>
            <w:tcW w:w="1116" w:type="dxa"/>
            <w:tcBorders>
              <w:top w:val="nil"/>
              <w:left w:val="nil"/>
              <w:bottom w:val="single" w:color="auto" w:sz="4" w:space="0"/>
              <w:right w:val="single" w:color="auto" w:sz="4" w:space="0"/>
            </w:tcBorders>
            <w:shd w:val="clear" w:color="auto" w:fill="auto"/>
            <w:noWrap/>
            <w:vAlign w:val="center"/>
          </w:tcPr>
          <w:p w14:paraId="642AE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43E3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02E5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7EC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A660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B5F88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F957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8BF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36597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1003F2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25.81</w:t>
            </w:r>
          </w:p>
        </w:tc>
        <w:tc>
          <w:tcPr>
            <w:tcW w:w="1116" w:type="dxa"/>
            <w:tcBorders>
              <w:top w:val="nil"/>
              <w:left w:val="nil"/>
              <w:bottom w:val="single" w:color="auto" w:sz="4" w:space="0"/>
              <w:right w:val="single" w:color="auto" w:sz="4" w:space="0"/>
            </w:tcBorders>
            <w:shd w:val="clear" w:color="auto" w:fill="auto"/>
            <w:noWrap/>
            <w:vAlign w:val="center"/>
          </w:tcPr>
          <w:p w14:paraId="758BD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8D99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D108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2D1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EC64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D84D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C3B8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D01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D409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2FF711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19.93</w:t>
            </w:r>
          </w:p>
        </w:tc>
        <w:tc>
          <w:tcPr>
            <w:tcW w:w="1116" w:type="dxa"/>
            <w:tcBorders>
              <w:top w:val="nil"/>
              <w:left w:val="nil"/>
              <w:bottom w:val="single" w:color="auto" w:sz="4" w:space="0"/>
              <w:right w:val="single" w:color="auto" w:sz="4" w:space="0"/>
            </w:tcBorders>
            <w:shd w:val="clear" w:color="auto" w:fill="auto"/>
            <w:noWrap/>
            <w:vAlign w:val="center"/>
          </w:tcPr>
          <w:p w14:paraId="03F48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92C99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58D2C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CBB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4AA41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3B754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D018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30B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6A57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58AAE50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47C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E950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F5473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0.31</w:t>
            </w:r>
          </w:p>
        </w:tc>
        <w:tc>
          <w:tcPr>
            <w:tcW w:w="1217" w:type="dxa"/>
            <w:tcBorders>
              <w:top w:val="nil"/>
              <w:left w:val="nil"/>
              <w:bottom w:val="single" w:color="auto" w:sz="4" w:space="0"/>
              <w:right w:val="single" w:color="auto" w:sz="4" w:space="0"/>
            </w:tcBorders>
            <w:shd w:val="clear" w:color="auto" w:fill="auto"/>
            <w:noWrap/>
            <w:vAlign w:val="center"/>
          </w:tcPr>
          <w:p w14:paraId="267D4D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34D4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86B3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6655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D02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7CB5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E9B471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2.08</w:t>
            </w:r>
          </w:p>
        </w:tc>
        <w:tc>
          <w:tcPr>
            <w:tcW w:w="1116" w:type="dxa"/>
            <w:tcBorders>
              <w:top w:val="nil"/>
              <w:left w:val="nil"/>
              <w:bottom w:val="single" w:color="auto" w:sz="4" w:space="0"/>
              <w:right w:val="single" w:color="auto" w:sz="4" w:space="0"/>
            </w:tcBorders>
            <w:shd w:val="clear" w:color="auto" w:fill="auto"/>
            <w:noWrap/>
            <w:vAlign w:val="center"/>
          </w:tcPr>
          <w:p w14:paraId="7B725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6DCA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A585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2.07</w:t>
            </w:r>
          </w:p>
        </w:tc>
        <w:tc>
          <w:tcPr>
            <w:tcW w:w="1217" w:type="dxa"/>
            <w:tcBorders>
              <w:top w:val="nil"/>
              <w:left w:val="nil"/>
              <w:bottom w:val="single" w:color="auto" w:sz="4" w:space="0"/>
              <w:right w:val="single" w:color="auto" w:sz="4" w:space="0"/>
            </w:tcBorders>
            <w:shd w:val="clear" w:color="auto" w:fill="auto"/>
            <w:noWrap/>
            <w:vAlign w:val="center"/>
          </w:tcPr>
          <w:p w14:paraId="5445A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3939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77E0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1841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E6C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A2D8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1F9169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32.52</w:t>
            </w:r>
          </w:p>
        </w:tc>
        <w:tc>
          <w:tcPr>
            <w:tcW w:w="1116" w:type="dxa"/>
            <w:tcBorders>
              <w:top w:val="nil"/>
              <w:left w:val="nil"/>
              <w:bottom w:val="single" w:color="auto" w:sz="4" w:space="0"/>
              <w:right w:val="single" w:color="auto" w:sz="4" w:space="0"/>
            </w:tcBorders>
            <w:shd w:val="clear" w:color="auto" w:fill="auto"/>
            <w:noWrap/>
            <w:vAlign w:val="center"/>
          </w:tcPr>
          <w:p w14:paraId="7FD55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3B13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04E9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C6F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B5E0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CA6E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5F9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3C8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38E6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D9F625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7EE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3C12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AF1E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4D9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34A39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12A22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AD09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99B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6489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84A2DA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49F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0311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79CB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1792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BA00A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ADAA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E1B8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0EE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10CE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056B6C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48.84</w:t>
            </w:r>
          </w:p>
        </w:tc>
        <w:tc>
          <w:tcPr>
            <w:tcW w:w="1116" w:type="dxa"/>
            <w:tcBorders>
              <w:top w:val="nil"/>
              <w:left w:val="nil"/>
              <w:bottom w:val="single" w:color="auto" w:sz="4" w:space="0"/>
              <w:right w:val="single" w:color="auto" w:sz="4" w:space="0"/>
            </w:tcBorders>
            <w:shd w:val="clear" w:color="auto" w:fill="auto"/>
            <w:noWrap/>
            <w:vAlign w:val="center"/>
          </w:tcPr>
          <w:p w14:paraId="56D26A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BC80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11A1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0CD4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2A65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82FE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FD9D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C26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12F5C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45AABE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89F7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25C7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03BD2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79E6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36E1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25BD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3F6D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A094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634D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EA7EE8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83C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1DA1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653D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40F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FA54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4B6E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63D5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8BE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17271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432A1B8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85A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D4DB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8F9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D87B0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8189B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C4C9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0959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ECC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1BD6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021027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B4AE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470C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B19F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B150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BA73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A0D4A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1A1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D716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D8785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7CADE9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37.27</w:t>
            </w:r>
          </w:p>
        </w:tc>
        <w:tc>
          <w:tcPr>
            <w:tcW w:w="1116" w:type="dxa"/>
            <w:tcBorders>
              <w:top w:val="nil"/>
              <w:left w:val="nil"/>
              <w:bottom w:val="single" w:color="auto" w:sz="4" w:space="0"/>
              <w:right w:val="single" w:color="auto" w:sz="4" w:space="0"/>
            </w:tcBorders>
            <w:shd w:val="clear" w:color="auto" w:fill="auto"/>
            <w:noWrap/>
            <w:vAlign w:val="center"/>
          </w:tcPr>
          <w:p w14:paraId="373C89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1F8B5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BB19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7C4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6919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B4A1E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AB6C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CC63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F00D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0482A4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57B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FA3D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CF44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052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EDFE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D89F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347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4CCD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0C09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B56EF4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D1C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61B3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33A0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CB7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3592B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60A4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AE1F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574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44FA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00EA84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8FE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B2A3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0068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6.42</w:t>
            </w:r>
          </w:p>
        </w:tc>
        <w:tc>
          <w:tcPr>
            <w:tcW w:w="1217" w:type="dxa"/>
            <w:tcBorders>
              <w:top w:val="nil"/>
              <w:left w:val="nil"/>
              <w:bottom w:val="single" w:color="auto" w:sz="4" w:space="0"/>
              <w:right w:val="single" w:color="auto" w:sz="4" w:space="0"/>
            </w:tcBorders>
            <w:shd w:val="clear" w:color="auto" w:fill="auto"/>
            <w:noWrap/>
            <w:vAlign w:val="center"/>
          </w:tcPr>
          <w:p w14:paraId="74796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1A886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7F8A1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56EC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78A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1E67E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9C9290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4.52</w:t>
            </w:r>
          </w:p>
        </w:tc>
        <w:tc>
          <w:tcPr>
            <w:tcW w:w="1116" w:type="dxa"/>
            <w:tcBorders>
              <w:top w:val="nil"/>
              <w:left w:val="nil"/>
              <w:bottom w:val="single" w:color="auto" w:sz="4" w:space="0"/>
              <w:right w:val="single" w:color="auto" w:sz="4" w:space="0"/>
            </w:tcBorders>
            <w:shd w:val="clear" w:color="auto" w:fill="auto"/>
            <w:noWrap/>
            <w:vAlign w:val="center"/>
          </w:tcPr>
          <w:p w14:paraId="0CB99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AA431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4388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565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0A17B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CD28B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502079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5AF26A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C3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E030A9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20D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3709C6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A09F58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7C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DF6B49B">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46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21DFE3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60357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2F03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B59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2183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4CC46B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4180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FA85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E4B5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0.12</w:t>
            </w:r>
          </w:p>
        </w:tc>
        <w:tc>
          <w:tcPr>
            <w:tcW w:w="1217" w:type="dxa"/>
            <w:tcBorders>
              <w:top w:val="nil"/>
              <w:left w:val="nil"/>
              <w:bottom w:val="single" w:color="auto" w:sz="4" w:space="0"/>
              <w:right w:val="single" w:color="auto" w:sz="4" w:space="0"/>
            </w:tcBorders>
            <w:shd w:val="clear" w:color="auto" w:fill="auto"/>
            <w:noWrap/>
            <w:vAlign w:val="center"/>
          </w:tcPr>
          <w:p w14:paraId="4C1F4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6564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6C3D1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0A30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EC9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39C1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E0D268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384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C793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9B30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119F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CA7E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F1F1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B32B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89DE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0FF9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CDFE43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0.06</w:t>
            </w:r>
          </w:p>
        </w:tc>
        <w:tc>
          <w:tcPr>
            <w:tcW w:w="1116" w:type="dxa"/>
            <w:tcBorders>
              <w:top w:val="nil"/>
              <w:left w:val="nil"/>
              <w:bottom w:val="single" w:color="auto" w:sz="4" w:space="0"/>
              <w:right w:val="single" w:color="auto" w:sz="4" w:space="0"/>
            </w:tcBorders>
            <w:shd w:val="clear" w:color="auto" w:fill="auto"/>
            <w:noWrap/>
            <w:vAlign w:val="center"/>
          </w:tcPr>
          <w:p w14:paraId="49236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C642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710B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770EC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BE4A3A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FAF4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6212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B62F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F11C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778402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0DCE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F148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A44AE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0.23</w:t>
            </w:r>
          </w:p>
        </w:tc>
        <w:tc>
          <w:tcPr>
            <w:tcW w:w="1217" w:type="dxa"/>
            <w:tcBorders>
              <w:top w:val="nil"/>
              <w:left w:val="nil"/>
              <w:bottom w:val="single" w:color="auto" w:sz="4" w:space="0"/>
              <w:right w:val="single" w:color="auto" w:sz="4" w:space="0"/>
            </w:tcBorders>
            <w:shd w:val="clear" w:color="auto" w:fill="auto"/>
            <w:noWrap/>
            <w:vAlign w:val="center"/>
          </w:tcPr>
          <w:p w14:paraId="037E247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C751DA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8D803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834509">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0D13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71416C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501.19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A776C5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43883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9.63</w:t>
            </w:r>
          </w:p>
        </w:tc>
      </w:tr>
    </w:tbl>
    <w:p w14:paraId="341D56D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7E0E6A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68436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B97320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65D885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 xml:space="preserve">怀化市交通运输从业资格考试中心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A76445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20B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3D9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069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CF5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96A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6F8DD0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D86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738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3FE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669D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D50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C82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758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E3C8D">
            <w:pPr>
              <w:widowControl/>
              <w:jc w:val="center"/>
              <w:rPr>
                <w:rFonts w:ascii="Times New Roman" w:hAnsi="Times New Roman" w:eastAsia="仿宋_GB2312" w:cs="Times New Roman"/>
                <w:color w:val="000000"/>
                <w:sz w:val="24"/>
                <w:szCs w:val="24"/>
              </w:rPr>
            </w:pPr>
          </w:p>
        </w:tc>
      </w:tr>
      <w:tr w14:paraId="3DFBF7F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3556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850C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1DD4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272A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211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7783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902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F9529">
            <w:pPr>
              <w:jc w:val="center"/>
              <w:rPr>
                <w:rFonts w:ascii="Times New Roman" w:hAnsi="Times New Roman" w:eastAsia="仿宋_GB2312" w:cs="Times New Roman"/>
                <w:color w:val="000000"/>
                <w:sz w:val="24"/>
                <w:szCs w:val="24"/>
              </w:rPr>
            </w:pPr>
          </w:p>
        </w:tc>
      </w:tr>
      <w:tr w14:paraId="5D85C63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F0F7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759E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319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576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C320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C67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8527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53EDD">
            <w:pPr>
              <w:jc w:val="center"/>
              <w:rPr>
                <w:rFonts w:ascii="Times New Roman" w:hAnsi="Times New Roman" w:eastAsia="仿宋_GB2312" w:cs="Times New Roman"/>
                <w:color w:val="000000"/>
                <w:sz w:val="24"/>
                <w:szCs w:val="24"/>
              </w:rPr>
            </w:pPr>
          </w:p>
        </w:tc>
      </w:tr>
      <w:tr w14:paraId="5F65BA3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E28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2D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67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50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C8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A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C6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A38E57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E39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11A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6AE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429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D9F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AB7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8FD8">
            <w:pPr>
              <w:jc w:val="center"/>
              <w:rPr>
                <w:rFonts w:ascii="Times New Roman" w:hAnsi="Times New Roman" w:eastAsia="仿宋_GB2312" w:cs="Times New Roman"/>
                <w:color w:val="000000"/>
                <w:sz w:val="24"/>
                <w:szCs w:val="24"/>
              </w:rPr>
            </w:pPr>
          </w:p>
        </w:tc>
      </w:tr>
      <w:tr w14:paraId="0EF116B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0B5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972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687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A8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46F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03D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701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ACBA">
            <w:pPr>
              <w:rPr>
                <w:rFonts w:ascii="Times New Roman" w:hAnsi="Times New Roman" w:eastAsia="仿宋_GB2312" w:cs="Times New Roman"/>
                <w:color w:val="000000"/>
                <w:sz w:val="24"/>
                <w:szCs w:val="24"/>
              </w:rPr>
            </w:pPr>
          </w:p>
        </w:tc>
      </w:tr>
      <w:tr w14:paraId="5D242F4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10A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78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225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23F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C1A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9B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05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9376">
            <w:pPr>
              <w:rPr>
                <w:rFonts w:ascii="Times New Roman" w:hAnsi="Times New Roman" w:eastAsia="仿宋_GB2312" w:cs="Times New Roman"/>
                <w:color w:val="000000"/>
                <w:sz w:val="24"/>
                <w:szCs w:val="24"/>
              </w:rPr>
            </w:pPr>
          </w:p>
        </w:tc>
      </w:tr>
      <w:tr w14:paraId="4E03583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43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EB0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B7E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40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758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B3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12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5F65">
            <w:pPr>
              <w:rPr>
                <w:rFonts w:ascii="Times New Roman" w:hAnsi="Times New Roman" w:eastAsia="仿宋_GB2312" w:cs="Times New Roman"/>
                <w:color w:val="000000"/>
                <w:sz w:val="24"/>
                <w:szCs w:val="24"/>
              </w:rPr>
            </w:pPr>
          </w:p>
        </w:tc>
      </w:tr>
      <w:tr w14:paraId="55DC64B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722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9F7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48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F7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C8E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CC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CD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53A7">
            <w:pPr>
              <w:rPr>
                <w:rFonts w:ascii="Times New Roman" w:hAnsi="Times New Roman" w:eastAsia="仿宋_GB2312" w:cs="Times New Roman"/>
                <w:color w:val="000000"/>
                <w:sz w:val="24"/>
                <w:szCs w:val="24"/>
              </w:rPr>
            </w:pPr>
          </w:p>
        </w:tc>
      </w:tr>
      <w:tr w14:paraId="20C2199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35F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E4C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AAF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225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64A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E3D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63F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DBD">
            <w:pPr>
              <w:rPr>
                <w:rFonts w:ascii="Times New Roman" w:hAnsi="Times New Roman" w:eastAsia="仿宋_GB2312" w:cs="Times New Roman"/>
                <w:color w:val="000000"/>
                <w:sz w:val="24"/>
                <w:szCs w:val="24"/>
              </w:rPr>
            </w:pPr>
          </w:p>
        </w:tc>
      </w:tr>
      <w:tr w14:paraId="5F864EE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E67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36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DCD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1AD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E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6C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53D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6A04">
            <w:pPr>
              <w:rPr>
                <w:rFonts w:ascii="Times New Roman" w:hAnsi="Times New Roman" w:eastAsia="仿宋_GB2312" w:cs="Times New Roman"/>
                <w:color w:val="000000"/>
                <w:sz w:val="24"/>
                <w:szCs w:val="24"/>
              </w:rPr>
            </w:pPr>
          </w:p>
        </w:tc>
      </w:tr>
    </w:tbl>
    <w:p w14:paraId="2FA2FF9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7F7201E">
      <w:pPr>
        <w:widowControl/>
        <w:jc w:val="left"/>
        <w:textAlignment w:val="center"/>
        <w:rPr>
          <w:rFonts w:ascii="Times New Roman" w:hAnsi="Times New Roman" w:eastAsia="仿宋_GB2312" w:cs="Times New Roman"/>
          <w:color w:val="000000"/>
          <w:kern w:val="0"/>
          <w:sz w:val="24"/>
          <w:szCs w:val="24"/>
          <w:lang w:bidi="ar"/>
        </w:rPr>
      </w:pPr>
    </w:p>
    <w:p w14:paraId="29F57FF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0D22E80B">
      <w:pPr>
        <w:widowControl/>
        <w:jc w:val="center"/>
        <w:rPr>
          <w:rFonts w:ascii="Times New Roman" w:hAnsi="Times New Roman" w:eastAsia="方正小标宋_GBK" w:cs="Times New Roman"/>
          <w:color w:val="000000"/>
          <w:kern w:val="0"/>
          <w:sz w:val="36"/>
          <w:szCs w:val="36"/>
        </w:rPr>
      </w:pPr>
    </w:p>
    <w:p w14:paraId="2E8A7FEF">
      <w:pPr>
        <w:widowControl/>
        <w:spacing w:line="400" w:lineRule="exact"/>
        <w:textAlignment w:val="center"/>
        <w:rPr>
          <w:rFonts w:ascii="Times New Roman" w:hAnsi="Times New Roman" w:eastAsia="黑体" w:cs="Times New Roman"/>
          <w:color w:val="000000"/>
          <w:kern w:val="0"/>
          <w:sz w:val="36"/>
          <w:szCs w:val="36"/>
          <w:lang w:bidi="ar"/>
        </w:rPr>
      </w:pPr>
    </w:p>
    <w:p w14:paraId="1B37FA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87ED63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F679C4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 xml:space="preserve">怀化市交通运输从业资格考试中心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A29AEE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2E1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6F5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6C98B8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E2F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177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E34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BD0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E8E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20461E6">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4870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8792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357B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9888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5A930">
            <w:pPr>
              <w:jc w:val="center"/>
              <w:rPr>
                <w:rFonts w:ascii="Times New Roman" w:hAnsi="Times New Roman" w:eastAsia="仿宋_GB2312" w:cs="Times New Roman"/>
                <w:color w:val="000000"/>
                <w:sz w:val="24"/>
                <w:szCs w:val="24"/>
              </w:rPr>
            </w:pPr>
          </w:p>
        </w:tc>
      </w:tr>
      <w:tr w14:paraId="6AECD65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47EF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4E4A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95CF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67F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ACE9F">
            <w:pPr>
              <w:jc w:val="center"/>
              <w:rPr>
                <w:rFonts w:ascii="Times New Roman" w:hAnsi="Times New Roman" w:eastAsia="仿宋_GB2312" w:cs="Times New Roman"/>
                <w:color w:val="000000"/>
                <w:sz w:val="24"/>
                <w:szCs w:val="24"/>
              </w:rPr>
            </w:pPr>
          </w:p>
        </w:tc>
      </w:tr>
      <w:tr w14:paraId="1D95D01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68F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5E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45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F49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687D9E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79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D04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B5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27307">
            <w:pPr>
              <w:jc w:val="center"/>
              <w:rPr>
                <w:rFonts w:ascii="Times New Roman" w:hAnsi="Times New Roman" w:eastAsia="仿宋_GB2312" w:cs="Times New Roman"/>
                <w:color w:val="000000"/>
                <w:sz w:val="24"/>
                <w:szCs w:val="24"/>
              </w:rPr>
            </w:pPr>
          </w:p>
        </w:tc>
      </w:tr>
      <w:tr w14:paraId="2E3304B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98E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EA6AE">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741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2FE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3BE4">
            <w:pPr>
              <w:rPr>
                <w:rFonts w:ascii="Times New Roman" w:hAnsi="Times New Roman" w:eastAsia="仿宋_GB2312" w:cs="Times New Roman"/>
                <w:color w:val="000000"/>
                <w:sz w:val="24"/>
                <w:szCs w:val="24"/>
              </w:rPr>
            </w:pPr>
          </w:p>
        </w:tc>
      </w:tr>
      <w:tr w14:paraId="4CB4F55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06B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0259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183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4BA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D3859">
            <w:pPr>
              <w:rPr>
                <w:rFonts w:ascii="Times New Roman" w:hAnsi="Times New Roman" w:eastAsia="仿宋_GB2312" w:cs="Times New Roman"/>
                <w:color w:val="000000"/>
                <w:sz w:val="24"/>
                <w:szCs w:val="24"/>
              </w:rPr>
            </w:pPr>
          </w:p>
        </w:tc>
      </w:tr>
      <w:tr w14:paraId="108BF1A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20A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9F6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E47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C4A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D7E3">
            <w:pPr>
              <w:rPr>
                <w:rFonts w:ascii="Times New Roman" w:hAnsi="Times New Roman" w:eastAsia="宋体" w:cs="Times New Roman"/>
                <w:color w:val="000000"/>
                <w:sz w:val="24"/>
                <w:szCs w:val="24"/>
              </w:rPr>
            </w:pPr>
          </w:p>
        </w:tc>
      </w:tr>
      <w:tr w14:paraId="09E1EF9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02F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96F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649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5C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35991">
            <w:pPr>
              <w:rPr>
                <w:rFonts w:ascii="Times New Roman" w:hAnsi="Times New Roman" w:eastAsia="宋体" w:cs="Times New Roman"/>
                <w:color w:val="000000"/>
                <w:sz w:val="24"/>
                <w:szCs w:val="24"/>
              </w:rPr>
            </w:pPr>
          </w:p>
        </w:tc>
      </w:tr>
      <w:tr w14:paraId="177BD0E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DBEA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9824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E34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99B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49C03">
            <w:pPr>
              <w:rPr>
                <w:rFonts w:ascii="Times New Roman" w:hAnsi="Times New Roman" w:eastAsia="宋体" w:cs="Times New Roman"/>
                <w:color w:val="000000"/>
                <w:sz w:val="24"/>
                <w:szCs w:val="24"/>
              </w:rPr>
            </w:pPr>
          </w:p>
        </w:tc>
      </w:tr>
      <w:tr w14:paraId="372266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B99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DA19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25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9A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739C">
            <w:pPr>
              <w:rPr>
                <w:rFonts w:ascii="Times New Roman" w:hAnsi="Times New Roman" w:eastAsia="宋体" w:cs="Times New Roman"/>
                <w:color w:val="000000"/>
                <w:sz w:val="24"/>
                <w:szCs w:val="24"/>
              </w:rPr>
            </w:pPr>
          </w:p>
        </w:tc>
      </w:tr>
    </w:tbl>
    <w:p w14:paraId="35BF93D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9884914">
      <w:pPr>
        <w:widowControl/>
        <w:jc w:val="left"/>
        <w:textAlignment w:val="center"/>
        <w:rPr>
          <w:rFonts w:ascii="Times New Roman" w:hAnsi="Times New Roman" w:eastAsia="宋体" w:cs="Times New Roman"/>
          <w:color w:val="000000"/>
          <w:kern w:val="0"/>
          <w:sz w:val="24"/>
          <w:szCs w:val="24"/>
          <w:lang w:bidi="ar"/>
        </w:rPr>
      </w:pPr>
    </w:p>
    <w:p w14:paraId="599178A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5BC4097">
      <w:pPr>
        <w:widowControl/>
        <w:jc w:val="center"/>
        <w:rPr>
          <w:rFonts w:ascii="Times New Roman" w:hAnsi="Times New Roman" w:eastAsia="方正小标宋_GBK" w:cs="Times New Roman"/>
          <w:color w:val="000000"/>
          <w:kern w:val="0"/>
          <w:sz w:val="36"/>
          <w:szCs w:val="36"/>
        </w:rPr>
      </w:pPr>
    </w:p>
    <w:p w14:paraId="456C0C92">
      <w:pPr>
        <w:pStyle w:val="2"/>
        <w:spacing w:line="400" w:lineRule="exact"/>
        <w:rPr>
          <w:rFonts w:ascii="Times New Roman" w:hAnsi="Times New Roman" w:eastAsia="华文中宋" w:cs="Times New Roman"/>
          <w:color w:val="000000"/>
          <w:kern w:val="0"/>
          <w:sz w:val="32"/>
          <w:szCs w:val="32"/>
          <w:lang w:bidi="ar"/>
        </w:rPr>
      </w:pPr>
    </w:p>
    <w:p w14:paraId="26830EA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3D41A7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lang w:bidi="ar"/>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02F166A">
      <w:pPr>
        <w:widowControl/>
        <w:tabs>
          <w:tab w:val="left" w:pos="1260"/>
          <w:tab w:val="left" w:pos="2521"/>
          <w:tab w:val="left" w:pos="3782"/>
          <w:tab w:val="left" w:pos="5245"/>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 xml:space="preserve">怀化市交通运输从业资格考试中心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0EF6E0E">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5F26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3925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654B4D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8DE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C3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900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015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1B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17D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FC8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FDF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1A6A32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6E93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F878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C0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5C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B1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0BC2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504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ADF7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C1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70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AF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A4D9D">
            <w:pPr>
              <w:jc w:val="center"/>
              <w:rPr>
                <w:rFonts w:ascii="Times New Roman" w:hAnsi="Times New Roman" w:eastAsia="仿宋_GB2312" w:cs="Times New Roman"/>
                <w:color w:val="000000"/>
                <w:sz w:val="22"/>
              </w:rPr>
            </w:pPr>
          </w:p>
        </w:tc>
      </w:tr>
      <w:tr w14:paraId="49730CB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BD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58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6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D64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26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9F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E2A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91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8D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898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B5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05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C9B3DF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1A5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D16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64C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E242">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A931">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C576">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6E21">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2F9AD">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B0C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B45A">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E77D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FD592">
            <w:pPr>
              <w:rPr>
                <w:rFonts w:ascii="Times New Roman" w:hAnsi="Times New Roman" w:eastAsia="仿宋_GB2312" w:cs="Times New Roman"/>
                <w:color w:val="000000"/>
                <w:sz w:val="22"/>
              </w:rPr>
            </w:pPr>
          </w:p>
        </w:tc>
      </w:tr>
    </w:tbl>
    <w:p w14:paraId="05E1E14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3507631">
      <w:pPr>
        <w:autoSpaceDE w:val="0"/>
        <w:autoSpaceDN w:val="0"/>
        <w:adjustRightInd w:val="0"/>
        <w:ind w:left="315" w:leftChars="150"/>
        <w:jc w:val="left"/>
        <w:rPr>
          <w:rFonts w:ascii="Times New Roman" w:hAnsi="Times New Roman" w:eastAsia="宋体" w:cs="Times New Roman"/>
          <w:kern w:val="0"/>
          <w:sz w:val="24"/>
          <w:szCs w:val="24"/>
        </w:rPr>
      </w:pPr>
    </w:p>
    <w:p w14:paraId="604C7350">
      <w:pPr>
        <w:autoSpaceDE w:val="0"/>
        <w:autoSpaceDN w:val="0"/>
        <w:adjustRightInd w:val="0"/>
        <w:ind w:left="315" w:leftChars="150"/>
        <w:jc w:val="left"/>
        <w:rPr>
          <w:rFonts w:ascii="Times New Roman" w:hAnsi="Times New Roman" w:eastAsia="宋体" w:cs="Times New Roman"/>
          <w:kern w:val="0"/>
          <w:sz w:val="24"/>
          <w:szCs w:val="24"/>
        </w:rPr>
      </w:pPr>
    </w:p>
    <w:p w14:paraId="6D818CB7">
      <w:pPr>
        <w:autoSpaceDE w:val="0"/>
        <w:autoSpaceDN w:val="0"/>
        <w:adjustRightInd w:val="0"/>
        <w:ind w:left="315" w:leftChars="150"/>
        <w:jc w:val="left"/>
        <w:rPr>
          <w:rFonts w:ascii="Times New Roman" w:hAnsi="Times New Roman" w:eastAsia="宋体" w:cs="Times New Roman"/>
          <w:kern w:val="0"/>
          <w:sz w:val="24"/>
          <w:szCs w:val="24"/>
        </w:rPr>
      </w:pPr>
    </w:p>
    <w:p w14:paraId="411A298C">
      <w:pPr>
        <w:autoSpaceDE w:val="0"/>
        <w:autoSpaceDN w:val="0"/>
        <w:adjustRightInd w:val="0"/>
        <w:ind w:left="315" w:leftChars="150"/>
        <w:jc w:val="left"/>
        <w:rPr>
          <w:rFonts w:ascii="Times New Roman" w:hAnsi="Times New Roman" w:eastAsia="宋体" w:cs="Times New Roman"/>
          <w:kern w:val="0"/>
          <w:sz w:val="24"/>
          <w:szCs w:val="24"/>
        </w:rPr>
      </w:pPr>
    </w:p>
    <w:p w14:paraId="2FB40E7E">
      <w:pPr>
        <w:autoSpaceDE w:val="0"/>
        <w:autoSpaceDN w:val="0"/>
        <w:adjustRightInd w:val="0"/>
        <w:ind w:left="315" w:leftChars="150"/>
        <w:jc w:val="left"/>
        <w:rPr>
          <w:rFonts w:ascii="Times New Roman" w:hAnsi="Times New Roman" w:eastAsia="宋体" w:cs="Times New Roman"/>
          <w:kern w:val="0"/>
          <w:sz w:val="24"/>
          <w:szCs w:val="24"/>
        </w:rPr>
      </w:pPr>
    </w:p>
    <w:p w14:paraId="76C9AA0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47520E2">
      <w:pPr>
        <w:pStyle w:val="13"/>
        <w:rPr>
          <w:rFonts w:ascii="Times New Roman" w:hAnsi="Times New Roman" w:cs="Times New Roman"/>
          <w:sz w:val="72"/>
          <w:szCs w:val="72"/>
        </w:rPr>
      </w:pPr>
    </w:p>
    <w:p w14:paraId="7E8B48B0">
      <w:pPr>
        <w:pStyle w:val="13"/>
        <w:rPr>
          <w:rFonts w:ascii="Times New Roman" w:hAnsi="Times New Roman" w:cs="Times New Roman"/>
          <w:sz w:val="72"/>
          <w:szCs w:val="72"/>
        </w:rPr>
      </w:pPr>
    </w:p>
    <w:p w14:paraId="6184245E">
      <w:pPr>
        <w:pStyle w:val="13"/>
        <w:rPr>
          <w:rFonts w:ascii="Times New Roman" w:hAnsi="Times New Roman" w:cs="Times New Roman"/>
          <w:sz w:val="72"/>
          <w:szCs w:val="72"/>
        </w:rPr>
      </w:pPr>
    </w:p>
    <w:p w14:paraId="087FA441">
      <w:pPr>
        <w:pStyle w:val="13"/>
        <w:jc w:val="center"/>
        <w:rPr>
          <w:rFonts w:ascii="Times New Roman" w:hAnsi="Times New Roman" w:cs="Times New Roman"/>
          <w:sz w:val="72"/>
          <w:szCs w:val="72"/>
        </w:rPr>
      </w:pPr>
    </w:p>
    <w:p w14:paraId="4861FAF0">
      <w:pPr>
        <w:pStyle w:val="13"/>
        <w:jc w:val="center"/>
        <w:rPr>
          <w:rFonts w:ascii="Times New Roman" w:hAnsi="Times New Roman" w:eastAsia="方正小标宋_GBK" w:cs="Times New Roman"/>
          <w:sz w:val="72"/>
          <w:szCs w:val="72"/>
        </w:rPr>
      </w:pPr>
    </w:p>
    <w:p w14:paraId="643CF9B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7E302B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D3ED94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69A02A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40E7363">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47.37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10.16</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rPr>
        <w:t>原</w:t>
      </w:r>
      <w:r>
        <w:rPr>
          <w:rFonts w:ascii="Times New Roman" w:hAnsi="Times New Roman" w:eastAsia="仿宋_GB2312" w:cs="Times New Roman"/>
          <w:sz w:val="32"/>
          <w:szCs w:val="32"/>
        </w:rPr>
        <w:t>因为</w:t>
      </w:r>
      <w:r>
        <w:rPr>
          <w:rFonts w:hint="eastAsia" w:ascii="Times New Roman" w:hAnsi="Times New Roman" w:eastAsia="仿宋_GB2312" w:cs="Times New Roman"/>
          <w:sz w:val="32"/>
          <w:szCs w:val="32"/>
        </w:rPr>
        <w:t>非税返回比率由</w:t>
      </w:r>
      <w:r>
        <w:rPr>
          <w:rFonts w:hint="eastAsia" w:ascii="Times New Roman" w:hAnsi="Times New Roman" w:eastAsia="仿宋_GB2312" w:cs="Times New Roman"/>
          <w:color w:val="auto"/>
          <w:sz w:val="32"/>
          <w:szCs w:val="32"/>
        </w:rPr>
        <w:t>原60%增至90%，人员工资晋级，财政保障部分增加。</w:t>
      </w:r>
    </w:p>
    <w:p w14:paraId="2E5AAD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支出，体现在有关支出科目中。</w:t>
      </w:r>
    </w:p>
    <w:p w14:paraId="2179A14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1A543F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p>
    <w:p w14:paraId="0440D65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F4CB0A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510.82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99.41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0.59</w:t>
      </w:r>
      <w:r>
        <w:rPr>
          <w:rFonts w:ascii="Times New Roman" w:hAnsi="Times New Roman" w:eastAsia="仿宋_GB2312" w:cs="Times New Roman"/>
          <w:sz w:val="32"/>
          <w:szCs w:val="32"/>
        </w:rPr>
        <w:t>%。</w:t>
      </w:r>
    </w:p>
    <w:p w14:paraId="5FE6D2E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109133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47.37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主要原因为非税返回比率由原60%增至90%，人员工资晋级，财政保障部分增加。</w:t>
      </w:r>
    </w:p>
    <w:p w14:paraId="29897FD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2EB6A1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333E34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47.37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主要原因为非税返回比率由原60%增至90%，人员工资晋级，财政保障部分增加。</w:t>
      </w:r>
    </w:p>
    <w:p w14:paraId="4894635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BCD0C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交通运输支出500.61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97.47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7F73016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3A0065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436.93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513.81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117.6</w:t>
      </w:r>
      <w:r>
        <w:rPr>
          <w:rFonts w:ascii="Times New Roman" w:hAnsi="Times New Roman" w:eastAsia="仿宋_GB2312" w:cs="Times New Roman"/>
          <w:sz w:val="32"/>
          <w:szCs w:val="32"/>
        </w:rPr>
        <w:t>%，其中：</w:t>
      </w:r>
    </w:p>
    <w:p w14:paraId="734988E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其他公共服务支出</w:t>
      </w:r>
      <w:r>
        <w:rPr>
          <w:rFonts w:ascii="Times New Roman" w:hAnsi="Times New Roman" w:eastAsia="仿宋_GB2312" w:cs="Times New Roman"/>
          <w:sz w:val="32"/>
          <w:szCs w:val="32"/>
        </w:rPr>
        <w:t>（项）。</w:t>
      </w:r>
    </w:p>
    <w:p w14:paraId="06913B7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年初未安排预算，支出为执行中调剂安排。</w:t>
      </w:r>
    </w:p>
    <w:p w14:paraId="672C4D3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交通运输支出（类）公路水路运输（款）行政运行（项）。</w:t>
      </w:r>
    </w:p>
    <w:p w14:paraId="2B20559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433.96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497.61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114.67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原因为非税返回比率由原60%增至90%，人员工资晋级，财政保障部分增加。</w:t>
      </w:r>
    </w:p>
    <w:p w14:paraId="62D6F96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3、交通运输支出（类）其他交通运输支出（款）其他交通运输支出（项）。</w:t>
      </w:r>
    </w:p>
    <w:p w14:paraId="04BCC8C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年初预算为3万元，支出决算为3万元，完成年初预算的100%。</w:t>
      </w:r>
    </w:p>
    <w:p w14:paraId="34ECA29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交通运输支出方面的支出占财政拨款支出总额的比重较高，主要是：公路水路运输行政运行（科目名称），2025年度决算数为497.61万元，占财政拨款支出总额的96.85%，主要用于人员支出、日常公用支出方面</w:t>
      </w:r>
      <w:r>
        <w:rPr>
          <w:rFonts w:hint="eastAsia" w:ascii="Times New Roman" w:hAnsi="Times New Roman" w:eastAsia="楷体_GB2312" w:cs="Times New Roman"/>
          <w:b/>
          <w:bCs/>
          <w:i/>
          <w:color w:val="auto"/>
          <w:sz w:val="32"/>
          <w:szCs w:val="32"/>
        </w:rPr>
        <w:t>。</w:t>
      </w:r>
    </w:p>
    <w:p w14:paraId="766CB61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67C2D1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510.81</w:t>
      </w:r>
      <w:r>
        <w:rPr>
          <w:rFonts w:ascii="Times New Roman" w:hAnsi="Times New Roman" w:eastAsia="仿宋_GB2312" w:cs="Times New Roman"/>
          <w:sz w:val="32"/>
          <w:szCs w:val="32"/>
        </w:rPr>
        <w:t>万元，其中：</w:t>
      </w:r>
    </w:p>
    <w:p w14:paraId="7286A8E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501.19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98.12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主要包括基本工资147.67万元、奖金43.05万元、绩效工资128.87万元、</w:t>
      </w:r>
      <w:r>
        <w:rPr>
          <w:rFonts w:hint="eastAsia" w:ascii="Times New Roman" w:hAnsi="Times New Roman" w:eastAsia="仿宋_GB2312" w:cs="Times New Roman"/>
          <w:sz w:val="32"/>
          <w:szCs w:val="32"/>
          <w:lang w:eastAsia="zh-CN"/>
        </w:rPr>
        <w:t>伙</w:t>
      </w:r>
      <w:r>
        <w:rPr>
          <w:rFonts w:hint="eastAsia" w:ascii="Times New Roman" w:hAnsi="Times New Roman" w:eastAsia="仿宋_GB2312" w:cs="Times New Roman"/>
          <w:sz w:val="32"/>
          <w:szCs w:val="32"/>
        </w:rPr>
        <w:t>食补助0.5万元、机关事业单位基本养老保险缴费51.63万元、职业年金缴费25.81万元、职工基本医疗保险缴费19.93万元、其它社会保障缴费2.08万元，住房公积金32.52万元、对个人和家庭补助奖励金48.84万元。</w:t>
      </w:r>
    </w:p>
    <w:p w14:paraId="609504C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9.63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1.88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0.47万元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物业管理费0.31万元、差旅费2.07万元、工会经费6.42万元、公务用车运维0.12万元</w:t>
      </w:r>
      <w:r>
        <w:rPr>
          <w:rFonts w:ascii="Times New Roman" w:hAnsi="Times New Roman" w:eastAsia="仿宋_GB2312" w:cs="Times New Roman"/>
          <w:sz w:val="32"/>
          <w:szCs w:val="32"/>
        </w:rPr>
        <w:t>。</w:t>
      </w:r>
    </w:p>
    <w:p w14:paraId="6671E352">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36340EE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E7557B1">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0.37</w:t>
      </w:r>
      <w:r>
        <w:rPr>
          <w:rFonts w:ascii="Times New Roman" w:hAnsi="Times New Roman" w:eastAsia="仿宋_GB2312" w:cs="Times New Roman"/>
          <w:sz w:val="32"/>
          <w:szCs w:val="32"/>
        </w:rPr>
        <w:t>万元。决算数大于预算数的主要原因是</w:t>
      </w:r>
      <w:r>
        <w:rPr>
          <w:rFonts w:hint="eastAsia" w:ascii="Times New Roman" w:hAnsi="Times New Roman" w:eastAsia="仿宋_GB2312" w:cs="Times New Roman"/>
          <w:sz w:val="32"/>
          <w:szCs w:val="32"/>
        </w:rPr>
        <w:t>年初未安排预算，支出为执行中调剂安排</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车辆维修成本高，长期闲置</w:t>
      </w:r>
      <w:r>
        <w:rPr>
          <w:rFonts w:ascii="Times New Roman" w:hAnsi="Times New Roman" w:eastAsia="仿宋_GB2312" w:cs="Times New Roman"/>
          <w:sz w:val="32"/>
          <w:szCs w:val="32"/>
        </w:rPr>
        <w:t>。</w:t>
      </w:r>
    </w:p>
    <w:p w14:paraId="4D50CA6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ABEB26E">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p>
    <w:p w14:paraId="30899A4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0.37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75.51</w:t>
      </w:r>
      <w:r>
        <w:rPr>
          <w:rFonts w:ascii="Times New Roman" w:hAnsi="Times New Roman" w:eastAsia="仿宋_GB2312" w:cs="Times New Roman"/>
          <w:sz w:val="32"/>
          <w:szCs w:val="32"/>
        </w:rPr>
        <w:t>%。其中：</w:t>
      </w:r>
    </w:p>
    <w:p w14:paraId="710F593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p>
    <w:p w14:paraId="5BD7080D">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0.12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油料费及过路费</w:t>
      </w:r>
      <w:r>
        <w:rPr>
          <w:rFonts w:ascii="Times New Roman" w:hAnsi="Times New Roman" w:eastAsia="仿宋_GB2312" w:cs="Times New Roman"/>
          <w:sz w:val="32"/>
          <w:szCs w:val="32"/>
        </w:rPr>
        <w:t>支出；与上年相比减少</w:t>
      </w:r>
      <w:r>
        <w:rPr>
          <w:rFonts w:hint="eastAsia" w:ascii="Times New Roman" w:hAnsi="Times New Roman" w:eastAsia="仿宋_GB2312" w:cs="Times New Roman"/>
          <w:sz w:val="32"/>
          <w:szCs w:val="32"/>
        </w:rPr>
        <w:t>0.37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75.51</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rPr>
        <w:t>：年初未安排预算，支出为执行中调剂安排</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车辆维修成本高，长期闲置</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14:paraId="1AE469D3">
      <w:pPr>
        <w:pStyle w:val="13"/>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14:paraId="7C52D64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6F1583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本单位无政府性基金收支。</w:t>
      </w:r>
    </w:p>
    <w:p w14:paraId="7E3B67F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hAnsi="黑体"/>
          <w:bCs/>
          <w:color w:val="auto"/>
          <w:sz w:val="32"/>
          <w:szCs w:val="32"/>
          <w:lang w:val="en"/>
        </w:rPr>
        <w:t>九、国有资本经营预算收入支出决算情况</w:t>
      </w:r>
    </w:p>
    <w:p w14:paraId="541E6852">
      <w:pPr>
        <w:pStyle w:val="13"/>
        <w:overflowPunct w:val="0"/>
        <w:autoSpaceDE/>
        <w:autoSpaceDN/>
        <w:spacing w:line="600" w:lineRule="exact"/>
        <w:jc w:val="both"/>
        <w:rPr>
          <w:rFonts w:ascii="Times New Roman" w:hAnsi="Times New Roman" w:eastAsia="仿宋_GB2312" w:cs="Times New Roman"/>
          <w:color w:val="auto"/>
          <w:sz w:val="32"/>
          <w:szCs w:val="32"/>
        </w:rPr>
      </w:pPr>
      <w:r>
        <w:rPr>
          <w:rFonts w:hint="eastAsia" w:hAnsi="黑体"/>
          <w:bCs/>
          <w:color w:val="auto"/>
          <w:sz w:val="32"/>
          <w:szCs w:val="32"/>
        </w:rPr>
        <w:t xml:space="preserve">   </w:t>
      </w:r>
      <w:r>
        <w:rPr>
          <w:rFonts w:hint="eastAsia" w:ascii="Times New Roman" w:hAnsi="Times New Roman" w:eastAsia="仿宋_GB2312"/>
          <w:color w:val="auto"/>
          <w:sz w:val="32"/>
          <w:szCs w:val="32"/>
        </w:rPr>
        <w:t xml:space="preserve"> </w:t>
      </w:r>
      <w:r>
        <w:rPr>
          <w:rFonts w:hint="eastAsia" w:ascii="Times New Roman" w:hAnsi="Times New Roman" w:eastAsia="仿宋_GB2312" w:cs="Times New Roman"/>
          <w:color w:val="auto"/>
          <w:sz w:val="32"/>
          <w:szCs w:val="32"/>
        </w:rPr>
        <w:t>202</w:t>
      </w:r>
      <w:r>
        <w:rPr>
          <w:rFonts w:ascii="Times New Roman" w:hAnsi="Times New Roman" w:eastAsia="仿宋_GB2312" w:cs="Times New Roman"/>
          <w:color w:val="auto"/>
          <w:sz w:val="32"/>
          <w:szCs w:val="32"/>
        </w:rPr>
        <w:t>5</w:t>
      </w:r>
      <w:r>
        <w:rPr>
          <w:rFonts w:hint="eastAsia" w:ascii="Times New Roman" w:hAnsi="Times New Roman" w:eastAsia="仿宋_GB2312" w:cs="Times New Roman"/>
          <w:color w:val="auto"/>
          <w:sz w:val="32"/>
          <w:szCs w:val="32"/>
        </w:rPr>
        <w:t>年度本单位无国有资本经营收支。</w:t>
      </w:r>
    </w:p>
    <w:p w14:paraId="708302F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十</w:t>
      </w:r>
      <w:r>
        <w:rPr>
          <w:rFonts w:ascii="Times New Roman" w:hAnsi="Times New Roman" w:cs="Times New Roman"/>
          <w:bCs/>
          <w:color w:val="auto"/>
          <w:sz w:val="32"/>
          <w:szCs w:val="32"/>
        </w:rPr>
        <w:t>、关于机关运行经费支出说明</w:t>
      </w:r>
    </w:p>
    <w:p w14:paraId="0322225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本单位属于差额拨款事业单位，无机关运行费用。</w:t>
      </w:r>
    </w:p>
    <w:p w14:paraId="4451E11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一</w:t>
      </w:r>
      <w:r>
        <w:rPr>
          <w:rFonts w:ascii="Times New Roman" w:hAnsi="Times New Roman" w:cs="Times New Roman"/>
          <w:bCs/>
          <w:color w:val="auto"/>
          <w:sz w:val="32"/>
          <w:szCs w:val="32"/>
        </w:rPr>
        <w:t>、一般性支出情况说明</w:t>
      </w:r>
    </w:p>
    <w:p w14:paraId="15AF1B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w:t>
      </w: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rPr>
        <w:t>无会议、培训活动，节庆、晚会、论坛、赛事等活动。</w:t>
      </w:r>
    </w:p>
    <w:p w14:paraId="7AA88766">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二</w:t>
      </w:r>
      <w:r>
        <w:rPr>
          <w:rFonts w:ascii="Times New Roman" w:hAnsi="Times New Roman" w:cs="Times New Roman"/>
          <w:bCs/>
          <w:color w:val="auto"/>
          <w:sz w:val="32"/>
          <w:szCs w:val="32"/>
        </w:rPr>
        <w:t>、关于政府采购支出说明</w:t>
      </w:r>
    </w:p>
    <w:p w14:paraId="2341232F">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p>
    <w:p w14:paraId="254A022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733AB45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w:t>
      </w:r>
      <w:r>
        <w:rPr>
          <w:rFonts w:hint="eastAsia" w:ascii="Times New Roman" w:hAnsi="Times New Roman" w:eastAsia="仿宋_GB2312" w:cs="Times New Roman"/>
          <w:color w:val="auto"/>
          <w:sz w:val="32"/>
          <w:szCs w:val="32"/>
        </w:rPr>
        <w:t>业务用车1辆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4A837F6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52C42E95">
      <w:pPr>
        <w:overflowPunct w:val="0"/>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Cs/>
          <w:kern w:val="0"/>
          <w:sz w:val="32"/>
          <w:szCs w:val="32"/>
        </w:rPr>
        <w:t>组织对2025年度本部门（单位）整体支出开展绩效自评，涉及项目1个，共涉及资金3万元。其中，一般公共预算项目1个3万元，占一般公共预算支出总额的0.6%；政府性基金预算项目0个0万元，占政府性基金预算支出总额的0；国有资本经营预算项目0个0 万元，占国有资本经营预算支出总额的0；社会保险基金预算项目0个0万元，占社会保险基金预算支出总额的0。</w:t>
      </w:r>
      <w:r>
        <w:rPr>
          <w:rFonts w:hint="eastAsia"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Cs/>
          <w:kern w:val="0"/>
          <w:sz w:val="32"/>
          <w:szCs w:val="32"/>
        </w:rPr>
        <w:t>。组织对所属单位2025年度“12328平台建设工作经费”1个项目开展了部门评价，涉及一般公共预算支出3万元，政府性基金预算支出0万元，国有资本经营预算支出0万元，社会保险基金预算支出0万元。</w:t>
      </w:r>
      <w:r>
        <w:rPr>
          <w:rFonts w:hint="eastAsia"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Cs/>
          <w:kern w:val="0"/>
          <w:sz w:val="32"/>
          <w:szCs w:val="32"/>
        </w:rPr>
        <w:t>无。组织对2025年度0个新增重大政策和0个重大项目开展事前绩效评估，共涉及资金0万元。</w:t>
      </w:r>
    </w:p>
    <w:p w14:paraId="47C308BF">
      <w:pPr>
        <w:overflowPunct w:val="0"/>
        <w:spacing w:line="600" w:lineRule="exact"/>
        <w:ind w:firstLine="640" w:firstLineChars="200"/>
        <w:rPr>
          <w:rFonts w:ascii="Times New Roman" w:hAnsi="Times New Roman" w:eastAsia="仿宋_GB2312" w:cs="Times New Roman"/>
          <w:bCs/>
          <w:kern w:val="0"/>
          <w:sz w:val="32"/>
          <w:szCs w:val="32"/>
        </w:rPr>
      </w:pPr>
      <w:r>
        <w:rPr>
          <w:rFonts w:hint="eastAsia" w:ascii="楷体" w:hAnsi="楷体" w:eastAsia="楷体" w:cs="Times New Roman"/>
          <w:b/>
          <w:bCs/>
          <w:kern w:val="0"/>
          <w:sz w:val="32"/>
          <w:szCs w:val="32"/>
        </w:rPr>
        <w:t>（二）绩效评价结果。</w:t>
      </w:r>
      <w:r>
        <w:rPr>
          <w:rFonts w:hint="eastAsia"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bCs/>
          <w:kern w:val="0"/>
          <w:sz w:val="32"/>
          <w:szCs w:val="32"/>
        </w:rPr>
        <w:t>2025年度本部门（单位）整体支出全年预算数513.8万元，执行数513.8万元，完成预算的100%，绩效自评得分97.9分，评价等级为“优秀”。绩效目标完成情况</w:t>
      </w:r>
      <w:r>
        <w:rPr>
          <w:rFonts w:hint="eastAsia" w:ascii="Times New Roman" w:hAnsi="Times New Roman" w:eastAsia="仿宋_GB2312" w:cs="Times New Roman"/>
          <w:b/>
          <w:bCs/>
          <w:kern w:val="0"/>
          <w:sz w:val="32"/>
          <w:szCs w:val="32"/>
        </w:rPr>
        <w:t>：</w:t>
      </w:r>
      <w:r>
        <w:rPr>
          <w:rFonts w:hint="eastAsia" w:ascii="Times New Roman" w:hAnsi="Times New Roman" w:eastAsia="仿宋_GB2312" w:cs="Times New Roman"/>
          <w:bCs/>
          <w:kern w:val="0"/>
          <w:sz w:val="32"/>
          <w:szCs w:val="32"/>
        </w:rPr>
        <w:t>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12328热线服务的知晓度和使用率还有提升空间；四是由于政策调整、市场变化、服务对象群体支付能力有限等，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12328热线工作机制，加强部门协作，提高工单处理效率和群众满意度。探索智能化客服应用，提升热线服务能力，更好地发挥热线“听民声、畅民意、解民忧、汇民智”的作用。</w:t>
      </w:r>
      <w:r>
        <w:rPr>
          <w:rFonts w:hint="eastAsia"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Cs/>
          <w:kern w:val="0"/>
          <w:sz w:val="32"/>
          <w:szCs w:val="32"/>
        </w:rPr>
        <w:t>12328热线运行维护工作经费项目全年预算数3万元，执行数3万元，完成预算的100%，部门评价得分100分，评价等级为“优秀”。发现的主要问题及原因：无。</w:t>
      </w:r>
      <w:r>
        <w:rPr>
          <w:rFonts w:hint="eastAsia"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bCs/>
          <w:kern w:val="0"/>
          <w:sz w:val="32"/>
          <w:szCs w:val="32"/>
        </w:rPr>
        <w:t>2025年度0个重大项目事前绩效评估。</w:t>
      </w:r>
    </w:p>
    <w:p w14:paraId="5B0F64B9">
      <w:pPr>
        <w:overflowPunct w:val="0"/>
        <w:spacing w:line="600" w:lineRule="exact"/>
        <w:ind w:firstLine="640" w:firstLineChars="200"/>
        <w:rPr>
          <w:rFonts w:ascii="Times New Roman" w:hAnsi="Times New Roman" w:eastAsia="仿宋_GB2312" w:cs="Times New Roman"/>
          <w:bCs/>
          <w:kern w:val="0"/>
          <w:sz w:val="32"/>
          <w:szCs w:val="32"/>
        </w:rPr>
      </w:pPr>
      <w:r>
        <w:rPr>
          <w:rFonts w:hint="eastAsia" w:ascii="楷体" w:hAnsi="楷体" w:eastAsia="楷体" w:cs="Times New Roman"/>
          <w:b/>
          <w:bCs/>
          <w:kern w:val="0"/>
          <w:sz w:val="32"/>
          <w:szCs w:val="32"/>
        </w:rPr>
        <w:t>（三）评价结果应用情况。</w:t>
      </w:r>
      <w:r>
        <w:rPr>
          <w:rFonts w:hint="eastAsia" w:ascii="Times New Roman" w:hAnsi="Times New Roman" w:eastAsia="仿宋_GB2312" w:cs="Times New Roman"/>
          <w:b/>
          <w:bCs/>
          <w:kern w:val="0"/>
          <w:sz w:val="32"/>
          <w:szCs w:val="32"/>
        </w:rPr>
        <w:t>一是预算安排方面。</w:t>
      </w:r>
      <w:r>
        <w:rPr>
          <w:rFonts w:hint="eastAsia" w:ascii="Times New Roman" w:hAnsi="Times New Roman" w:eastAsia="仿宋_GB2312" w:cs="Times New Roman"/>
          <w:bCs/>
          <w:kern w:val="0"/>
          <w:sz w:val="32"/>
          <w:szCs w:val="32"/>
        </w:rPr>
        <w:t>将绩效评价结果作为2026年度预算编制的重要依据，对绩效评价等级为“优秀”的项目优先保障资金；对执行率偏低、绩效不明显的项目，从严从紧安排预算，切实做到“花钱必问效、无效必问责”。</w:t>
      </w:r>
      <w:r>
        <w:rPr>
          <w:rFonts w:hint="eastAsia" w:ascii="Times New Roman" w:hAnsi="Times New Roman" w:eastAsia="仿宋_GB2312" w:cs="Times New Roman"/>
          <w:b/>
          <w:bCs/>
          <w:kern w:val="0"/>
          <w:sz w:val="32"/>
          <w:szCs w:val="32"/>
        </w:rPr>
        <w:t>二是支出结构调整方面。</w:t>
      </w:r>
      <w:r>
        <w:rPr>
          <w:rFonts w:hint="eastAsia" w:ascii="Times New Roman" w:hAnsi="Times New Roman" w:eastAsia="仿宋_GB2312" w:cs="Times New Roman"/>
          <w:bCs/>
          <w:kern w:val="0"/>
          <w:sz w:val="32"/>
          <w:szCs w:val="32"/>
        </w:rPr>
        <w:t>结合评价发现的培训覆盖不全面、热线服务知晓度不高等问题，进一步优化支出结构，加大对单位培训考核、12328热线服务能力提升等关键领域的投入，压减非必要、非刚性支出，提高资金使用精准度。</w:t>
      </w:r>
      <w:r>
        <w:rPr>
          <w:rFonts w:hint="eastAsia" w:ascii="Times New Roman" w:hAnsi="Times New Roman" w:eastAsia="仿宋_GB2312" w:cs="Times New Roman"/>
          <w:b/>
          <w:bCs/>
          <w:kern w:val="0"/>
          <w:sz w:val="32"/>
          <w:szCs w:val="32"/>
        </w:rPr>
        <w:t>三是资金管理方面。</w:t>
      </w:r>
      <w:r>
        <w:rPr>
          <w:rFonts w:hint="eastAsia" w:ascii="Times New Roman" w:hAnsi="Times New Roman" w:eastAsia="仿宋_GB2312" w:cs="Times New Roman"/>
          <w:bCs/>
          <w:kern w:val="0"/>
          <w:sz w:val="32"/>
          <w:szCs w:val="32"/>
        </w:rPr>
        <w:t>针对创收难度加大、经费保障不足等问题，进一步加强资金统筹和收支管理，积极拓展业务渠道，增强自身造血能力；同时强化预算执行动态监控，确保资金安全、规范、高效使用。四是制度建设方面。根据评价结果和发现的问题，进一步完善内部财务管理制度、绩效管理办法及培训考试业务流程，建立健全“目标设定—监控运行—评价反馈—整改提升”的闭环管理机制，推动绩效管理成果转化为治理效能。</w:t>
      </w:r>
    </w:p>
    <w:p w14:paraId="7718BF73">
      <w:pPr>
        <w:overflowPunct w:val="0"/>
        <w:spacing w:line="600" w:lineRule="exact"/>
        <w:ind w:firstLine="1600" w:firstLineChars="500"/>
        <w:rPr>
          <w:rFonts w:ascii="Times New Roman" w:hAnsi="Times New Roman" w:eastAsia="仿宋_GB2312" w:cs="Times New Roman"/>
          <w:bCs/>
          <w:kern w:val="0"/>
          <w:sz w:val="32"/>
          <w:szCs w:val="32"/>
        </w:rPr>
      </w:pPr>
    </w:p>
    <w:p w14:paraId="14116FB9">
      <w:pPr>
        <w:overflowPunct w:val="0"/>
        <w:spacing w:line="600" w:lineRule="exact"/>
        <w:ind w:firstLine="1600" w:firstLineChars="500"/>
        <w:rPr>
          <w:rFonts w:ascii="Times New Roman" w:hAnsi="Times New Roman" w:eastAsia="仿宋_GB2312" w:cs="Times New Roman"/>
          <w:bCs/>
          <w:kern w:val="0"/>
          <w:sz w:val="32"/>
          <w:szCs w:val="32"/>
        </w:rPr>
      </w:pPr>
    </w:p>
    <w:p w14:paraId="5964426B">
      <w:pPr>
        <w:overflowPunct w:val="0"/>
        <w:spacing w:line="600" w:lineRule="exact"/>
        <w:ind w:firstLine="1600" w:firstLineChars="500"/>
        <w:rPr>
          <w:rFonts w:ascii="Times New Roman" w:hAnsi="Times New Roman" w:eastAsia="仿宋_GB2312" w:cs="Times New Roman"/>
          <w:bCs/>
          <w:kern w:val="0"/>
          <w:sz w:val="32"/>
          <w:szCs w:val="32"/>
        </w:rPr>
      </w:pPr>
    </w:p>
    <w:p w14:paraId="569E84D3">
      <w:pPr>
        <w:overflowPunct w:val="0"/>
        <w:spacing w:line="600" w:lineRule="exact"/>
        <w:ind w:firstLine="1600" w:firstLineChars="500"/>
        <w:rPr>
          <w:rFonts w:ascii="Times New Roman" w:hAnsi="Times New Roman" w:eastAsia="仿宋_GB2312" w:cs="Times New Roman"/>
          <w:bCs/>
          <w:kern w:val="0"/>
          <w:sz w:val="32"/>
          <w:szCs w:val="32"/>
        </w:rPr>
      </w:pPr>
    </w:p>
    <w:p w14:paraId="3CE2C1AE">
      <w:pPr>
        <w:overflowPunct w:val="0"/>
        <w:spacing w:line="600" w:lineRule="exact"/>
        <w:ind w:firstLine="1600" w:firstLineChars="500"/>
        <w:rPr>
          <w:rFonts w:ascii="Times New Roman" w:hAnsi="Times New Roman" w:eastAsia="仿宋_GB2312" w:cs="Times New Roman"/>
          <w:bCs/>
          <w:kern w:val="0"/>
          <w:sz w:val="32"/>
          <w:szCs w:val="32"/>
        </w:rPr>
      </w:pPr>
    </w:p>
    <w:p w14:paraId="58F3C741">
      <w:pPr>
        <w:overflowPunct w:val="0"/>
        <w:spacing w:line="600" w:lineRule="exact"/>
        <w:ind w:firstLine="1600" w:firstLineChars="500"/>
        <w:rPr>
          <w:rFonts w:ascii="Times New Roman" w:hAnsi="Times New Roman" w:eastAsia="仿宋_GB2312" w:cs="Times New Roman"/>
          <w:bCs/>
          <w:kern w:val="0"/>
          <w:sz w:val="32"/>
          <w:szCs w:val="32"/>
        </w:rPr>
      </w:pPr>
    </w:p>
    <w:p w14:paraId="732AD2BA">
      <w:pPr>
        <w:overflowPunct w:val="0"/>
        <w:spacing w:line="600" w:lineRule="exact"/>
        <w:ind w:firstLine="1600" w:firstLineChars="500"/>
        <w:rPr>
          <w:rFonts w:ascii="Times New Roman" w:hAnsi="Times New Roman" w:eastAsia="仿宋_GB2312" w:cs="Times New Roman"/>
          <w:bCs/>
          <w:kern w:val="0"/>
          <w:sz w:val="32"/>
          <w:szCs w:val="32"/>
        </w:rPr>
      </w:pPr>
    </w:p>
    <w:p w14:paraId="3303BFE6">
      <w:pPr>
        <w:overflowPunct w:val="0"/>
        <w:spacing w:line="600" w:lineRule="exact"/>
        <w:ind w:firstLine="2600" w:firstLineChars="500"/>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FA6EF7B">
      <w:pPr>
        <w:widowControl/>
        <w:jc w:val="left"/>
        <w:rPr>
          <w:rFonts w:ascii="Times New Roman" w:hAnsi="Times New Roman" w:cs="Times New Roman"/>
          <w:color w:val="000000"/>
          <w:kern w:val="0"/>
          <w:sz w:val="32"/>
          <w:szCs w:val="32"/>
        </w:rPr>
      </w:pPr>
    </w:p>
    <w:p w14:paraId="1244327C">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1B600C9">
      <w:pPr>
        <w:pStyle w:val="13"/>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C5657C6">
      <w:pPr>
        <w:pStyle w:val="13"/>
        <w:jc w:val="center"/>
        <w:rPr>
          <w:rFonts w:ascii="Times New Roman" w:hAnsi="Times New Roman" w:cs="Times New Roman"/>
          <w:sz w:val="72"/>
          <w:szCs w:val="72"/>
        </w:rPr>
      </w:pPr>
    </w:p>
    <w:p w14:paraId="57F65A62">
      <w:pPr>
        <w:pStyle w:val="13"/>
        <w:jc w:val="center"/>
        <w:rPr>
          <w:rFonts w:ascii="Times New Roman" w:hAnsi="Times New Roman" w:cs="Times New Roman"/>
          <w:sz w:val="72"/>
          <w:szCs w:val="72"/>
        </w:rPr>
      </w:pPr>
    </w:p>
    <w:p w14:paraId="5E88D827">
      <w:pPr>
        <w:pStyle w:val="13"/>
        <w:jc w:val="center"/>
        <w:rPr>
          <w:rFonts w:ascii="Times New Roman" w:hAnsi="Times New Roman" w:cs="Times New Roman"/>
          <w:sz w:val="72"/>
          <w:szCs w:val="72"/>
        </w:rPr>
      </w:pPr>
    </w:p>
    <w:p w14:paraId="5BF8F654">
      <w:pPr>
        <w:pStyle w:val="13"/>
        <w:jc w:val="center"/>
        <w:rPr>
          <w:rFonts w:ascii="Times New Roman" w:hAnsi="Times New Roman" w:cs="Times New Roman"/>
          <w:sz w:val="72"/>
          <w:szCs w:val="72"/>
        </w:rPr>
      </w:pPr>
    </w:p>
    <w:p w14:paraId="4603F733">
      <w:pPr>
        <w:pStyle w:val="13"/>
        <w:jc w:val="center"/>
        <w:rPr>
          <w:rFonts w:ascii="Times New Roman" w:hAnsi="Times New Roman" w:cs="Times New Roman"/>
          <w:sz w:val="72"/>
          <w:szCs w:val="72"/>
        </w:rPr>
      </w:pPr>
    </w:p>
    <w:p w14:paraId="339350AC">
      <w:pPr>
        <w:pStyle w:val="13"/>
        <w:jc w:val="center"/>
        <w:rPr>
          <w:rFonts w:ascii="Times New Roman" w:hAnsi="Times New Roman" w:cs="Times New Roman"/>
          <w:sz w:val="72"/>
          <w:szCs w:val="72"/>
        </w:rPr>
      </w:pPr>
    </w:p>
    <w:p w14:paraId="26723C2E">
      <w:pPr>
        <w:pStyle w:val="13"/>
        <w:jc w:val="center"/>
        <w:rPr>
          <w:rFonts w:ascii="Times New Roman" w:hAnsi="Times New Roman" w:cs="Times New Roman"/>
          <w:sz w:val="72"/>
          <w:szCs w:val="72"/>
        </w:rPr>
      </w:pPr>
    </w:p>
    <w:p w14:paraId="6BD633DB">
      <w:pPr>
        <w:pStyle w:val="13"/>
        <w:jc w:val="center"/>
        <w:rPr>
          <w:rFonts w:ascii="Times New Roman" w:hAnsi="Times New Roman" w:cs="Times New Roman"/>
          <w:sz w:val="72"/>
          <w:szCs w:val="72"/>
        </w:rPr>
      </w:pPr>
    </w:p>
    <w:p w14:paraId="2CF1D610">
      <w:pPr>
        <w:pStyle w:val="13"/>
        <w:jc w:val="both"/>
        <w:rPr>
          <w:rFonts w:ascii="Times New Roman" w:hAnsi="Times New Roman" w:cs="Times New Roman"/>
          <w:sz w:val="72"/>
          <w:szCs w:val="72"/>
        </w:rPr>
      </w:pPr>
    </w:p>
    <w:p w14:paraId="3FD1954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659F079">
      <w:pPr>
        <w:rPr>
          <w:rFonts w:ascii="Times New Roman" w:hAnsi="Times New Roman" w:cs="Times New Roman"/>
          <w:sz w:val="72"/>
          <w:szCs w:val="72"/>
        </w:rPr>
      </w:pPr>
    </w:p>
    <w:p w14:paraId="15C62974">
      <w:pPr>
        <w:ind w:firstLine="880" w:firstLineChars="200"/>
        <w:jc w:val="left"/>
        <w:rPr>
          <w:rFonts w:ascii="黑体" w:hAnsi="黑体" w:eastAsia="黑体" w:cs="黑体"/>
          <w:sz w:val="44"/>
          <w:szCs w:val="44"/>
        </w:rPr>
      </w:pPr>
    </w:p>
    <w:p w14:paraId="4DF9A381">
      <w:pPr>
        <w:ind w:firstLine="1040"/>
        <w:jc w:val="center"/>
        <w:rPr>
          <w:rFonts w:eastAsia="方正小标宋_GBK"/>
          <w:sz w:val="52"/>
          <w:szCs w:val="52"/>
        </w:rPr>
      </w:pPr>
    </w:p>
    <w:p w14:paraId="749A03C3">
      <w:pPr>
        <w:pStyle w:val="2"/>
      </w:pPr>
    </w:p>
    <w:p w14:paraId="59CB8ABC">
      <w:pPr>
        <w:pStyle w:val="3"/>
        <w:ind w:firstLine="480"/>
      </w:pPr>
    </w:p>
    <w:p w14:paraId="65542795"/>
    <w:p w14:paraId="4ACDF86E">
      <w:pPr>
        <w:pStyle w:val="2"/>
      </w:pPr>
    </w:p>
    <w:p w14:paraId="0A8C33D8">
      <w:pPr>
        <w:pStyle w:val="3"/>
        <w:ind w:firstLine="480"/>
      </w:pPr>
    </w:p>
    <w:p w14:paraId="72FB2704"/>
    <w:p w14:paraId="6D02A9C3">
      <w:pPr>
        <w:pStyle w:val="2"/>
      </w:pPr>
    </w:p>
    <w:p w14:paraId="088553BC">
      <w:pPr>
        <w:pStyle w:val="3"/>
        <w:ind w:firstLine="480"/>
      </w:pPr>
    </w:p>
    <w:p w14:paraId="1956B0D5"/>
    <w:p w14:paraId="6B0ADC10">
      <w:pPr>
        <w:pStyle w:val="2"/>
      </w:pPr>
    </w:p>
    <w:p w14:paraId="7E626FAC">
      <w:pPr>
        <w:pStyle w:val="3"/>
        <w:ind w:firstLine="480"/>
      </w:pPr>
    </w:p>
    <w:p w14:paraId="7E76C126"/>
    <w:p w14:paraId="1CE4D8CF">
      <w:pPr>
        <w:pStyle w:val="2"/>
      </w:pPr>
    </w:p>
    <w:p w14:paraId="35063203">
      <w:pPr>
        <w:pStyle w:val="3"/>
        <w:ind w:firstLine="480"/>
      </w:pPr>
    </w:p>
    <w:p w14:paraId="5C70FC3C"/>
    <w:p w14:paraId="7F61D038">
      <w:pPr>
        <w:ind w:firstLine="1040"/>
        <w:jc w:val="center"/>
        <w:rPr>
          <w:rFonts w:eastAsia="方正小标宋_GBK"/>
          <w:sz w:val="52"/>
          <w:szCs w:val="52"/>
        </w:rPr>
      </w:pPr>
    </w:p>
    <w:p w14:paraId="6307301A">
      <w:pPr>
        <w:rPr>
          <w:rFonts w:eastAsia="仿宋"/>
          <w:b/>
          <w:bCs/>
          <w:sz w:val="52"/>
          <w:szCs w:val="52"/>
        </w:rPr>
      </w:pPr>
    </w:p>
    <w:p w14:paraId="031A296B">
      <w:pPr>
        <w:jc w:val="center"/>
        <w:rPr>
          <w:rFonts w:eastAsia="仿宋"/>
          <w:b/>
          <w:bCs/>
          <w:sz w:val="52"/>
          <w:szCs w:val="52"/>
        </w:rPr>
      </w:pPr>
      <w:r>
        <w:rPr>
          <w:rFonts w:eastAsia="仿宋"/>
          <w:b/>
          <w:bCs/>
          <w:sz w:val="52"/>
          <w:szCs w:val="52"/>
        </w:rPr>
        <w:t>202</w:t>
      </w:r>
      <w:r>
        <w:rPr>
          <w:rFonts w:hint="eastAsia" w:eastAsia="仿宋"/>
          <w:b/>
          <w:bCs/>
          <w:sz w:val="52"/>
          <w:szCs w:val="52"/>
        </w:rPr>
        <w:t>5</w:t>
      </w:r>
      <w:r>
        <w:rPr>
          <w:rFonts w:eastAsia="仿宋"/>
          <w:b/>
          <w:bCs/>
          <w:sz w:val="52"/>
          <w:szCs w:val="52"/>
        </w:rPr>
        <w:t>年度怀化市交通运输从业资格</w:t>
      </w:r>
    </w:p>
    <w:p w14:paraId="2C3CE7B1">
      <w:pPr>
        <w:jc w:val="center"/>
        <w:rPr>
          <w:rFonts w:eastAsia="仿宋"/>
          <w:b/>
          <w:bCs/>
          <w:sz w:val="52"/>
          <w:szCs w:val="52"/>
        </w:rPr>
      </w:pPr>
      <w:r>
        <w:rPr>
          <w:rFonts w:eastAsia="仿宋"/>
          <w:b/>
          <w:bCs/>
          <w:sz w:val="52"/>
          <w:szCs w:val="52"/>
        </w:rPr>
        <w:t>考试中心整体支出绩效自评报告</w:t>
      </w:r>
    </w:p>
    <w:p w14:paraId="3B9EE4C7">
      <w:pPr>
        <w:ind w:firstLine="1040"/>
        <w:jc w:val="center"/>
        <w:rPr>
          <w:rFonts w:eastAsia="方正小标宋_GBK"/>
          <w:sz w:val="52"/>
          <w:szCs w:val="52"/>
        </w:rPr>
      </w:pPr>
    </w:p>
    <w:p w14:paraId="05C9DBAC">
      <w:pPr>
        <w:ind w:firstLine="1040"/>
        <w:jc w:val="center"/>
        <w:rPr>
          <w:rFonts w:eastAsia="方正小标宋_GBK"/>
          <w:sz w:val="52"/>
          <w:szCs w:val="52"/>
        </w:rPr>
      </w:pPr>
    </w:p>
    <w:p w14:paraId="3BEDF33D">
      <w:pPr>
        <w:spacing w:line="600" w:lineRule="exact"/>
        <w:rPr>
          <w:rFonts w:eastAsia="仿宋_GB2312"/>
          <w:sz w:val="32"/>
          <w:szCs w:val="32"/>
        </w:rPr>
      </w:pPr>
    </w:p>
    <w:p w14:paraId="062D70B8">
      <w:pPr>
        <w:spacing w:line="600" w:lineRule="exact"/>
        <w:rPr>
          <w:rFonts w:eastAsia="仿宋_GB2312"/>
          <w:sz w:val="32"/>
          <w:szCs w:val="32"/>
        </w:rPr>
      </w:pPr>
    </w:p>
    <w:p w14:paraId="3BA4C185">
      <w:pPr>
        <w:spacing w:line="600" w:lineRule="exact"/>
        <w:rPr>
          <w:rFonts w:eastAsia="仿宋_GB2312"/>
          <w:sz w:val="32"/>
          <w:szCs w:val="32"/>
        </w:rPr>
      </w:pPr>
    </w:p>
    <w:p w14:paraId="6560BEA4">
      <w:pPr>
        <w:spacing w:line="600" w:lineRule="exact"/>
        <w:rPr>
          <w:rFonts w:eastAsia="仿宋_GB2312"/>
          <w:sz w:val="32"/>
          <w:szCs w:val="32"/>
        </w:rPr>
      </w:pPr>
    </w:p>
    <w:p w14:paraId="5744F674">
      <w:pPr>
        <w:spacing w:line="600" w:lineRule="exact"/>
        <w:rPr>
          <w:rFonts w:eastAsia="仿宋_GB2312"/>
          <w:sz w:val="32"/>
          <w:szCs w:val="32"/>
        </w:rPr>
      </w:pPr>
    </w:p>
    <w:p w14:paraId="03107DB8">
      <w:pPr>
        <w:spacing w:line="600" w:lineRule="exact"/>
        <w:rPr>
          <w:rFonts w:eastAsia="仿宋_GB2312"/>
          <w:sz w:val="32"/>
          <w:szCs w:val="32"/>
        </w:rPr>
      </w:pPr>
    </w:p>
    <w:p w14:paraId="059CC288">
      <w:pPr>
        <w:spacing w:line="600" w:lineRule="exact"/>
        <w:rPr>
          <w:rFonts w:eastAsia="仿宋_GB2312"/>
          <w:sz w:val="32"/>
          <w:szCs w:val="32"/>
        </w:rPr>
      </w:pPr>
    </w:p>
    <w:p w14:paraId="5E8350BE">
      <w:pPr>
        <w:pStyle w:val="2"/>
      </w:pPr>
    </w:p>
    <w:p w14:paraId="6B2D89B0">
      <w:pPr>
        <w:pStyle w:val="3"/>
        <w:ind w:firstLine="480"/>
      </w:pPr>
    </w:p>
    <w:p w14:paraId="10D75471"/>
    <w:p w14:paraId="1E294CF9">
      <w:pPr>
        <w:pStyle w:val="2"/>
      </w:pPr>
    </w:p>
    <w:p w14:paraId="5C70C120">
      <w:pPr>
        <w:pStyle w:val="3"/>
        <w:ind w:firstLine="480"/>
      </w:pPr>
    </w:p>
    <w:p w14:paraId="7E6441BF">
      <w:pPr>
        <w:spacing w:line="600" w:lineRule="exact"/>
        <w:rPr>
          <w:rFonts w:eastAsia="仿宋_GB2312"/>
          <w:sz w:val="32"/>
          <w:szCs w:val="32"/>
        </w:rPr>
      </w:pPr>
    </w:p>
    <w:p w14:paraId="716C63C1">
      <w:pPr>
        <w:pStyle w:val="2"/>
      </w:pPr>
    </w:p>
    <w:p w14:paraId="3242DBA5">
      <w:pPr>
        <w:pStyle w:val="3"/>
        <w:ind w:firstLine="480"/>
      </w:pPr>
    </w:p>
    <w:p w14:paraId="088D3A13">
      <w:pPr>
        <w:spacing w:line="600" w:lineRule="exact"/>
        <w:rPr>
          <w:rFonts w:eastAsia="仿宋_GB2312"/>
          <w:sz w:val="32"/>
          <w:szCs w:val="32"/>
          <w:u w:val="single"/>
        </w:rPr>
      </w:pPr>
      <w:r>
        <w:rPr>
          <w:rFonts w:eastAsia="仿宋_GB2312"/>
          <w:sz w:val="32"/>
          <w:szCs w:val="32"/>
        </w:rPr>
        <w:t>单位名称：</w:t>
      </w:r>
      <w:r>
        <w:rPr>
          <w:rFonts w:hint="eastAsia" w:eastAsia="仿宋_GB2312"/>
          <w:sz w:val="32"/>
          <w:szCs w:val="32"/>
          <w:u w:val="single"/>
        </w:rPr>
        <w:t>怀化市交通运输从业资格考试中心（盖章）</w:t>
      </w:r>
    </w:p>
    <w:p w14:paraId="2D7CFA97">
      <w:pPr>
        <w:widowControl/>
        <w:shd w:val="clear" w:color="auto" w:fill="FFFFFF"/>
        <w:spacing w:line="600" w:lineRule="atLeast"/>
        <w:ind w:firstLine="632"/>
        <w:rPr>
          <w:rFonts w:eastAsia="仿宋_GB2312"/>
          <w:b/>
          <w:spacing w:val="-2"/>
          <w:sz w:val="32"/>
          <w:szCs w:val="44"/>
        </w:rPr>
      </w:pPr>
    </w:p>
    <w:p w14:paraId="493C4775">
      <w:pPr>
        <w:widowControl/>
        <w:shd w:val="clear" w:color="auto" w:fill="FFFFFF"/>
        <w:spacing w:line="600" w:lineRule="atLeast"/>
        <w:ind w:firstLine="632"/>
        <w:rPr>
          <w:rFonts w:eastAsia="仿宋_GB2312"/>
          <w:b/>
          <w:spacing w:val="-2"/>
          <w:sz w:val="32"/>
          <w:szCs w:val="44"/>
        </w:rPr>
      </w:pPr>
    </w:p>
    <w:p w14:paraId="1DD75984">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一、部门概况</w:t>
      </w:r>
    </w:p>
    <w:p w14:paraId="29FC7502">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(一)部门(单位)基本情况。</w:t>
      </w:r>
    </w:p>
    <w:p w14:paraId="6F1C9738">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怀化市交通运输从业资格考试中心是怀化市交通运输局二级预算单位，单位性质为财政差额拨款事业单位。编制人数40人，年末实有人数34人，退休人员57人。主要负责交通运输系统岗位培训；行业职业技能和从业资格培训考试；旧机动车交易规范服务等事务性工作。</w:t>
      </w:r>
    </w:p>
    <w:p w14:paraId="7861A9F4">
      <w:pPr>
        <w:widowControl/>
        <w:numPr>
          <w:ilvl w:val="0"/>
          <w:numId w:val="2"/>
        </w:numPr>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部门(单位)整体支出规模、使用方向和主要内容、</w:t>
      </w:r>
    </w:p>
    <w:p w14:paraId="473B67D2">
      <w:pPr>
        <w:widowControl/>
        <w:shd w:val="clear" w:color="auto" w:fill="FFFFFF"/>
        <w:spacing w:line="600" w:lineRule="atLeast"/>
        <w:rPr>
          <w:rFonts w:ascii="仿宋" w:hAnsi="仿宋" w:eastAsia="仿宋"/>
          <w:spacing w:val="-2"/>
          <w:sz w:val="32"/>
          <w:szCs w:val="32"/>
        </w:rPr>
      </w:pPr>
      <w:r>
        <w:rPr>
          <w:rFonts w:hint="eastAsia" w:ascii="仿宋" w:hAnsi="仿宋" w:eastAsia="仿宋"/>
          <w:spacing w:val="-2"/>
          <w:sz w:val="32"/>
          <w:szCs w:val="32"/>
        </w:rPr>
        <w:t>涉及范围等。</w:t>
      </w:r>
    </w:p>
    <w:p w14:paraId="6AB9F3E8">
      <w:pPr>
        <w:widowControl/>
        <w:shd w:val="clear" w:color="auto" w:fill="FFFFFF"/>
        <w:spacing w:line="600" w:lineRule="atLeast"/>
        <w:ind w:firstLine="632" w:firstLineChars="200"/>
        <w:rPr>
          <w:rFonts w:ascii="仿宋" w:hAnsi="仿宋" w:eastAsia="仿宋"/>
          <w:spacing w:val="-2"/>
          <w:sz w:val="32"/>
          <w:szCs w:val="32"/>
        </w:rPr>
      </w:pPr>
      <w:r>
        <w:rPr>
          <w:rFonts w:hint="eastAsia" w:ascii="仿宋" w:hAnsi="仿宋" w:eastAsia="仿宋"/>
          <w:spacing w:val="-2"/>
          <w:sz w:val="32"/>
          <w:szCs w:val="32"/>
        </w:rPr>
        <w:t>2025年</w:t>
      </w:r>
      <w:r>
        <w:rPr>
          <w:rFonts w:ascii="仿宋" w:hAnsi="仿宋" w:eastAsia="仿宋"/>
          <w:spacing w:val="-2"/>
          <w:sz w:val="32"/>
          <w:szCs w:val="32"/>
        </w:rPr>
        <w:t>我单位积极履职，较好地完成了年度工作目标，</w:t>
      </w:r>
      <w:r>
        <w:rPr>
          <w:rFonts w:hint="eastAsia" w:ascii="仿宋" w:hAnsi="仿宋" w:eastAsia="仿宋"/>
          <w:spacing w:val="-2"/>
          <w:sz w:val="32"/>
          <w:szCs w:val="32"/>
        </w:rPr>
        <w:t>2025年决算总支出513.8万元，基本支出510.8万元，其中人员经费支出501.19万元，公用经费支出9.61万元；项目支出3万元；其他资金支出0万元。</w:t>
      </w:r>
    </w:p>
    <w:p w14:paraId="4AB3C8B1">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二、一般公共预算支出情况</w:t>
      </w:r>
    </w:p>
    <w:p w14:paraId="0B68952F">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(一)基本支出</w:t>
      </w:r>
    </w:p>
    <w:p w14:paraId="31F7D59F">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介绍基本支出的主要用途、范围以及资金的管理情况，尤其是“三公”经费的使用和管理情况。</w:t>
      </w:r>
    </w:p>
    <w:p w14:paraId="70E682AE">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基本支出510.8万元，主要用于保障人员经费和保障单位的正常运转支出。主要包括：人员支出501.19万元，公用经费支出9.62万元，其中,办公费0.47万元，差旅费2.07万元，工会经费6.42万元，车辆使用费0.12万元，其他商品和服务支出0.54万元。</w:t>
      </w:r>
    </w:p>
    <w:p w14:paraId="4694F2E3">
      <w:pPr>
        <w:widowControl/>
        <w:shd w:val="clear" w:color="auto" w:fill="FFFFFF"/>
        <w:spacing w:line="600" w:lineRule="atLeast"/>
        <w:ind w:firstLine="320" w:firstLineChars="100"/>
        <w:rPr>
          <w:rFonts w:cs="仿宋_GB2312" w:asciiTheme="minorEastAsia" w:hAnsiTheme="minorEastAsia"/>
          <w:color w:val="333333"/>
          <w:kern w:val="0"/>
          <w:sz w:val="32"/>
          <w:szCs w:val="32"/>
          <w:shd w:val="clear" w:color="auto" w:fill="FFFFFF"/>
        </w:rPr>
      </w:pPr>
      <w:r>
        <w:rPr>
          <w:rFonts w:hint="eastAsia" w:cs="仿宋_GB2312" w:asciiTheme="minorEastAsia" w:hAnsiTheme="minorEastAsia"/>
          <w:color w:val="333333"/>
          <w:kern w:val="0"/>
          <w:sz w:val="32"/>
          <w:szCs w:val="32"/>
          <w:shd w:val="clear" w:color="auto" w:fill="FFFFFF"/>
        </w:rPr>
        <w:t xml:space="preserve">　 </w:t>
      </w:r>
      <w:r>
        <w:rPr>
          <w:rFonts w:hint="eastAsia" w:ascii="仿宋" w:hAnsi="仿宋" w:eastAsia="仿宋"/>
          <w:spacing w:val="-2"/>
          <w:sz w:val="32"/>
          <w:szCs w:val="32"/>
        </w:rPr>
        <w:t>2025年我单位 “三公”经费预算数为1万元。2025年公务用车运行费决算数为0.12万元，公务接待费为0万元，因公出国（境）费0万元。</w:t>
      </w:r>
    </w:p>
    <w:p w14:paraId="7F6734FD">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(二)项目支出</w:t>
      </w:r>
    </w:p>
    <w:p w14:paraId="1F50D9E6">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1、项目资金财政资金安排3万元，12328平台建设工作经费均已按计划安排落实。</w:t>
      </w:r>
    </w:p>
    <w:p w14:paraId="166E36C3">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2、项目资金实际使用情况分析</w:t>
      </w:r>
    </w:p>
    <w:p w14:paraId="4C68FBC5">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12328经费用于支付平台运行费</w:t>
      </w:r>
    </w:p>
    <w:p w14:paraId="049CE692">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3、组织进行项目资金管理情况分析，严格按照资金使用管理制度、办法执行，做到专款专用。</w:t>
      </w:r>
    </w:p>
    <w:p w14:paraId="0A5A6887">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三、项目组织实施情况</w:t>
      </w:r>
    </w:p>
    <w:p w14:paraId="4C5D53D4">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(一)项目组织情况分析，项目招投标、调整、竣工验收等情况严格按相关牵头部门的分级政策实施。</w:t>
      </w:r>
    </w:p>
    <w:p w14:paraId="71A46987">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(二)项目管理情况分析，按项目管理制度严格规范项目资金使用范围、日常财务审计部门严格按资金用途监督专项资金使用情况，严禁挪用专项资金。</w:t>
      </w:r>
    </w:p>
    <w:p w14:paraId="6EF04DEE">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四、资产管理情况</w:t>
      </w:r>
    </w:p>
    <w:p w14:paraId="7D273434">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我单位严格遵守固定资产的处置严格履行审批手续和程序，报市机关事务局、市财政局审批后处置，做好资产清查工作，确保资产账账相符、账实相符。2025年12月底，我单位固定资产账面原值余额279.3万元,累计折旧 228.01万元，净值51.29万元。</w:t>
      </w:r>
    </w:p>
    <w:p w14:paraId="2E26037D">
      <w:pPr>
        <w:widowControl/>
        <w:numPr>
          <w:ilvl w:val="0"/>
          <w:numId w:val="3"/>
        </w:numPr>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政府性基金预算支出情况</w:t>
      </w:r>
    </w:p>
    <w:p w14:paraId="23C0D8D9">
      <w:pPr>
        <w:widowControl/>
        <w:shd w:val="clear" w:color="auto" w:fill="FFFFFF"/>
        <w:spacing w:line="600" w:lineRule="atLeast"/>
        <w:ind w:firstLine="632" w:firstLineChars="200"/>
        <w:rPr>
          <w:rFonts w:ascii="仿宋" w:hAnsi="仿宋" w:eastAsia="仿宋"/>
          <w:spacing w:val="-2"/>
          <w:sz w:val="32"/>
          <w:szCs w:val="32"/>
        </w:rPr>
      </w:pPr>
      <w:r>
        <w:rPr>
          <w:rFonts w:hint="eastAsia" w:ascii="仿宋" w:hAnsi="仿宋" w:eastAsia="仿宋"/>
          <w:spacing w:val="-2"/>
          <w:sz w:val="32"/>
          <w:szCs w:val="32"/>
        </w:rPr>
        <w:t>2025年本单位无政府性基金预算支出。</w:t>
      </w:r>
    </w:p>
    <w:p w14:paraId="1AE8CC07">
      <w:pPr>
        <w:widowControl/>
        <w:numPr>
          <w:ilvl w:val="0"/>
          <w:numId w:val="3"/>
        </w:numPr>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国有资本经营预算支出情况</w:t>
      </w:r>
    </w:p>
    <w:p w14:paraId="32D6DCC6">
      <w:pPr>
        <w:widowControl/>
        <w:shd w:val="clear" w:color="auto" w:fill="FFFFFF"/>
        <w:spacing w:line="600" w:lineRule="atLeast"/>
        <w:ind w:firstLine="632" w:firstLineChars="200"/>
        <w:rPr>
          <w:rFonts w:ascii="仿宋" w:hAnsi="仿宋" w:eastAsia="仿宋"/>
          <w:spacing w:val="-2"/>
          <w:sz w:val="32"/>
          <w:szCs w:val="32"/>
        </w:rPr>
      </w:pPr>
      <w:r>
        <w:rPr>
          <w:rFonts w:hint="eastAsia" w:ascii="仿宋" w:hAnsi="仿宋" w:eastAsia="仿宋"/>
          <w:spacing w:val="-2"/>
          <w:sz w:val="32"/>
          <w:szCs w:val="32"/>
        </w:rPr>
        <w:t>2025年本单位无国有资本经营预算支出。</w:t>
      </w:r>
    </w:p>
    <w:p w14:paraId="324E6716">
      <w:pPr>
        <w:widowControl/>
        <w:numPr>
          <w:ilvl w:val="0"/>
          <w:numId w:val="3"/>
        </w:numPr>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社会保险基金预算支出情况</w:t>
      </w:r>
    </w:p>
    <w:p w14:paraId="76B03CA6">
      <w:pPr>
        <w:widowControl/>
        <w:shd w:val="clear" w:color="auto" w:fill="FFFFFF"/>
        <w:spacing w:line="600" w:lineRule="atLeast"/>
        <w:ind w:firstLine="632" w:firstLineChars="200"/>
        <w:rPr>
          <w:rFonts w:ascii="仿宋" w:hAnsi="仿宋" w:eastAsia="仿宋"/>
          <w:spacing w:val="-2"/>
          <w:sz w:val="32"/>
          <w:szCs w:val="32"/>
        </w:rPr>
      </w:pPr>
      <w:r>
        <w:rPr>
          <w:rFonts w:hint="eastAsia" w:ascii="仿宋" w:hAnsi="仿宋" w:eastAsia="仿宋"/>
          <w:spacing w:val="-2"/>
          <w:sz w:val="32"/>
          <w:szCs w:val="32"/>
        </w:rPr>
        <w:t>2025年本单位无社会保险基金预算支出。</w:t>
      </w:r>
    </w:p>
    <w:p w14:paraId="6338FB91">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八、部门整体支出绩效情况</w:t>
      </w:r>
    </w:p>
    <w:p w14:paraId="76405CBF">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本单位认真组织实施交通安全质量监督工作,并开展绩效自评工作，自评得分为97.9分，自评结果为“优”。具体整体支出绩效如下所述:</w:t>
      </w:r>
    </w:p>
    <w:p w14:paraId="3104BD7E">
      <w:pPr>
        <w:widowControl/>
        <w:shd w:val="clear" w:color="auto" w:fill="FFFFFF"/>
        <w:spacing w:line="600" w:lineRule="atLeast"/>
        <w:ind w:firstLine="632" w:firstLineChars="200"/>
        <w:rPr>
          <w:rFonts w:ascii="仿宋" w:hAnsi="仿宋" w:eastAsia="仿宋"/>
          <w:bCs/>
          <w:sz w:val="32"/>
          <w:szCs w:val="32"/>
        </w:rPr>
      </w:pPr>
      <w:r>
        <w:rPr>
          <w:rFonts w:hint="eastAsia" w:ascii="仿宋" w:hAnsi="仿宋" w:eastAsia="仿宋"/>
          <w:spacing w:val="-2"/>
          <w:sz w:val="32"/>
          <w:szCs w:val="32"/>
        </w:rPr>
        <w:t>2025 年以来，中心在创新上发力，全面促进业务发展。</w:t>
      </w:r>
      <w:r>
        <w:rPr>
          <w:rFonts w:hint="eastAsia" w:ascii="仿宋" w:hAnsi="仿宋" w:eastAsia="仿宋"/>
          <w:sz w:val="32"/>
          <w:szCs w:val="32"/>
        </w:rPr>
        <w:t>业务部门积极组织开展各类培训工作36次，培训人次849人，培训收入100万，完成了预计全年经济目标。</w:t>
      </w:r>
    </w:p>
    <w:p w14:paraId="026C528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年12328平台共受理各类有效业务17100件，涵盖普通公路、高速公路、道路运输、城市客运等全交通运输领域，较上年实现稳步增长，充分发挥了热线“民生晴雨表”作用。其中信息咨询类12291件、投诉举报类4621件、意见建议类188件，业务结构与全省整体趋势基本一致，诉求聚焦性显著。</w:t>
      </w:r>
    </w:p>
    <w:p w14:paraId="372B4B0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落实热线服务标准，人工接通率、信息咨询及时答复率、工单复核率、抽查回访率均达到100%；非投诉举报类工单限时办结率100%，投诉举报类工单24小时办结率、5日办结率均超额完成省定目标，一次办结率、差评整改率保持高位运行，群众回访满意率达95%以上，多项指标保持稳定水平。</w:t>
      </w:r>
    </w:p>
    <w:p w14:paraId="27ED0CB8">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九、存在的问题及原因分析</w:t>
      </w:r>
    </w:p>
    <w:p w14:paraId="69B8BF3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1、部分县市的培训考核工作覆盖还不够全面，需要进一步向基层延伸；</w:t>
      </w:r>
    </w:p>
    <w:p w14:paraId="21427E8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2、面对新业态的快速发展，培训内容和方法需要持续创新；</w:t>
      </w:r>
    </w:p>
    <w:p w14:paraId="14F8366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3、12328热线服务的知晓度和使用率还有提升空间；</w:t>
      </w:r>
    </w:p>
    <w:p w14:paraId="3DB4E3CF">
      <w:pPr>
        <w:numPr>
          <w:ilvl w:val="0"/>
          <w:numId w:val="4"/>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由于政策调整、市场变化、服务对象群体支付能力有限等，创收难度日益加大，收入来源不稳定且呈下降趋势，导致单位正常运转和事业发展的经费保障不足。</w:t>
      </w:r>
    </w:p>
    <w:p w14:paraId="104B46C3">
      <w:pPr>
        <w:numPr>
          <w:ilvl w:val="0"/>
          <w:numId w:val="4"/>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退休职工较多且年龄偏大，福利待遇、死亡人员一次性抚恤金等，成为了单位一笔巨大的财务负担。</w:t>
      </w:r>
    </w:p>
    <w:p w14:paraId="498B5D46">
      <w:pPr>
        <w:widowControl/>
        <w:numPr>
          <w:ilvl w:val="0"/>
          <w:numId w:val="5"/>
        </w:numPr>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下一步改进措施</w:t>
      </w:r>
    </w:p>
    <w:p w14:paraId="1D83B77A">
      <w:pPr>
        <w:ind w:firstLine="640" w:firstLineChars="200"/>
        <w:rPr>
          <w:rFonts w:ascii="仿宋_GB2312" w:hAnsi="仿宋_GB2312" w:eastAsia="仿宋_GB2312" w:cs="仿宋_GB2312"/>
          <w:sz w:val="32"/>
          <w:szCs w:val="32"/>
        </w:rPr>
      </w:pPr>
      <w:r>
        <w:rPr>
          <w:rFonts w:hint="eastAsia" w:ascii="微软雅黑" w:hAnsi="微软雅黑" w:eastAsia="微软雅黑" w:cs="微软雅黑"/>
          <w:sz w:val="32"/>
          <w:szCs w:val="32"/>
        </w:rPr>
        <w:t>1</w:t>
      </w:r>
      <w:r>
        <w:rPr>
          <w:rFonts w:hint="eastAsia" w:ascii="仿宋_GB2312" w:hAnsi="仿宋_GB2312" w:eastAsia="仿宋_GB2312" w:cs="仿宋_GB2312"/>
          <w:sz w:val="32"/>
          <w:szCs w:val="32"/>
        </w:rPr>
        <w:t>、扩大培训考核覆盖范围</w:t>
      </w:r>
    </w:p>
    <w:p w14:paraId="6EC44DA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积极拓展业务渠道，着力提升培训质量，培养更多高素质、高技能的从业人员，共同为行业的繁荣发展贡献力量。</w:t>
      </w:r>
    </w:p>
    <w:p w14:paraId="3121BF7A">
      <w:pPr>
        <w:ind w:firstLine="640" w:firstLineChars="200"/>
        <w:rPr>
          <w:rFonts w:ascii="仿宋_GB2312" w:hAnsi="仿宋_GB2312" w:eastAsia="仿宋_GB2312" w:cs="仿宋_GB2312"/>
          <w:sz w:val="32"/>
          <w:szCs w:val="32"/>
        </w:rPr>
      </w:pPr>
      <w:r>
        <w:rPr>
          <w:rFonts w:hint="eastAsia" w:ascii="微软雅黑" w:hAnsi="微软雅黑" w:eastAsia="微软雅黑" w:cs="微软雅黑"/>
          <w:sz w:val="32"/>
          <w:szCs w:val="32"/>
        </w:rPr>
        <w:t>2</w:t>
      </w:r>
      <w:r>
        <w:rPr>
          <w:rFonts w:hint="eastAsia" w:ascii="仿宋_GB2312" w:hAnsi="仿宋_GB2312" w:eastAsia="仿宋_GB2312" w:cs="仿宋_GB2312"/>
          <w:sz w:val="32"/>
          <w:szCs w:val="32"/>
        </w:rPr>
        <w:t>、优化热线服务机制</w:t>
      </w:r>
    </w:p>
    <w:p w14:paraId="5A1E8ED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进一步优化12328热线工作机制，加强部门协作，提高工单处理效率和群众满意度。探索智能化客服应用，提升热线服务能力，更好地发挥热线“听民声、畅民意、解民忧、汇民智”的作用。</w:t>
      </w:r>
    </w:p>
    <w:p w14:paraId="7C9BD561">
      <w:pPr>
        <w:widowControl/>
        <w:numPr>
          <w:ilvl w:val="0"/>
          <w:numId w:val="5"/>
        </w:numPr>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绩效自评结果拟应用和公开情况</w:t>
      </w:r>
    </w:p>
    <w:p w14:paraId="3EF38316">
      <w:pPr>
        <w:widowControl/>
        <w:numPr>
          <w:ilvl w:val="0"/>
          <w:numId w:val="6"/>
        </w:numPr>
        <w:shd w:val="clear" w:color="auto" w:fill="FFFFFF"/>
        <w:spacing w:line="600" w:lineRule="atLeast"/>
        <w:ind w:left="640"/>
        <w:rPr>
          <w:rFonts w:ascii="楷体" w:hAnsi="楷体" w:eastAsia="楷体"/>
          <w:bCs/>
          <w:spacing w:val="-2"/>
          <w:sz w:val="32"/>
          <w:szCs w:val="32"/>
        </w:rPr>
      </w:pPr>
      <w:r>
        <w:rPr>
          <w:rFonts w:hint="eastAsia" w:ascii="楷体" w:hAnsi="楷体" w:eastAsia="楷体"/>
          <w:bCs/>
          <w:spacing w:val="-2"/>
          <w:sz w:val="32"/>
          <w:szCs w:val="32"/>
        </w:rPr>
        <w:t>综合评价结论：自评得分97.9分，等级为优秀。</w:t>
      </w:r>
    </w:p>
    <w:p w14:paraId="0919A7D5">
      <w:pPr>
        <w:widowControl/>
        <w:numPr>
          <w:ilvl w:val="0"/>
          <w:numId w:val="6"/>
        </w:numPr>
        <w:shd w:val="clear" w:color="auto" w:fill="FFFFFF"/>
        <w:spacing w:line="600" w:lineRule="atLeast"/>
        <w:ind w:left="640"/>
        <w:rPr>
          <w:rFonts w:ascii="楷体" w:hAnsi="楷体" w:eastAsia="楷体"/>
          <w:bCs/>
          <w:spacing w:val="-2"/>
          <w:sz w:val="32"/>
          <w:szCs w:val="32"/>
        </w:rPr>
      </w:pPr>
      <w:r>
        <w:rPr>
          <w:rFonts w:hint="eastAsia" w:ascii="楷体" w:hAnsi="楷体" w:eastAsia="楷体"/>
          <w:bCs/>
          <w:spacing w:val="-2"/>
          <w:sz w:val="32"/>
          <w:szCs w:val="32"/>
        </w:rPr>
        <w:t>评价指标分析（或综合评价情况）：</w:t>
      </w:r>
    </w:p>
    <w:p w14:paraId="077093C5">
      <w:pPr>
        <w:ind w:firstLine="632" w:firstLineChars="200"/>
        <w:jc w:val="left"/>
        <w:rPr>
          <w:rFonts w:ascii="仿宋" w:hAnsi="仿宋" w:eastAsia="仿宋"/>
          <w:sz w:val="32"/>
          <w:szCs w:val="32"/>
        </w:rPr>
      </w:pPr>
      <w:r>
        <w:rPr>
          <w:rFonts w:hint="eastAsia" w:ascii="楷体" w:hAnsi="楷体" w:eastAsia="楷体"/>
          <w:bCs/>
          <w:spacing w:val="-2"/>
          <w:sz w:val="32"/>
          <w:szCs w:val="32"/>
        </w:rPr>
        <w:t xml:space="preserve"> </w:t>
      </w:r>
      <w:r>
        <w:rPr>
          <w:rFonts w:hint="eastAsia" w:ascii="仿宋_GB2312" w:hAnsi="仿宋" w:eastAsia="仿宋_GB2312"/>
          <w:sz w:val="32"/>
          <w:szCs w:val="32"/>
        </w:rPr>
        <w:t>（</w:t>
      </w:r>
      <w:r>
        <w:rPr>
          <w:rFonts w:hint="eastAsia" w:ascii="仿宋" w:hAnsi="仿宋" w:eastAsia="仿宋"/>
          <w:sz w:val="32"/>
          <w:szCs w:val="32"/>
        </w:rPr>
        <w:t>1）收支差异情况：预算收入、支出执行率为100%,人员支出比率98.10%,公用支出比率1.90%。</w:t>
      </w:r>
    </w:p>
    <w:p w14:paraId="7F1D7919">
      <w:pPr>
        <w:ind w:firstLine="640" w:firstLineChars="200"/>
        <w:jc w:val="left"/>
        <w:rPr>
          <w:rFonts w:ascii="仿宋" w:hAnsi="仿宋" w:eastAsia="仿宋"/>
          <w:color w:val="0000FF"/>
          <w:sz w:val="32"/>
          <w:szCs w:val="32"/>
        </w:rPr>
      </w:pPr>
      <w:r>
        <w:rPr>
          <w:rFonts w:hint="eastAsia" w:ascii="仿宋" w:hAnsi="仿宋" w:eastAsia="仿宋"/>
          <w:sz w:val="32"/>
          <w:szCs w:val="32"/>
        </w:rPr>
        <w:t>（2）收入结构分析各项收入占总收入的比重，本年度</w:t>
      </w:r>
      <w:r>
        <w:rPr>
          <w:rFonts w:hint="eastAsia" w:ascii="仿宋" w:hAnsi="仿宋" w:eastAsia="仿宋"/>
          <w:sz w:val="32"/>
          <w:szCs w:val="32"/>
          <w:lang w:eastAsia="zh-CN"/>
        </w:rPr>
        <w:t>财政</w:t>
      </w:r>
      <w:r>
        <w:rPr>
          <w:rFonts w:hint="eastAsia" w:ascii="仿宋" w:hAnsi="仿宋" w:eastAsia="仿宋"/>
          <w:sz w:val="32"/>
          <w:szCs w:val="32"/>
        </w:rPr>
        <w:t>预算拨款513.8万元，上年度收入476.69万元，较上年增长7.8%，主要为</w:t>
      </w:r>
      <w:r>
        <w:rPr>
          <w:rFonts w:hint="eastAsia" w:ascii="仿宋" w:hAnsi="仿宋" w:eastAsia="仿宋"/>
          <w:sz w:val="32"/>
          <w:szCs w:val="32"/>
          <w:lang w:eastAsia="zh-CN"/>
        </w:rPr>
        <w:t>非税</w:t>
      </w:r>
      <w:r>
        <w:rPr>
          <w:rFonts w:hint="eastAsia" w:ascii="仿宋" w:hAnsi="仿宋" w:eastAsia="仿宋"/>
          <w:sz w:val="32"/>
          <w:szCs w:val="32"/>
        </w:rPr>
        <w:t>返回增加。</w:t>
      </w:r>
    </w:p>
    <w:p w14:paraId="4B83F063">
      <w:pPr>
        <w:ind w:firstLine="640" w:firstLineChars="200"/>
        <w:jc w:val="left"/>
        <w:rPr>
          <w:rFonts w:ascii="仿宋" w:hAnsi="仿宋" w:eastAsia="仿宋"/>
          <w:sz w:val="32"/>
          <w:szCs w:val="32"/>
        </w:rPr>
      </w:pPr>
      <w:r>
        <w:rPr>
          <w:rFonts w:hint="eastAsia" w:ascii="仿宋" w:hAnsi="仿宋" w:eastAsia="仿宋"/>
          <w:sz w:val="32"/>
          <w:szCs w:val="32"/>
        </w:rPr>
        <w:t>（4）支出与上年度对比情况：上年度支出为476.69万元，本年513.8万元，增加7.8%，主要原因是虽然非税收入（国有资产出租收入）受市场影响大收入减少，但财政非税</w:t>
      </w:r>
      <w:bookmarkStart w:id="3" w:name="_GoBack"/>
      <w:bookmarkEnd w:id="3"/>
      <w:r>
        <w:rPr>
          <w:rFonts w:hint="eastAsia" w:ascii="仿宋" w:hAnsi="仿宋" w:eastAsia="仿宋"/>
          <w:sz w:val="32"/>
          <w:szCs w:val="32"/>
        </w:rPr>
        <w:t>返回比例增加。</w:t>
      </w:r>
    </w:p>
    <w:p w14:paraId="62E8610A">
      <w:pPr>
        <w:widowControl/>
        <w:shd w:val="clear" w:color="auto" w:fill="FFFFFF"/>
        <w:spacing w:line="600" w:lineRule="atLeast"/>
        <w:ind w:firstLine="632"/>
        <w:rPr>
          <w:rFonts w:ascii="黑体" w:hAnsi="黑体" w:eastAsia="黑体" w:cs="黑体"/>
          <w:bCs/>
          <w:spacing w:val="-2"/>
          <w:sz w:val="32"/>
          <w:szCs w:val="32"/>
        </w:rPr>
      </w:pPr>
      <w:r>
        <w:rPr>
          <w:rFonts w:hint="eastAsia" w:ascii="黑体" w:hAnsi="黑体" w:eastAsia="黑体" w:cs="黑体"/>
          <w:bCs/>
          <w:spacing w:val="-2"/>
          <w:sz w:val="32"/>
          <w:szCs w:val="32"/>
        </w:rPr>
        <w:t>十二、其他需要说明的情况</w:t>
      </w:r>
    </w:p>
    <w:p w14:paraId="3125FD13">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整体支出报告附以下附件:</w:t>
      </w:r>
    </w:p>
    <w:p w14:paraId="1602B3D9">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1.部门整体支出绩效评价基础数据表</w:t>
      </w:r>
    </w:p>
    <w:p w14:paraId="4D756EE2">
      <w:pPr>
        <w:widowControl/>
        <w:shd w:val="clear" w:color="auto" w:fill="FFFFFF"/>
        <w:spacing w:line="600" w:lineRule="atLeast"/>
        <w:ind w:firstLine="632"/>
        <w:rPr>
          <w:rFonts w:ascii="仿宋" w:hAnsi="仿宋" w:eastAsia="仿宋"/>
          <w:spacing w:val="-2"/>
          <w:sz w:val="32"/>
          <w:szCs w:val="32"/>
        </w:rPr>
      </w:pPr>
      <w:r>
        <w:rPr>
          <w:rFonts w:hint="eastAsia" w:ascii="仿宋" w:hAnsi="仿宋" w:eastAsia="仿宋"/>
          <w:spacing w:val="-2"/>
          <w:sz w:val="32"/>
          <w:szCs w:val="32"/>
        </w:rPr>
        <w:t>2.部门整体支出绩效自评表</w:t>
      </w:r>
    </w:p>
    <w:p w14:paraId="1EF2CBE9">
      <w:pPr>
        <w:widowControl/>
        <w:shd w:val="clear" w:color="auto" w:fill="FFFFFF"/>
        <w:spacing w:line="600" w:lineRule="atLeast"/>
        <w:ind w:firstLine="632"/>
        <w:rPr>
          <w:rFonts w:ascii="黑体" w:hAnsi="黑体" w:eastAsia="黑体" w:cs="黑体"/>
          <w:sz w:val="32"/>
          <w:szCs w:val="32"/>
        </w:rPr>
      </w:pPr>
      <w:r>
        <w:rPr>
          <w:rFonts w:hint="eastAsia" w:ascii="仿宋" w:hAnsi="仿宋" w:eastAsia="仿宋"/>
          <w:spacing w:val="-2"/>
          <w:sz w:val="32"/>
          <w:szCs w:val="32"/>
        </w:rPr>
        <w:t>3.项目支出绩效自评表(每个一级项目支出一张表)</w:t>
      </w:r>
      <w:r>
        <w:rPr>
          <w:rFonts w:hint="eastAsia" w:ascii="仿宋" w:hAnsi="仿宋" w:eastAsia="仿宋"/>
          <w:sz w:val="32"/>
          <w:szCs w:val="32"/>
          <w:shd w:val="clear" w:color="auto" w:fill="FFFFFF"/>
        </w:rPr>
        <w:t xml:space="preserve"> </w:t>
      </w:r>
      <w:r>
        <w:rPr>
          <w:rFonts w:hint="eastAsia" w:ascii="黑体" w:hAnsi="黑体" w:eastAsia="黑体" w:cs="黑体"/>
          <w:sz w:val="32"/>
          <w:szCs w:val="32"/>
        </w:rPr>
        <w:t xml:space="preserve">    </w:t>
      </w:r>
    </w:p>
    <w:p w14:paraId="7A1D97CF">
      <w:pPr>
        <w:widowControl/>
        <w:shd w:val="clear" w:color="auto" w:fill="FFFFFF"/>
        <w:spacing w:line="600" w:lineRule="atLeast"/>
        <w:ind w:firstLine="632"/>
        <w:rPr>
          <w:rFonts w:ascii="黑体" w:hAnsi="黑体" w:eastAsia="黑体" w:cs="黑体"/>
          <w:sz w:val="32"/>
          <w:szCs w:val="32"/>
        </w:rPr>
      </w:pPr>
      <w:r>
        <w:rPr>
          <w:rFonts w:hint="eastAsia" w:ascii="黑体" w:hAnsi="黑体" w:eastAsia="黑体" w:cs="黑体"/>
          <w:sz w:val="32"/>
          <w:szCs w:val="32"/>
        </w:rPr>
        <w:t>十四、关于2025年度预算绩效情况的说明</w:t>
      </w:r>
    </w:p>
    <w:p w14:paraId="1184B2A8">
      <w:pPr>
        <w:widowControl/>
        <w:shd w:val="clear" w:color="auto" w:fill="FFFFFF"/>
        <w:spacing w:line="600" w:lineRule="atLeast"/>
        <w:ind w:firstLine="632"/>
        <w:rPr>
          <w:rFonts w:ascii="仿宋" w:hAnsi="仿宋" w:eastAsia="仿宋" w:cs="黑体"/>
          <w:sz w:val="32"/>
          <w:szCs w:val="32"/>
        </w:rPr>
      </w:pPr>
      <w:r>
        <w:rPr>
          <w:rFonts w:hint="eastAsia" w:ascii="仿宋" w:hAnsi="仿宋" w:eastAsia="仿宋" w:cs="黑体"/>
          <w:b/>
          <w:sz w:val="32"/>
          <w:szCs w:val="32"/>
        </w:rPr>
        <w:t>（一）绩效评价工作开展情况。</w:t>
      </w:r>
      <w:r>
        <w:rPr>
          <w:rFonts w:hint="eastAsia" w:ascii="仿宋" w:hAnsi="仿宋" w:eastAsia="仿宋" w:cs="黑体"/>
          <w:sz w:val="32"/>
          <w:szCs w:val="32"/>
        </w:rPr>
        <w:t>一是绩效自评开展情况。组织对2025年度本部门（单位）整体支出开展绩效自评，涉及项目1个，共涉及资金3万元。其中，一般公共预算项目1个3万元，占一般公共预算支出总额的0.6%；政府性基金预算项目0个0万元，占政府性基金预算支出总额的0；国有资本经营预算项目0个0 万元，占国有资本经营预算支出总额的0；社会保险基金预算项目0个0万元，占社会保险基金预算支出总额的0。二是部门评价开展情况（如有，一级预算部门填写）。组织对所属单位2025年度“12328平台建设工作经费”1个项目开展了部门评价，涉及一般公共预算支出3万元，政府性基金预算支出0万元，国有资本经营预算支出0万元，社会保险基金预算支出0万元。三是事前绩效评估开展情况：无。组织对2025年度0个新增重大政策和0个重大项目开展事前绩效评估，共涉及资金0万元。</w:t>
      </w:r>
    </w:p>
    <w:p w14:paraId="243BED4F">
      <w:pPr>
        <w:widowControl/>
        <w:shd w:val="clear" w:color="auto" w:fill="FFFFFF"/>
        <w:spacing w:line="600" w:lineRule="atLeast"/>
        <w:ind w:firstLine="632"/>
        <w:rPr>
          <w:rFonts w:ascii="仿宋" w:hAnsi="仿宋" w:eastAsia="仿宋" w:cs="黑体"/>
          <w:sz w:val="32"/>
          <w:szCs w:val="32"/>
        </w:rPr>
      </w:pPr>
      <w:r>
        <w:rPr>
          <w:rFonts w:hint="eastAsia" w:ascii="仿宋" w:hAnsi="仿宋" w:eastAsia="仿宋" w:cs="黑体"/>
          <w:b/>
          <w:sz w:val="32"/>
          <w:szCs w:val="32"/>
        </w:rPr>
        <w:t>（二）绩效评价结果。</w:t>
      </w:r>
      <w:r>
        <w:rPr>
          <w:rFonts w:hint="eastAsia" w:ascii="仿宋" w:hAnsi="仿宋" w:eastAsia="仿宋" w:cs="黑体"/>
          <w:sz w:val="32"/>
          <w:szCs w:val="32"/>
        </w:rPr>
        <w:t>一是绩效自评结果。2025年度本部门（单位）整体支出全年预算数513.8万元，执行数513.8万元，完成预算的100%，绩效自评得分97.9分，评价等级为“优秀”。绩效目标完成情况：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12328热线服务的知晓度和使用率还有提升空间；四是由于政策调整、市场变化、服务对象群体支付能力有限等，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12328热线工作机制，加强部门协作，提高工单处理效率和群众满意度。探索智能化客服应用，提升热线服务能力，更好地发挥热线“听民声、畅民意、解民忧、汇民智”的作用。二是部门评价结果：12328热线运行维护工作经费项目全年预算数3万元，执行数3万元，完成预算的100%，部门评价得分100分，评价等级为“优秀”。发现的主要问题及原因：无。三是事前绩效评估结果：2025年度0个重大项目事前绩效评估。</w:t>
      </w:r>
    </w:p>
    <w:p w14:paraId="4A0C9F18">
      <w:pPr>
        <w:widowControl/>
        <w:shd w:val="clear" w:color="auto" w:fill="FFFFFF"/>
        <w:spacing w:line="600" w:lineRule="atLeast"/>
        <w:ind w:firstLine="632"/>
        <w:rPr>
          <w:rFonts w:ascii="仿宋" w:hAnsi="仿宋" w:eastAsia="仿宋" w:cs="黑体"/>
          <w:sz w:val="32"/>
          <w:szCs w:val="32"/>
        </w:rPr>
      </w:pPr>
      <w:r>
        <w:rPr>
          <w:rFonts w:hint="eastAsia" w:ascii="仿宋" w:hAnsi="仿宋" w:eastAsia="仿宋" w:cs="黑体"/>
          <w:b/>
          <w:sz w:val="32"/>
          <w:szCs w:val="32"/>
        </w:rPr>
        <w:t>（三）评价结果应用情况。</w:t>
      </w:r>
      <w:r>
        <w:rPr>
          <w:rFonts w:hint="eastAsia" w:ascii="仿宋" w:hAnsi="仿宋" w:eastAsia="仿宋" w:cs="黑体"/>
          <w:sz w:val="32"/>
          <w:szCs w:val="32"/>
        </w:rPr>
        <w:t>请根据2025年度绩效自评结果、部门评价结果、财政评价结果对本部门2025年度预算安排，支出结构调整，资金管理，制度建设等方面结果运用进行简要说明。</w:t>
      </w:r>
    </w:p>
    <w:p w14:paraId="1233349A">
      <w:pPr>
        <w:pStyle w:val="13"/>
        <w:jc w:val="center"/>
        <w:rPr>
          <w:rFonts w:ascii="Times New Roman" w:hAnsi="Times New Roman" w:cs="Times New Roman"/>
          <w:sz w:val="72"/>
          <w:szCs w:val="72"/>
        </w:rPr>
      </w:pPr>
    </w:p>
    <w:p w14:paraId="4F2F5C83">
      <w:pPr>
        <w:pStyle w:val="13"/>
        <w:jc w:val="center"/>
        <w:rPr>
          <w:rFonts w:ascii="Times New Roman" w:hAnsi="Times New Roman" w:cs="Times New Roman"/>
          <w:sz w:val="72"/>
          <w:szCs w:val="72"/>
        </w:rPr>
      </w:pPr>
    </w:p>
    <w:p w14:paraId="4D94DA8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EB0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0804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E4123">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8F8D3">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48193">
                          <w:pPr>
                            <w:pStyle w:val="7"/>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8348193">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9E319"/>
    <w:multiLevelType w:val="singleLevel"/>
    <w:tmpl w:val="8D59E319"/>
    <w:lvl w:ilvl="0" w:tentative="0">
      <w:start w:val="1"/>
      <w:numFmt w:val="chineseCounting"/>
      <w:suff w:val="nothing"/>
      <w:lvlText w:val="（%1）"/>
      <w:lvlJc w:val="left"/>
      <w:rPr>
        <w:rFonts w:hint="eastAsia"/>
      </w:rPr>
    </w:lvl>
  </w:abstractNum>
  <w:abstractNum w:abstractNumId="1">
    <w:nsid w:val="FFD7CD2F"/>
    <w:multiLevelType w:val="singleLevel"/>
    <w:tmpl w:val="FFD7CD2F"/>
    <w:lvl w:ilvl="0" w:tentative="0">
      <w:start w:val="3"/>
      <w:numFmt w:val="decimal"/>
      <w:lvlText w:val="%1."/>
      <w:lvlJc w:val="left"/>
      <w:pPr>
        <w:tabs>
          <w:tab w:val="left" w:pos="312"/>
        </w:tabs>
      </w:pPr>
    </w:lvl>
  </w:abstractNum>
  <w:abstractNum w:abstractNumId="2">
    <w:nsid w:val="0B979C7F"/>
    <w:multiLevelType w:val="singleLevel"/>
    <w:tmpl w:val="0B979C7F"/>
    <w:lvl w:ilvl="0" w:tentative="0">
      <w:start w:val="4"/>
      <w:numFmt w:val="decimal"/>
      <w:suff w:val="nothing"/>
      <w:lvlText w:val="%1、"/>
      <w:lvlJc w:val="left"/>
    </w:lvl>
  </w:abstractNum>
  <w:abstractNum w:abstractNumId="3">
    <w:nsid w:val="201C33AA"/>
    <w:multiLevelType w:val="singleLevel"/>
    <w:tmpl w:val="201C33AA"/>
    <w:lvl w:ilvl="0" w:tentative="0">
      <w:start w:val="10"/>
      <w:numFmt w:val="chineseCounting"/>
      <w:suff w:val="nothing"/>
      <w:lvlText w:val="%1、"/>
      <w:lvlJc w:val="left"/>
      <w:rPr>
        <w:rFonts w:hint="eastAsia"/>
      </w:rPr>
    </w:lvl>
  </w:abstractNum>
  <w:abstractNum w:abstractNumId="4">
    <w:nsid w:val="50875A2D"/>
    <w:multiLevelType w:val="singleLevel"/>
    <w:tmpl w:val="50875A2D"/>
    <w:lvl w:ilvl="0" w:tentative="0">
      <w:start w:val="2"/>
      <w:numFmt w:val="chineseCounting"/>
      <w:lvlText w:val="(%1)"/>
      <w:lvlJc w:val="left"/>
      <w:pPr>
        <w:tabs>
          <w:tab w:val="left" w:pos="312"/>
        </w:tabs>
      </w:pPr>
      <w:rPr>
        <w:rFonts w:hint="eastAsia"/>
      </w:rPr>
    </w:lvl>
  </w:abstractNum>
  <w:abstractNum w:abstractNumId="5">
    <w:nsid w:val="5443793A"/>
    <w:multiLevelType w:val="singleLevel"/>
    <w:tmpl w:val="5443793A"/>
    <w:lvl w:ilvl="0" w:tentative="0">
      <w:start w:val="5"/>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551E3"/>
    <w:rsid w:val="00162D39"/>
    <w:rsid w:val="001678BD"/>
    <w:rsid w:val="00174081"/>
    <w:rsid w:val="00182373"/>
    <w:rsid w:val="001A67DB"/>
    <w:rsid w:val="001B67D1"/>
    <w:rsid w:val="001C3C29"/>
    <w:rsid w:val="001D2B79"/>
    <w:rsid w:val="001D51E5"/>
    <w:rsid w:val="001E080D"/>
    <w:rsid w:val="001E53D0"/>
    <w:rsid w:val="001F0C3B"/>
    <w:rsid w:val="00202C82"/>
    <w:rsid w:val="00214427"/>
    <w:rsid w:val="0022016A"/>
    <w:rsid w:val="00220689"/>
    <w:rsid w:val="00221AFD"/>
    <w:rsid w:val="00222430"/>
    <w:rsid w:val="002250AC"/>
    <w:rsid w:val="00226CB7"/>
    <w:rsid w:val="00252450"/>
    <w:rsid w:val="00264552"/>
    <w:rsid w:val="00264EF9"/>
    <w:rsid w:val="00265724"/>
    <w:rsid w:val="002726D3"/>
    <w:rsid w:val="0027426B"/>
    <w:rsid w:val="00296D60"/>
    <w:rsid w:val="002E0A30"/>
    <w:rsid w:val="0030077D"/>
    <w:rsid w:val="003130C4"/>
    <w:rsid w:val="00316C4B"/>
    <w:rsid w:val="0032192B"/>
    <w:rsid w:val="0033283E"/>
    <w:rsid w:val="003479BD"/>
    <w:rsid w:val="0037197D"/>
    <w:rsid w:val="003768D5"/>
    <w:rsid w:val="00386A3A"/>
    <w:rsid w:val="003926B9"/>
    <w:rsid w:val="003A3A33"/>
    <w:rsid w:val="003C2E17"/>
    <w:rsid w:val="003C47E6"/>
    <w:rsid w:val="003C4FC2"/>
    <w:rsid w:val="00401F9A"/>
    <w:rsid w:val="00416E61"/>
    <w:rsid w:val="0042790C"/>
    <w:rsid w:val="004506F9"/>
    <w:rsid w:val="00462315"/>
    <w:rsid w:val="004717A2"/>
    <w:rsid w:val="00473DF3"/>
    <w:rsid w:val="00487911"/>
    <w:rsid w:val="00490F48"/>
    <w:rsid w:val="00491741"/>
    <w:rsid w:val="004A5FFE"/>
    <w:rsid w:val="004B0CEE"/>
    <w:rsid w:val="004C2A0A"/>
    <w:rsid w:val="004F1F9B"/>
    <w:rsid w:val="004F5EFB"/>
    <w:rsid w:val="00500E5F"/>
    <w:rsid w:val="005122EF"/>
    <w:rsid w:val="0051441A"/>
    <w:rsid w:val="00517C33"/>
    <w:rsid w:val="00517D5F"/>
    <w:rsid w:val="00523644"/>
    <w:rsid w:val="0054069E"/>
    <w:rsid w:val="00544866"/>
    <w:rsid w:val="00552A3D"/>
    <w:rsid w:val="00574CC8"/>
    <w:rsid w:val="005767CC"/>
    <w:rsid w:val="00584913"/>
    <w:rsid w:val="00590D9F"/>
    <w:rsid w:val="00595D26"/>
    <w:rsid w:val="005A74E6"/>
    <w:rsid w:val="005B404E"/>
    <w:rsid w:val="005C09F7"/>
    <w:rsid w:val="005D4D55"/>
    <w:rsid w:val="005E0E6C"/>
    <w:rsid w:val="005E2CFB"/>
    <w:rsid w:val="005F2103"/>
    <w:rsid w:val="005F3D1C"/>
    <w:rsid w:val="005F4189"/>
    <w:rsid w:val="006171EE"/>
    <w:rsid w:val="0062378F"/>
    <w:rsid w:val="00641842"/>
    <w:rsid w:val="00651EEC"/>
    <w:rsid w:val="00656FD7"/>
    <w:rsid w:val="00686673"/>
    <w:rsid w:val="00691E8C"/>
    <w:rsid w:val="006A22C4"/>
    <w:rsid w:val="006A351B"/>
    <w:rsid w:val="006B0422"/>
    <w:rsid w:val="006C1B53"/>
    <w:rsid w:val="006C4806"/>
    <w:rsid w:val="006D7730"/>
    <w:rsid w:val="006E5284"/>
    <w:rsid w:val="006F3EB5"/>
    <w:rsid w:val="006F56C8"/>
    <w:rsid w:val="00702E34"/>
    <w:rsid w:val="00704395"/>
    <w:rsid w:val="00710FE7"/>
    <w:rsid w:val="00717621"/>
    <w:rsid w:val="00720FF1"/>
    <w:rsid w:val="00727A53"/>
    <w:rsid w:val="00737A6C"/>
    <w:rsid w:val="007502DE"/>
    <w:rsid w:val="00787B42"/>
    <w:rsid w:val="007C4539"/>
    <w:rsid w:val="007F326E"/>
    <w:rsid w:val="007F3657"/>
    <w:rsid w:val="00804316"/>
    <w:rsid w:val="00810F0C"/>
    <w:rsid w:val="00811AA2"/>
    <w:rsid w:val="00812ED5"/>
    <w:rsid w:val="008277D9"/>
    <w:rsid w:val="00831479"/>
    <w:rsid w:val="0084478C"/>
    <w:rsid w:val="0086638C"/>
    <w:rsid w:val="008764FA"/>
    <w:rsid w:val="00893A3F"/>
    <w:rsid w:val="008A1079"/>
    <w:rsid w:val="008A3E8D"/>
    <w:rsid w:val="008A5055"/>
    <w:rsid w:val="008D17F4"/>
    <w:rsid w:val="009237C4"/>
    <w:rsid w:val="00923A9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663CB"/>
    <w:rsid w:val="00B845B3"/>
    <w:rsid w:val="00B85D8B"/>
    <w:rsid w:val="00BA6FB8"/>
    <w:rsid w:val="00BB2C0A"/>
    <w:rsid w:val="00BB4A40"/>
    <w:rsid w:val="00BD6022"/>
    <w:rsid w:val="00BD6C3E"/>
    <w:rsid w:val="00BE3674"/>
    <w:rsid w:val="00C0653A"/>
    <w:rsid w:val="00C10681"/>
    <w:rsid w:val="00C10822"/>
    <w:rsid w:val="00C15C89"/>
    <w:rsid w:val="00C2315F"/>
    <w:rsid w:val="00C27C0D"/>
    <w:rsid w:val="00C3049A"/>
    <w:rsid w:val="00C31B1E"/>
    <w:rsid w:val="00C32F2E"/>
    <w:rsid w:val="00C710FE"/>
    <w:rsid w:val="00C73888"/>
    <w:rsid w:val="00C77645"/>
    <w:rsid w:val="00CE04C3"/>
    <w:rsid w:val="00CE34BE"/>
    <w:rsid w:val="00CE76A0"/>
    <w:rsid w:val="00D148C6"/>
    <w:rsid w:val="00D17A8A"/>
    <w:rsid w:val="00D4006A"/>
    <w:rsid w:val="00D415BA"/>
    <w:rsid w:val="00D63780"/>
    <w:rsid w:val="00D644EE"/>
    <w:rsid w:val="00D71D1D"/>
    <w:rsid w:val="00DD06FF"/>
    <w:rsid w:val="00DD5FE9"/>
    <w:rsid w:val="00E00C7A"/>
    <w:rsid w:val="00E37D6C"/>
    <w:rsid w:val="00E55B68"/>
    <w:rsid w:val="00E561AE"/>
    <w:rsid w:val="00E67BE6"/>
    <w:rsid w:val="00E8683C"/>
    <w:rsid w:val="00E9681F"/>
    <w:rsid w:val="00EA2B72"/>
    <w:rsid w:val="00ED0F84"/>
    <w:rsid w:val="00F74360"/>
    <w:rsid w:val="00FB462F"/>
    <w:rsid w:val="00FE16FA"/>
    <w:rsid w:val="00FE328A"/>
    <w:rsid w:val="00FE6269"/>
    <w:rsid w:val="00FF5CD6"/>
    <w:rsid w:val="134C32BE"/>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EFF26B0"/>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200" w:firstLineChars="20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1269</Words>
  <Characters>1425</Characters>
  <Lines>101</Lines>
  <Paragraphs>28</Paragraphs>
  <TotalTime>190</TotalTime>
  <ScaleCrop>false</ScaleCrop>
  <LinksUpToDate>false</LinksUpToDate>
  <CharactersWithSpaces>1648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A梦</cp:lastModifiedBy>
  <cp:lastPrinted>2026-09-16T16:36:00Z</cp:lastPrinted>
  <dcterms:modified xsi:type="dcterms:W3CDTF">2026-10-16T10:57:18Z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1BC0403D7DA14EF6AD91DC34EECB075F_13</vt:lpwstr>
  </property>
  <property fmtid="{D5CDD505-2E9C-101B-9397-08002B2CF9AE}" pid="4" name="KSOTemplateDocerSaveRecord">
    <vt:lpwstr>eyJoZGlkIjoiNGU4NmRhN2EwYzhhZWZlY2Q4MWMwZjBhOGMyYjQ3NjkiLCJ1c2VySWQiOiI1NDQ2MTQyODkifQ==</vt:lpwstr>
  </property>
</Properties>
</file>