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1193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8B69DD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5C94F9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2025年度怀化市综合交通运输协调服务中心整体支出绩效自评报告</w:t>
      </w:r>
    </w:p>
    <w:p w14:paraId="0A592E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852B0D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932037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02791D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A07889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9AE8B4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E5DB20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DC34B0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87F64F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30A14A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084342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4FD8D37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213D093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14B110A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194D4BC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50DDA23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单位名称（盖章）：怀化市综合交通运输协调服务中心</w:t>
      </w:r>
    </w:p>
    <w:p w14:paraId="3075427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3026E2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4AC6054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F9E697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5A59C1E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32024A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1、机构设置情况</w:t>
      </w:r>
    </w:p>
    <w:p w14:paraId="1D18139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本单位为怀化市交通运输局的二级部门预算单位。本单位为正科级事业单位，按照编办文件没有内设科室。</w:t>
      </w:r>
    </w:p>
    <w:p w14:paraId="51B625C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2、人员编制情况</w:t>
      </w:r>
    </w:p>
    <w:p w14:paraId="61B13CF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现有全额拨款事业编制20</w:t>
      </w:r>
      <w:bookmarkStart w:id="0" w:name="_GoBack"/>
      <w:bookmarkEnd w:id="0"/>
      <w:r>
        <w:rPr>
          <w:rFonts w:hint="eastAsia" w:ascii="仿宋" w:hAnsi="仿宋" w:eastAsia="仿宋" w:cs="仿宋"/>
          <w:color w:val="auto"/>
          <w:sz w:val="32"/>
          <w:szCs w:val="32"/>
          <w:highlight w:val="none"/>
          <w:lang w:val="en-US" w:eastAsia="zh-CN"/>
        </w:rPr>
        <w:t>名，2025年末实有在职职工19人。</w:t>
      </w:r>
    </w:p>
    <w:p w14:paraId="64149C9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3、主要职能职责</w:t>
      </w:r>
    </w:p>
    <w:p w14:paraId="18F7360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负责全市公路、水运、铁路、航空、邮政综合协调及日常调度；参与全市综合交通运输发展规划和政策拟定，指导县市区做好综合交通运输协调和服务工作，协调航空、铁路、高速公路邮政物流及地方政府的相关工作。</w:t>
      </w:r>
    </w:p>
    <w:p w14:paraId="37A2196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4、绩效目标设定情况</w:t>
      </w:r>
    </w:p>
    <w:p w14:paraId="3AE42C4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严格落实省、市绩效管理工作的有关规定，进一步规范财政资金的管理，强化财政支出绩效理念，提升部门责任意识，提高资金使用效益。2025年本单位实行全面预算绩效管理，整体支出389.54万元，全部纳入绩效目标管理。</w:t>
      </w:r>
    </w:p>
    <w:p w14:paraId="4F8EFB87">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1DDAF3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怀化市综合交通运输协调服务中心2025年度总收入389.54万元，一般公共预算财政拨款收入389.54万元，占比100%。怀化市综合交通运输协调服务中心2025年度总支出389.54万元，其中基本支出359.54万元，项目支出30万元。</w:t>
      </w:r>
    </w:p>
    <w:p w14:paraId="6D92AAB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部门整体支出主要使用方向如下：</w:t>
      </w:r>
    </w:p>
    <w:p w14:paraId="2EE3668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工资福利支出340.14万元，主要用于基本工资、津贴补贴、奖金、伙食补助费、机关事业单位基本养老保险缴费、职工基本医疗保险缴费、其他社会保障缴费、住房公积金等支出。</w:t>
      </w:r>
    </w:p>
    <w:p w14:paraId="447F5B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商品和服务支出44.71万元，主要用于办公费、物业管理费、差旅费、培训费、公务接待费、委托业务费、工会经费、福利费、公务用车运行维护费、其他交通费用、其他商品和服务支出等支出。</w:t>
      </w:r>
    </w:p>
    <w:p w14:paraId="4E5016B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对个人和家庭的补助4.69万元，主要用于生活补助、奖励金、其他对个人和家庭的补助等支出。</w:t>
      </w:r>
    </w:p>
    <w:p w14:paraId="41057C1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053A999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4077071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基本支出主要用于保障机构正常运转、完成日常工作任务所必需的支出。基本支出总支出359.54万元，主要包括：工资福利支出337.25万元、商品和服务支出17.60万元、对个人和家庭的补助4.69万元。较上年相比增加36.23万元，主要原因是2025年度人员经费和公用经费增加。</w:t>
      </w:r>
    </w:p>
    <w:p w14:paraId="1091DAA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公”经费支出2.72万元。“三公经费”总体支出比上年减少3.20万元，下降54.10%，主要原因是25年度根据财政要求压减经费开支，2025年度公车运行维护费用较上年减少。其中公务用车运行维护费2.50万元，较上年减少2.24万元，下降47.20%，主要原因是25年度根据财政要求压减经费开支，2025年度公车运行维护费用较上年减少；公务接待费0.22万元，较上年减少0.96万元，下降81.40%，主要是本年度公务接待批次减少，费用减少。</w:t>
      </w:r>
    </w:p>
    <w:p w14:paraId="2F2EFAA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（二）项目支出</w:t>
      </w:r>
    </w:p>
    <w:p w14:paraId="2974A3F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1、根据《怀化市财政局关于批复下达2025年市直部门预算的通知》，2025年项目支出预算铁路安全整治专项经费安排20万元，实际到位20万元，年中追加资金航线专项经费10万元，到位金额10万元，到位率100%。</w:t>
      </w:r>
    </w:p>
    <w:p w14:paraId="3164280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2、铁路安全整治专项经费年初总预算20万元，预算执行20万元，执行率100%；航线专项经费全年总预算10万元，预算执行10万元，执行率100%。</w:t>
      </w:r>
    </w:p>
    <w:p w14:paraId="4AEA536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3、项目资金管理情况分析，主要包括管理制度、办法的制订及执行情况。</w:t>
      </w:r>
    </w:p>
    <w:p w14:paraId="592C54B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为加强专项项目管理，提高专项资金的使用效率，我单位根据怀化市市本级专项资金管理办法就重点专项项目制定了《财务管理制度》、《专项资金管理办法》。专项资金的分配、使用、管理严格按制度执行，大额资金支出实行“三重一大”集体决策机制，项目招标、评审、结算按政府采购管理办法等相关要求进行，确保资金使用公开、公正、科学、高效，专款专用、不被挤占、挪用、借用或随意调整。  </w:t>
      </w:r>
    </w:p>
    <w:p w14:paraId="07F141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617CCC0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（一）项目组织情况分析，主要包括项目招投标、调整、竣工验收等情况。</w:t>
      </w:r>
    </w:p>
    <w:p w14:paraId="4666AA9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政府采购限额标准以上的采购项目，通过集体决策确定采购方式组织项目实施；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6BEE4ED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w:t>
      </w:r>
      <w:r>
        <w:rPr>
          <w:rFonts w:hint="default" w:ascii="仿宋" w:hAnsi="仿宋" w:eastAsia="仿宋" w:cs="仿宋"/>
          <w:color w:val="auto"/>
          <w:sz w:val="32"/>
          <w:szCs w:val="32"/>
          <w:highlight w:val="none"/>
          <w:lang w:val="en-US" w:eastAsia="zh-CN"/>
        </w:rPr>
        <w:t>项目管理情况分析，主要包括项目管理制度建设、日常检查监督管理等情况。</w:t>
      </w:r>
    </w:p>
    <w:p w14:paraId="65D2D68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为确保各专项项目实施，各部室严格按照相关质量控制体系、标准制定业务管理制度及业务管理实施方案，并建立业务绩效考核管理办法，对各专项项目实施监测、检查和验收。</w:t>
      </w:r>
    </w:p>
    <w:p w14:paraId="2951BAD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468D6A0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本单位严格落实资产管理制度，健全采购、登记、领用、处置全流程台账，定期开展资产盘点核对，做到账实、账账相符。规范固定资产折旧与日常维保，严控闲置资产流失，及时清理报废资产。完善资产使用责任机制，明确各岗位保管职责，提升资产使用效益，杜绝浪费，保障国有资产安全完整。</w:t>
      </w:r>
    </w:p>
    <w:p w14:paraId="43094273">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4842E32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本单位无政府性基金预算支出</w:t>
      </w:r>
    </w:p>
    <w:p w14:paraId="3A11F9A9">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73895C5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本单位无国有资本经营预算支出</w:t>
      </w:r>
    </w:p>
    <w:p w14:paraId="5E907782">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7EE1E8D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本单位无社会保险基金预算支出</w:t>
      </w:r>
    </w:p>
    <w:p w14:paraId="34A62E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113B61E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（一）综合评价结论。反映自评得分及评价等级。</w:t>
      </w:r>
    </w:p>
    <w:p w14:paraId="4406D72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通过绩效自评工作的开展，我单位将评价结果作为各项目改进管理和安排以后年度预算的重要依据，针对自评中存在的问题及时进行调整管理方式，加强财务管理，切实提高财政资金的使用效益。根据自评表得分为96.88分，评价等级为优。</w:t>
      </w:r>
    </w:p>
    <w:p w14:paraId="7B1F97F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（二）评价指标分析（或综合评价情况）。</w:t>
      </w:r>
    </w:p>
    <w:p w14:paraId="45A0C9C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1.综合评价分析</w:t>
      </w:r>
    </w:p>
    <w:p w14:paraId="3036A5B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绩效目标设定方面：我单位严格按照绩效目标制定的相关规定，围绕部门职责、行业发展规划，完整、合理地制定整体绩效目标，绩效指标基本做到细化量化。</w:t>
      </w:r>
    </w:p>
    <w:p w14:paraId="20E43EA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预算配置方面：我单位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4676786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预算执行方面：严格执行批复的各项支出预算，不擅自扩大支出范围、提高开支标准，严格按照预算批复的支出用途使用资金。采取有效措施，加快预算执行进度，全年预算执行率达到100%。</w:t>
      </w:r>
    </w:p>
    <w:p w14:paraId="495B871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预算管理方面：我单位按照预算法要求进行“一上”申报，在“一下”的基础上进行修改进行“二上”申报，形成以单位领导支持、财务部门牵头、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086432D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产管理方面：我单位严格执行资产配置、使用、处置管理办法，做到购置有预算，实物有专人管理，处置按流程，定期盘点清理资产，掌握固定资产的使用情况，确保设备完好提高利用率。资产账务管理合规、账实相符、处置规范。</w:t>
      </w:r>
    </w:p>
    <w:p w14:paraId="3B11790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职责履行方面：我单位2025年严格落实各项工作，按照市局下达的任务及本单位的目标任务，积极推进了各项工作平稳、有序的开展。</w:t>
      </w:r>
    </w:p>
    <w:p w14:paraId="1DF77A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2.目标完成情况及指标分析</w:t>
      </w:r>
    </w:p>
    <w:p w14:paraId="045A0F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我部门2025年一般公共预算资金总体目标完成较好，具体如下：</w:t>
      </w:r>
    </w:p>
    <w:p w14:paraId="68957CA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1：普速铁路封闭攻坚成效显著：按照广铁集团普铁线路三年封闭规划，我市2025年焦柳铁路封闭任务为116.943km，为全力推进焦柳线路封闭工程，协同铁路部门一道，深入现场，不断优化组织方案，积极协调路地矛盾，督促相关部门按照省办工作部署，主动作为，密切配合，在路地双方的共同努力下，修建连接便道3.5km，完成线路封闭129.224km（其中:沿线18个重点车站率先完成封闭整治；增交通涵洞11个，已开工10处，其中5处已完成主体工程，5处计划元月完成主体工程，1处因方案变更暂缓），超额完成年度计划；</w:t>
      </w:r>
    </w:p>
    <w:p w14:paraId="559BDC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2：安全隐患动态清零持续推进：聚焦公铁并行、铁路通道配套连接道路、历史遗留重难点等问题，深入开展排查整治，动真碰硬，综合施策，累计消除违法搭建、乱堆乱放、危树等各类涉铁隐患330余处，完成82处公铁并行护拦建设和24处铁路通道配套连接道路任务，铁路沿线安全治理的底板得以进一步夯实。三处重难点整治任务取得实质性突破：鹤城区凉亭坳乡焦柳北线K1172+400米处铁路人行吊桥完成50%；麻阳郭公坪镇渝怀铁路K557+380处人行栈桥建设已正式开工；溆浦沪昆线K1472+960便道已完成了设计工作；</w:t>
      </w:r>
    </w:p>
    <w:p w14:paraId="12FF044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3：路外伤亡事故压减扎实有效：今年来，为压减我市铁路路外伤亡事故，通过政策引导、工程治理、基层联动多维度推进，取得一定成效，全年铁路路伤事故6起（其中非封闭路段3起，封闭路段3起，全部定性为自杀）较2024年下降33%，超额完成“下降30%”的省级目标；</w:t>
      </w:r>
    </w:p>
    <w:p w14:paraId="613464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4：培育机制不断健全，航线网络持续优化。立足民航有效支撑，着力构建“干支结合、多点辐射”的航线格局，2025年新增“怀化=上海”航线，全年累计运营7条航线，稳定运营4条航线，覆盖北京、上海、西安、三亚、丽江等11个核心枢纽与旅游热点城市，构建了长三角、成渝经济圈的空中通道。完成“杭州=怀化=丽江”“北京大兴=怀化”航线续签工作，并成功洽谈了“杭州=怀化=丽江”、“西安=怀化=海口”航线补贴标准退坡下浮。截至12月底，完成旅客吞吐量41.7万人次（同比下降5.7%，航线补贴支出9456余万元，同比下降6%）。同时，积极配合市人大开展怀化市2024年度交通事业发展资金（航线补贴）绩效评价工作，经综合评价为“良好”，并以此为契机进一步规范了航线开发培育机制、补贴标准，充分发挥补贴资金最大效益。</w:t>
      </w:r>
    </w:p>
    <w:p w14:paraId="7231823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（1）产出指标分析</w:t>
      </w:r>
    </w:p>
    <w:p w14:paraId="75DF6CB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合市铁护办，怀化铁路公安处、相关铁路运输企业等单位开展“平安铁路”宣传进社区、进学校、进农村“五进”宣传活动150场次，普及人群9.5万余人，发放各类宣传资料8万余份，重点人群走访726次，涉及196户，沿线群众爱路护路意识显著提升。完成年初目标。</w:t>
      </w:r>
    </w:p>
    <w:p w14:paraId="6C353A6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（2）效益指标分析</w:t>
      </w:r>
    </w:p>
    <w:p w14:paraId="056516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结合当前“福地怀化，懂你如家”旅游服务提升专项行动。联合芷江机场、执飞航司，致力打造航旅品牌，推进引客入怀工作，带动全域旅游发展。巩固“15+1”交通旅游公共服务提升，持续提质芷江机场服务保障水平。</w:t>
      </w:r>
    </w:p>
    <w:p w14:paraId="549D56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（3）满意度指标分析</w:t>
      </w:r>
    </w:p>
    <w:p w14:paraId="01527D3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社会公众及服务对象满意度90%以上，完成年初目标。</w:t>
      </w:r>
    </w:p>
    <w:p w14:paraId="0559000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1AE232F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一是年初绩效评价指标体系不完善，绩效目标设立不够明确、细化和量化。</w:t>
      </w:r>
    </w:p>
    <w:p w14:paraId="46E4BB2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二是部分项目执行与预算支出指标差距较大。部分项目在预算时未能充分预料和考虑到来年的政策变化，导致实际支出与预算有差。</w:t>
      </w:r>
    </w:p>
    <w:p w14:paraId="3D1DC5B2">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4356D18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1、加强预算绩效管理工作。提升项目在资金支出绩效管理意识，科学合理地对财政支出进行管理。</w:t>
      </w:r>
    </w:p>
    <w:p w14:paraId="0ABA6E4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2、抓好项目绩效目标申报，提高项目绩效目标申报质量，项目绩效目标做到明确、细化、量化。</w:t>
      </w:r>
    </w:p>
    <w:p w14:paraId="3C5158C8">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538A87D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仿宋" w:hAnsi="仿宋" w:eastAsia="仿宋" w:cs="仿宋"/>
          <w:color w:val="auto"/>
          <w:sz w:val="32"/>
          <w:szCs w:val="32"/>
          <w:highlight w:val="none"/>
          <w:lang w:val="en-US" w:eastAsia="zh-CN"/>
        </w:rPr>
        <w:t>单位</w:t>
      </w:r>
      <w:r>
        <w:rPr>
          <w:rFonts w:hint="default" w:ascii="仿宋" w:hAnsi="仿宋" w:eastAsia="仿宋" w:cs="仿宋"/>
          <w:color w:val="auto"/>
          <w:sz w:val="32"/>
          <w:szCs w:val="32"/>
          <w:highlight w:val="none"/>
          <w:lang w:val="en-US" w:eastAsia="zh-CN"/>
        </w:rPr>
        <w:t>各部</w:t>
      </w:r>
      <w:r>
        <w:rPr>
          <w:rFonts w:hint="eastAsia" w:ascii="仿宋" w:hAnsi="仿宋" w:eastAsia="仿宋" w:cs="仿宋"/>
          <w:color w:val="auto"/>
          <w:sz w:val="32"/>
          <w:szCs w:val="32"/>
          <w:highlight w:val="none"/>
          <w:lang w:val="en-US" w:eastAsia="zh-CN"/>
        </w:rPr>
        <w:t>门</w:t>
      </w:r>
      <w:r>
        <w:rPr>
          <w:rFonts w:hint="default" w:ascii="仿宋" w:hAnsi="仿宋" w:eastAsia="仿宋" w:cs="仿宋"/>
          <w:color w:val="auto"/>
          <w:sz w:val="32"/>
          <w:szCs w:val="32"/>
          <w:highlight w:val="none"/>
          <w:lang w:val="en-US" w:eastAsia="zh-CN"/>
        </w:rPr>
        <w:t>增强责任和</w:t>
      </w:r>
      <w:r>
        <w:rPr>
          <w:rFonts w:hint="eastAsia" w:ascii="仿宋" w:hAnsi="仿宋" w:eastAsia="仿宋" w:cs="仿宋"/>
          <w:color w:val="auto"/>
          <w:sz w:val="32"/>
          <w:szCs w:val="32"/>
          <w:highlight w:val="none"/>
          <w:lang w:val="en-US" w:eastAsia="zh-CN"/>
        </w:rPr>
        <w:t>社会</w:t>
      </w:r>
      <w:r>
        <w:rPr>
          <w:rFonts w:hint="default" w:ascii="仿宋" w:hAnsi="仿宋" w:eastAsia="仿宋" w:cs="仿宋"/>
          <w:color w:val="auto"/>
          <w:sz w:val="32"/>
          <w:szCs w:val="32"/>
          <w:highlight w:val="none"/>
          <w:lang w:val="en-US" w:eastAsia="zh-CN"/>
        </w:rPr>
        <w:t>观念，提高财政资金支出决策水平和管理水平。</w:t>
      </w:r>
    </w:p>
    <w:p w14:paraId="1B32E19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拟用于作为下一年度预算编制的参考依据，绩效自评结果按照财政要求及时公开</w:t>
      </w:r>
      <w:r>
        <w:rPr>
          <w:rFonts w:hint="eastAsia" w:ascii="仿宋" w:hAnsi="仿宋" w:eastAsia="仿宋" w:cs="仿宋"/>
          <w:color w:val="auto"/>
          <w:sz w:val="32"/>
          <w:szCs w:val="32"/>
          <w:highlight w:val="none"/>
          <w:lang w:val="en-US" w:eastAsia="zh-CN"/>
        </w:rPr>
        <w:t>。</w:t>
      </w:r>
    </w:p>
    <w:p w14:paraId="3E1E52E1">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其他需要说明的情况</w:t>
      </w:r>
    </w:p>
    <w:p w14:paraId="4FA7CC5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无其他需要说明的情况。</w:t>
      </w:r>
    </w:p>
    <w:p w14:paraId="493B572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2DE7C51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5385368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744B4DF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578CDF1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6B2CC67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14251C1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414EE3C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25E8F99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1C30263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473B1B6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3A82FBD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5D3A0F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01BEB3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5E52B2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B752B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04113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82256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41F2A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33198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45165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2C12AB0">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06AC689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w:t>
            </w:r>
            <w:r>
              <w:rPr>
                <w:rFonts w:hint="eastAsia" w:ascii="仿宋" w:hAnsi="仿宋" w:eastAsia="仿宋" w:cs="仿宋"/>
                <w:b w:val="0"/>
                <w:bCs w:val="0"/>
                <w:kern w:val="0"/>
                <w:sz w:val="20"/>
                <w:szCs w:val="20"/>
              </w:rPr>
              <w:t>　</w:t>
            </w:r>
          </w:p>
        </w:tc>
        <w:tc>
          <w:tcPr>
            <w:tcW w:w="2240" w:type="dxa"/>
            <w:gridSpan w:val="2"/>
            <w:noWrap w:val="0"/>
            <w:vAlign w:val="center"/>
          </w:tcPr>
          <w:p w14:paraId="1EC7A9B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w:t>
            </w:r>
            <w:r>
              <w:rPr>
                <w:rFonts w:hint="eastAsia" w:ascii="仿宋" w:hAnsi="仿宋" w:eastAsia="仿宋" w:cs="仿宋"/>
                <w:b w:val="0"/>
                <w:bCs w:val="0"/>
                <w:kern w:val="0"/>
                <w:sz w:val="20"/>
                <w:szCs w:val="20"/>
              </w:rPr>
              <w:t>　</w:t>
            </w:r>
          </w:p>
        </w:tc>
        <w:tc>
          <w:tcPr>
            <w:tcW w:w="1832" w:type="dxa"/>
            <w:gridSpan w:val="2"/>
            <w:noWrap w:val="0"/>
            <w:vAlign w:val="center"/>
          </w:tcPr>
          <w:p w14:paraId="53C72DE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w:t>
            </w:r>
            <w:r>
              <w:rPr>
                <w:rFonts w:hint="eastAsia" w:ascii="仿宋" w:hAnsi="仿宋" w:eastAsia="仿宋" w:cs="仿宋"/>
                <w:b w:val="0"/>
                <w:bCs w:val="0"/>
                <w:kern w:val="0"/>
                <w:sz w:val="20"/>
                <w:szCs w:val="20"/>
              </w:rPr>
              <w:t>　</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FA2DAF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5.92</w:t>
            </w:r>
            <w:r>
              <w:rPr>
                <w:rFonts w:hint="eastAsia" w:ascii="仿宋" w:hAnsi="仿宋" w:eastAsia="仿宋" w:cs="仿宋"/>
                <w:b w:val="0"/>
                <w:bCs w:val="0"/>
                <w:kern w:val="0"/>
                <w:sz w:val="20"/>
                <w:szCs w:val="20"/>
              </w:rPr>
              <w:t>　</w:t>
            </w:r>
          </w:p>
        </w:tc>
        <w:tc>
          <w:tcPr>
            <w:tcW w:w="2240" w:type="dxa"/>
            <w:gridSpan w:val="2"/>
            <w:noWrap w:val="0"/>
            <w:vAlign w:val="center"/>
          </w:tcPr>
          <w:p w14:paraId="2A721DD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3.00</w:t>
            </w:r>
            <w:r>
              <w:rPr>
                <w:rFonts w:hint="eastAsia" w:ascii="仿宋" w:hAnsi="仿宋" w:eastAsia="仿宋" w:cs="仿宋"/>
                <w:b w:val="0"/>
                <w:bCs w:val="0"/>
                <w:kern w:val="0"/>
                <w:sz w:val="20"/>
                <w:szCs w:val="20"/>
              </w:rPr>
              <w:t>　</w:t>
            </w:r>
          </w:p>
        </w:tc>
        <w:tc>
          <w:tcPr>
            <w:tcW w:w="1832" w:type="dxa"/>
            <w:gridSpan w:val="2"/>
            <w:noWrap w:val="0"/>
            <w:vAlign w:val="center"/>
          </w:tcPr>
          <w:p w14:paraId="7A2767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2.72</w:t>
            </w:r>
            <w:r>
              <w:rPr>
                <w:rFonts w:hint="eastAsia" w:ascii="仿宋" w:hAnsi="仿宋" w:eastAsia="仿宋" w:cs="仿宋"/>
                <w:b w:val="0"/>
                <w:bCs w:val="0"/>
                <w:kern w:val="0"/>
                <w:sz w:val="20"/>
                <w:szCs w:val="20"/>
              </w:rPr>
              <w:t>　</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1033C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391B8F9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4.74</w:t>
            </w:r>
            <w:r>
              <w:rPr>
                <w:rFonts w:hint="eastAsia" w:ascii="仿宋" w:hAnsi="仿宋" w:eastAsia="仿宋" w:cs="仿宋"/>
                <w:b w:val="0"/>
                <w:bCs w:val="0"/>
                <w:kern w:val="0"/>
                <w:sz w:val="20"/>
                <w:szCs w:val="20"/>
              </w:rPr>
              <w:t>　</w:t>
            </w:r>
          </w:p>
        </w:tc>
        <w:tc>
          <w:tcPr>
            <w:tcW w:w="2240" w:type="dxa"/>
            <w:gridSpan w:val="2"/>
            <w:noWrap w:val="0"/>
            <w:vAlign w:val="center"/>
          </w:tcPr>
          <w:p w14:paraId="7950725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2.70</w:t>
            </w:r>
            <w:r>
              <w:rPr>
                <w:rFonts w:hint="eastAsia" w:ascii="仿宋" w:hAnsi="仿宋" w:eastAsia="仿宋" w:cs="仿宋"/>
                <w:b w:val="0"/>
                <w:bCs w:val="0"/>
                <w:kern w:val="0"/>
                <w:sz w:val="20"/>
                <w:szCs w:val="20"/>
              </w:rPr>
              <w:t>　</w:t>
            </w:r>
          </w:p>
        </w:tc>
        <w:tc>
          <w:tcPr>
            <w:tcW w:w="1832" w:type="dxa"/>
            <w:gridSpan w:val="2"/>
            <w:noWrap w:val="0"/>
            <w:vAlign w:val="center"/>
          </w:tcPr>
          <w:p w14:paraId="43FBB47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2.50</w:t>
            </w:r>
            <w:r>
              <w:rPr>
                <w:rFonts w:hint="eastAsia" w:ascii="仿宋" w:hAnsi="仿宋" w:eastAsia="仿宋" w:cs="仿宋"/>
                <w:b w:val="0"/>
                <w:bCs w:val="0"/>
                <w:kern w:val="0"/>
                <w:sz w:val="20"/>
                <w:szCs w:val="20"/>
              </w:rPr>
              <w:t>　</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noWrap w:val="0"/>
            <w:vAlign w:val="center"/>
          </w:tcPr>
          <w:p w14:paraId="79D5E60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1832" w:type="dxa"/>
            <w:gridSpan w:val="2"/>
            <w:noWrap w:val="0"/>
            <w:vAlign w:val="center"/>
          </w:tcPr>
          <w:p w14:paraId="0AA6D6E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4.74</w:t>
            </w:r>
            <w:r>
              <w:rPr>
                <w:rFonts w:hint="eastAsia" w:ascii="仿宋" w:hAnsi="仿宋" w:eastAsia="仿宋" w:cs="仿宋"/>
                <w:b w:val="0"/>
                <w:bCs w:val="0"/>
                <w:kern w:val="0"/>
                <w:sz w:val="20"/>
                <w:szCs w:val="20"/>
              </w:rPr>
              <w:t>　</w:t>
            </w:r>
          </w:p>
        </w:tc>
        <w:tc>
          <w:tcPr>
            <w:tcW w:w="2240" w:type="dxa"/>
            <w:gridSpan w:val="2"/>
            <w:noWrap w:val="0"/>
            <w:vAlign w:val="center"/>
          </w:tcPr>
          <w:p w14:paraId="616B888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2.70</w:t>
            </w:r>
            <w:r>
              <w:rPr>
                <w:rFonts w:hint="eastAsia" w:ascii="仿宋" w:hAnsi="仿宋" w:eastAsia="仿宋" w:cs="仿宋"/>
                <w:b w:val="0"/>
                <w:bCs w:val="0"/>
                <w:kern w:val="0"/>
                <w:sz w:val="20"/>
                <w:szCs w:val="20"/>
              </w:rPr>
              <w:t>　</w:t>
            </w:r>
          </w:p>
        </w:tc>
        <w:tc>
          <w:tcPr>
            <w:tcW w:w="1832" w:type="dxa"/>
            <w:gridSpan w:val="2"/>
            <w:noWrap w:val="0"/>
            <w:vAlign w:val="center"/>
          </w:tcPr>
          <w:p w14:paraId="59BEE79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2.50</w:t>
            </w:r>
            <w:r>
              <w:rPr>
                <w:rFonts w:hint="eastAsia" w:ascii="仿宋" w:hAnsi="仿宋" w:eastAsia="仿宋" w:cs="仿宋"/>
                <w:b w:val="0"/>
                <w:bCs w:val="0"/>
                <w:kern w:val="0"/>
                <w:sz w:val="20"/>
                <w:szCs w:val="20"/>
              </w:rPr>
              <w:t>　</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3E95A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noWrap w:val="0"/>
            <w:vAlign w:val="center"/>
          </w:tcPr>
          <w:p w14:paraId="3317BD6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1832" w:type="dxa"/>
            <w:gridSpan w:val="2"/>
            <w:noWrap w:val="0"/>
            <w:vAlign w:val="center"/>
          </w:tcPr>
          <w:p w14:paraId="6080AE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FDCEB4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1.18</w:t>
            </w:r>
            <w:r>
              <w:rPr>
                <w:rFonts w:hint="eastAsia" w:ascii="仿宋" w:hAnsi="仿宋" w:eastAsia="仿宋" w:cs="仿宋"/>
                <w:b w:val="0"/>
                <w:bCs w:val="0"/>
                <w:kern w:val="0"/>
                <w:sz w:val="20"/>
                <w:szCs w:val="20"/>
              </w:rPr>
              <w:t>　</w:t>
            </w:r>
          </w:p>
        </w:tc>
        <w:tc>
          <w:tcPr>
            <w:tcW w:w="2240" w:type="dxa"/>
            <w:gridSpan w:val="2"/>
            <w:noWrap w:val="0"/>
            <w:vAlign w:val="center"/>
          </w:tcPr>
          <w:p w14:paraId="47E07CB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0.30</w:t>
            </w:r>
            <w:r>
              <w:rPr>
                <w:rFonts w:hint="eastAsia" w:ascii="仿宋" w:hAnsi="仿宋" w:eastAsia="仿宋" w:cs="仿宋"/>
                <w:b w:val="0"/>
                <w:bCs w:val="0"/>
                <w:kern w:val="0"/>
                <w:sz w:val="20"/>
                <w:szCs w:val="20"/>
              </w:rPr>
              <w:t>　</w:t>
            </w:r>
          </w:p>
        </w:tc>
        <w:tc>
          <w:tcPr>
            <w:tcW w:w="1832" w:type="dxa"/>
            <w:gridSpan w:val="2"/>
            <w:noWrap w:val="0"/>
            <w:vAlign w:val="center"/>
          </w:tcPr>
          <w:p w14:paraId="73AEDD4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0.22</w:t>
            </w:r>
            <w:r>
              <w:rPr>
                <w:rFonts w:hint="eastAsia" w:ascii="仿宋" w:hAnsi="仿宋" w:eastAsia="仿宋" w:cs="仿宋"/>
                <w:b w:val="0"/>
                <w:bCs w:val="0"/>
                <w:kern w:val="0"/>
                <w:sz w:val="20"/>
                <w:szCs w:val="20"/>
              </w:rPr>
              <w:t>　</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6E7FA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735D22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41</w:t>
            </w:r>
            <w:r>
              <w:rPr>
                <w:rFonts w:hint="eastAsia" w:ascii="仿宋" w:hAnsi="仿宋" w:eastAsia="仿宋" w:cs="仿宋"/>
                <w:b w:val="0"/>
                <w:bCs w:val="0"/>
                <w:kern w:val="0"/>
                <w:sz w:val="20"/>
                <w:szCs w:val="20"/>
              </w:rPr>
              <w:t>　</w:t>
            </w:r>
          </w:p>
        </w:tc>
        <w:tc>
          <w:tcPr>
            <w:tcW w:w="2240" w:type="dxa"/>
            <w:gridSpan w:val="2"/>
            <w:noWrap w:val="0"/>
            <w:vAlign w:val="center"/>
          </w:tcPr>
          <w:p w14:paraId="4D80701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20</w:t>
            </w:r>
            <w:r>
              <w:rPr>
                <w:rFonts w:hint="eastAsia" w:ascii="仿宋" w:hAnsi="仿宋" w:eastAsia="仿宋" w:cs="仿宋"/>
                <w:b w:val="0"/>
                <w:bCs w:val="0"/>
                <w:kern w:val="0"/>
                <w:sz w:val="20"/>
                <w:szCs w:val="20"/>
              </w:rPr>
              <w:t>　</w:t>
            </w:r>
          </w:p>
        </w:tc>
        <w:tc>
          <w:tcPr>
            <w:tcW w:w="1832" w:type="dxa"/>
            <w:gridSpan w:val="2"/>
            <w:noWrap w:val="0"/>
            <w:vAlign w:val="center"/>
          </w:tcPr>
          <w:p w14:paraId="5CA3106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30</w:t>
            </w:r>
            <w:r>
              <w:rPr>
                <w:rFonts w:hint="eastAsia" w:ascii="仿宋" w:hAnsi="仿宋" w:eastAsia="仿宋" w:cs="仿宋"/>
                <w:b w:val="0"/>
                <w:bCs w:val="0"/>
                <w:kern w:val="0"/>
                <w:sz w:val="20"/>
                <w:szCs w:val="20"/>
              </w:rPr>
              <w:t>　</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76187FF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A8B89A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0C8274C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49802F0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41</w:t>
            </w:r>
            <w:r>
              <w:rPr>
                <w:rFonts w:hint="eastAsia" w:ascii="仿宋" w:hAnsi="仿宋" w:eastAsia="仿宋" w:cs="仿宋"/>
                <w:b w:val="0"/>
                <w:bCs w:val="0"/>
                <w:kern w:val="0"/>
                <w:sz w:val="20"/>
                <w:szCs w:val="20"/>
              </w:rPr>
              <w:t>　</w:t>
            </w:r>
          </w:p>
        </w:tc>
        <w:tc>
          <w:tcPr>
            <w:tcW w:w="2240" w:type="dxa"/>
            <w:gridSpan w:val="2"/>
            <w:noWrap w:val="0"/>
            <w:vAlign w:val="center"/>
          </w:tcPr>
          <w:p w14:paraId="46E9D1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20</w:t>
            </w:r>
            <w:r>
              <w:rPr>
                <w:rFonts w:hint="eastAsia" w:ascii="仿宋" w:hAnsi="仿宋" w:eastAsia="仿宋" w:cs="仿宋"/>
                <w:b w:val="0"/>
                <w:bCs w:val="0"/>
                <w:kern w:val="0"/>
                <w:sz w:val="20"/>
                <w:szCs w:val="20"/>
              </w:rPr>
              <w:t>　</w:t>
            </w:r>
          </w:p>
        </w:tc>
        <w:tc>
          <w:tcPr>
            <w:tcW w:w="1832" w:type="dxa"/>
            <w:gridSpan w:val="2"/>
            <w:noWrap w:val="0"/>
            <w:vAlign w:val="center"/>
          </w:tcPr>
          <w:p w14:paraId="7383453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30</w:t>
            </w:r>
            <w:r>
              <w:rPr>
                <w:rFonts w:hint="eastAsia" w:ascii="仿宋" w:hAnsi="仿宋" w:eastAsia="仿宋" w:cs="仿宋"/>
                <w:b w:val="0"/>
                <w:bCs w:val="0"/>
                <w:kern w:val="0"/>
                <w:sz w:val="20"/>
                <w:szCs w:val="20"/>
              </w:rPr>
              <w:t>　</w:t>
            </w: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FF7017D">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34606551">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10F65A93">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3EDCEEE6">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335FDCF3">
            <w:pPr>
              <w:widowControl/>
              <w:jc w:val="center"/>
              <w:rPr>
                <w:rFonts w:hint="eastAsia" w:ascii="仿宋" w:hAnsi="仿宋" w:eastAsia="仿宋" w:cs="仿宋"/>
                <w:b w:val="0"/>
                <w:bCs w:val="0"/>
                <w:kern w:val="0"/>
                <w:sz w:val="20"/>
                <w:szCs w:val="20"/>
              </w:rPr>
            </w:pP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2CE08B3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8A3ACA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EDC8E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043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FE6F7C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038" w:type="dxa"/>
            <w:gridSpan w:val="2"/>
            <w:noWrap w:val="0"/>
            <w:vAlign w:val="center"/>
          </w:tcPr>
          <w:p w14:paraId="251C297F">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4813B1B9">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46E43EA3">
            <w:pPr>
              <w:widowControl/>
              <w:jc w:val="center"/>
              <w:rPr>
                <w:rFonts w:hint="eastAsia" w:ascii="仿宋" w:hAnsi="仿宋" w:eastAsia="仿宋" w:cs="仿宋"/>
                <w:b w:val="0"/>
                <w:bCs w:val="0"/>
                <w:kern w:val="0"/>
                <w:sz w:val="20"/>
                <w:szCs w:val="20"/>
              </w:rPr>
            </w:pP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20C7922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17.54</w:t>
            </w:r>
            <w:r>
              <w:rPr>
                <w:rFonts w:hint="eastAsia" w:ascii="仿宋" w:hAnsi="仿宋" w:eastAsia="仿宋" w:cs="仿宋"/>
                <w:b w:val="0"/>
                <w:bCs w:val="0"/>
                <w:kern w:val="0"/>
                <w:sz w:val="20"/>
                <w:szCs w:val="20"/>
              </w:rPr>
              <w:t>　</w:t>
            </w:r>
          </w:p>
        </w:tc>
        <w:tc>
          <w:tcPr>
            <w:tcW w:w="2240" w:type="dxa"/>
            <w:gridSpan w:val="2"/>
            <w:noWrap w:val="0"/>
            <w:vAlign w:val="center"/>
          </w:tcPr>
          <w:p w14:paraId="102828A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32.13</w:t>
            </w:r>
            <w:r>
              <w:rPr>
                <w:rFonts w:hint="eastAsia" w:ascii="仿宋" w:hAnsi="仿宋" w:eastAsia="仿宋" w:cs="仿宋"/>
                <w:b w:val="0"/>
                <w:bCs w:val="0"/>
                <w:kern w:val="0"/>
                <w:sz w:val="20"/>
                <w:szCs w:val="20"/>
              </w:rPr>
              <w:t>　</w:t>
            </w:r>
          </w:p>
        </w:tc>
        <w:tc>
          <w:tcPr>
            <w:tcW w:w="1832" w:type="dxa"/>
            <w:gridSpan w:val="2"/>
            <w:noWrap w:val="0"/>
            <w:vAlign w:val="center"/>
          </w:tcPr>
          <w:p w14:paraId="6F675DD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17.60</w:t>
            </w:r>
            <w:r>
              <w:rPr>
                <w:rFonts w:hint="eastAsia" w:ascii="仿宋" w:hAnsi="仿宋" w:eastAsia="仿宋" w:cs="仿宋"/>
                <w:b w:val="0"/>
                <w:bCs w:val="0"/>
                <w:kern w:val="0"/>
                <w:sz w:val="20"/>
                <w:szCs w:val="20"/>
              </w:rPr>
              <w:t>　</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947BA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B620EDC">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4ACED147">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8.00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06F4A58F">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0.31</w:t>
            </w:r>
            <w:r>
              <w:rPr>
                <w:rFonts w:hint="eastAsia" w:ascii="仿宋" w:hAnsi="仿宋" w:eastAsia="仿宋" w:cs="仿宋"/>
                <w:b w:val="0"/>
                <w:bCs w:val="0"/>
                <w:color w:val="auto"/>
                <w:kern w:val="0"/>
                <w:sz w:val="20"/>
                <w:szCs w:val="20"/>
              </w:rPr>
              <w:t>　</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25F28B2E">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2891DCE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1.50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7622164D">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0.88</w:t>
            </w:r>
            <w:r>
              <w:rPr>
                <w:rFonts w:hint="eastAsia" w:ascii="仿宋" w:hAnsi="仿宋" w:eastAsia="仿宋" w:cs="仿宋"/>
                <w:b w:val="0"/>
                <w:bCs w:val="0"/>
                <w:color w:val="auto"/>
                <w:kern w:val="0"/>
                <w:sz w:val="20"/>
                <w:szCs w:val="20"/>
              </w:rPr>
              <w:t>　</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511FA5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18A83968">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3206C23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B39917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ED0C37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5.79</w:t>
            </w:r>
            <w:r>
              <w:rPr>
                <w:rFonts w:hint="eastAsia" w:ascii="仿宋" w:hAnsi="仿宋" w:eastAsia="仿宋" w:cs="仿宋"/>
                <w:b w:val="0"/>
                <w:bCs w:val="0"/>
                <w:kern w:val="0"/>
                <w:sz w:val="20"/>
                <w:szCs w:val="20"/>
              </w:rPr>
              <w:t>　</w:t>
            </w:r>
          </w:p>
        </w:tc>
        <w:tc>
          <w:tcPr>
            <w:tcW w:w="1832" w:type="dxa"/>
            <w:gridSpan w:val="2"/>
            <w:noWrap w:val="0"/>
            <w:vAlign w:val="center"/>
          </w:tcPr>
          <w:p w14:paraId="785F6FF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5.79</w:t>
            </w:r>
            <w:r>
              <w:rPr>
                <w:rFonts w:hint="eastAsia" w:ascii="仿宋" w:hAnsi="仿宋" w:eastAsia="仿宋" w:cs="仿宋"/>
                <w:b w:val="0"/>
                <w:bCs w:val="0"/>
                <w:kern w:val="0"/>
                <w:sz w:val="20"/>
                <w:szCs w:val="20"/>
              </w:rPr>
              <w:t>　</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CD31B2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324.17</w:t>
            </w:r>
            <w:r>
              <w:rPr>
                <w:rFonts w:hint="eastAsia" w:ascii="仿宋" w:hAnsi="仿宋" w:eastAsia="仿宋" w:cs="仿宋"/>
                <w:b w:val="0"/>
                <w:bCs w:val="0"/>
                <w:kern w:val="0"/>
                <w:sz w:val="20"/>
                <w:szCs w:val="20"/>
              </w:rPr>
              <w:t>　</w:t>
            </w:r>
          </w:p>
        </w:tc>
        <w:tc>
          <w:tcPr>
            <w:tcW w:w="1832" w:type="dxa"/>
            <w:gridSpan w:val="2"/>
            <w:noWrap w:val="0"/>
            <w:vAlign w:val="center"/>
          </w:tcPr>
          <w:p w14:paraId="5735980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359.54</w:t>
            </w:r>
            <w:r>
              <w:rPr>
                <w:rFonts w:hint="eastAsia" w:ascii="仿宋" w:hAnsi="仿宋" w:eastAsia="仿宋" w:cs="仿宋"/>
                <w:b w:val="0"/>
                <w:bCs w:val="0"/>
                <w:kern w:val="0"/>
                <w:sz w:val="20"/>
                <w:szCs w:val="20"/>
              </w:rPr>
              <w:t>　</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4413BF4">
            <w:pPr>
              <w:widowControl/>
              <w:jc w:val="left"/>
              <w:rPr>
                <w:rFonts w:hint="eastAsia" w:ascii="仿宋" w:hAnsi="仿宋" w:eastAsia="仿宋" w:cs="仿宋"/>
                <w:b w:val="0"/>
                <w:bCs w:val="0"/>
                <w:kern w:val="0"/>
                <w:sz w:val="20"/>
                <w:szCs w:val="20"/>
              </w:rPr>
            </w:pPr>
          </w:p>
        </w:tc>
        <w:tc>
          <w:tcPr>
            <w:tcW w:w="1189" w:type="dxa"/>
            <w:noWrap w:val="0"/>
            <w:vAlign w:val="center"/>
          </w:tcPr>
          <w:p w14:paraId="745CE46A">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49" w:type="dxa"/>
            <w:noWrap w:val="0"/>
            <w:vAlign w:val="center"/>
          </w:tcPr>
          <w:p w14:paraId="1B100B4D">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29" w:type="dxa"/>
            <w:noWrap w:val="0"/>
            <w:vAlign w:val="center"/>
          </w:tcPr>
          <w:p w14:paraId="7F8628FE">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11" w:type="dxa"/>
            <w:noWrap w:val="0"/>
            <w:vAlign w:val="center"/>
          </w:tcPr>
          <w:p w14:paraId="0EBDDCAF">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969" w:type="dxa"/>
            <w:noWrap w:val="0"/>
            <w:vAlign w:val="center"/>
          </w:tcPr>
          <w:p w14:paraId="090CB1AB">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63" w:type="dxa"/>
            <w:noWrap w:val="0"/>
            <w:vAlign w:val="center"/>
          </w:tcPr>
          <w:p w14:paraId="67F15FFA">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按照财政要求，压减经费开支</w:t>
            </w:r>
            <w:r>
              <w:rPr>
                <w:rFonts w:hint="eastAsia" w:ascii="仿宋" w:hAnsi="仿宋" w:eastAsia="仿宋" w:cs="仿宋"/>
                <w:b w:val="0"/>
                <w:bCs w:val="0"/>
                <w:kern w:val="0"/>
                <w:sz w:val="20"/>
                <w:szCs w:val="20"/>
              </w:rPr>
              <w:t>　　　</w:t>
            </w:r>
          </w:p>
        </w:tc>
      </w:tr>
    </w:tbl>
    <w:p w14:paraId="00F6D30B">
      <w:pPr>
        <w:pStyle w:val="11"/>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E00B4E1">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舒辉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2026.6.17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15386271098 </w:t>
      </w:r>
    </w:p>
    <w:p w14:paraId="5D0A206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7F4537C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8"/>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1"/>
        <w:gridCol w:w="1124"/>
        <w:gridCol w:w="1141"/>
        <w:gridCol w:w="925"/>
        <w:gridCol w:w="91"/>
        <w:gridCol w:w="1172"/>
        <w:gridCol w:w="1112"/>
        <w:gridCol w:w="696"/>
        <w:gridCol w:w="716"/>
        <w:gridCol w:w="1154"/>
      </w:tblGrid>
      <w:tr w14:paraId="688D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31" w:type="dxa"/>
            <w:noWrap w:val="0"/>
            <w:vAlign w:val="center"/>
          </w:tcPr>
          <w:p w14:paraId="657D50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31" w:type="dxa"/>
            <w:gridSpan w:val="9"/>
            <w:noWrap w:val="0"/>
            <w:vAlign w:val="center"/>
          </w:tcPr>
          <w:p w14:paraId="6CCEFD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怀化市综合交通运输协调服务中心　</w:t>
            </w:r>
          </w:p>
        </w:tc>
      </w:tr>
      <w:tr w14:paraId="55E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31" w:type="dxa"/>
            <w:vMerge w:val="restart"/>
            <w:noWrap w:val="0"/>
            <w:vAlign w:val="center"/>
          </w:tcPr>
          <w:p w14:paraId="0C34C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1957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265" w:type="dxa"/>
            <w:gridSpan w:val="2"/>
            <w:noWrap w:val="0"/>
            <w:vAlign w:val="center"/>
          </w:tcPr>
          <w:p w14:paraId="5F62FE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25" w:type="dxa"/>
            <w:noWrap w:val="0"/>
            <w:vAlign w:val="center"/>
          </w:tcPr>
          <w:p w14:paraId="16364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39F893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63" w:type="dxa"/>
            <w:gridSpan w:val="2"/>
            <w:noWrap w:val="0"/>
            <w:vAlign w:val="center"/>
          </w:tcPr>
          <w:p w14:paraId="3683C2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12" w:type="dxa"/>
            <w:noWrap w:val="0"/>
            <w:vAlign w:val="center"/>
          </w:tcPr>
          <w:p w14:paraId="45A616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BA5BE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6" w:type="dxa"/>
            <w:noWrap w:val="0"/>
            <w:vAlign w:val="center"/>
          </w:tcPr>
          <w:p w14:paraId="2D240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16" w:type="dxa"/>
            <w:noWrap w:val="0"/>
            <w:vAlign w:val="center"/>
          </w:tcPr>
          <w:p w14:paraId="3B9E9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54" w:type="dxa"/>
            <w:noWrap w:val="0"/>
            <w:vAlign w:val="center"/>
          </w:tcPr>
          <w:p w14:paraId="2F034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93B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1" w:type="dxa"/>
            <w:vMerge w:val="continue"/>
            <w:noWrap w:val="0"/>
            <w:vAlign w:val="center"/>
          </w:tcPr>
          <w:p w14:paraId="5751D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265" w:type="dxa"/>
            <w:gridSpan w:val="2"/>
            <w:noWrap w:val="0"/>
            <w:vAlign w:val="center"/>
          </w:tcPr>
          <w:p w14:paraId="547B1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25" w:type="dxa"/>
            <w:noWrap w:val="0"/>
            <w:vAlign w:val="center"/>
          </w:tcPr>
          <w:p w14:paraId="62929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344.17</w:t>
            </w:r>
          </w:p>
        </w:tc>
        <w:tc>
          <w:tcPr>
            <w:tcW w:w="1263" w:type="dxa"/>
            <w:gridSpan w:val="2"/>
            <w:noWrap w:val="0"/>
            <w:vAlign w:val="center"/>
          </w:tcPr>
          <w:p w14:paraId="0F0B7C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394.46</w:t>
            </w:r>
          </w:p>
        </w:tc>
        <w:tc>
          <w:tcPr>
            <w:tcW w:w="1112" w:type="dxa"/>
            <w:noWrap w:val="0"/>
            <w:vAlign w:val="center"/>
          </w:tcPr>
          <w:p w14:paraId="73F6D6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389.54</w:t>
            </w:r>
          </w:p>
        </w:tc>
        <w:tc>
          <w:tcPr>
            <w:tcW w:w="696" w:type="dxa"/>
            <w:noWrap w:val="0"/>
            <w:vAlign w:val="center"/>
          </w:tcPr>
          <w:p w14:paraId="057BC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716" w:type="dxa"/>
            <w:noWrap w:val="0"/>
            <w:vAlign w:val="center"/>
          </w:tcPr>
          <w:p w14:paraId="63FB0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98.75</w:t>
            </w:r>
          </w:p>
        </w:tc>
        <w:tc>
          <w:tcPr>
            <w:tcW w:w="1154" w:type="dxa"/>
            <w:noWrap w:val="0"/>
            <w:vAlign w:val="center"/>
          </w:tcPr>
          <w:p w14:paraId="0A22DC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9.88</w:t>
            </w:r>
          </w:p>
        </w:tc>
      </w:tr>
      <w:tr w14:paraId="7206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1" w:type="dxa"/>
            <w:vMerge w:val="continue"/>
            <w:noWrap w:val="0"/>
            <w:vAlign w:val="center"/>
          </w:tcPr>
          <w:p w14:paraId="5698AA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78BCA3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678" w:type="dxa"/>
            <w:gridSpan w:val="4"/>
            <w:noWrap w:val="0"/>
            <w:vAlign w:val="center"/>
          </w:tcPr>
          <w:p w14:paraId="03E865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79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1" w:type="dxa"/>
            <w:vMerge w:val="continue"/>
            <w:noWrap w:val="0"/>
            <w:vAlign w:val="center"/>
          </w:tcPr>
          <w:p w14:paraId="03A6AE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64C4E9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389.54</w:t>
            </w:r>
          </w:p>
        </w:tc>
        <w:tc>
          <w:tcPr>
            <w:tcW w:w="3678" w:type="dxa"/>
            <w:gridSpan w:val="4"/>
            <w:noWrap w:val="0"/>
            <w:vAlign w:val="center"/>
          </w:tcPr>
          <w:p w14:paraId="08A0D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359.54</w:t>
            </w:r>
          </w:p>
        </w:tc>
      </w:tr>
      <w:tr w14:paraId="594B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1" w:type="dxa"/>
            <w:vMerge w:val="continue"/>
            <w:noWrap w:val="0"/>
            <w:vAlign w:val="center"/>
          </w:tcPr>
          <w:p w14:paraId="7C16D7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77084DCB">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678" w:type="dxa"/>
            <w:gridSpan w:val="4"/>
            <w:noWrap w:val="0"/>
            <w:vAlign w:val="center"/>
          </w:tcPr>
          <w:p w14:paraId="20C07A2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30</w:t>
            </w:r>
          </w:p>
        </w:tc>
      </w:tr>
      <w:tr w14:paraId="4FF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1" w:type="dxa"/>
            <w:vMerge w:val="continue"/>
            <w:noWrap w:val="0"/>
            <w:vAlign w:val="center"/>
          </w:tcPr>
          <w:p w14:paraId="181DC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3BA855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678" w:type="dxa"/>
            <w:gridSpan w:val="4"/>
            <w:noWrap w:val="0"/>
            <w:vAlign w:val="center"/>
          </w:tcPr>
          <w:p w14:paraId="01389A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FE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31" w:type="dxa"/>
            <w:vMerge w:val="continue"/>
            <w:noWrap w:val="0"/>
            <w:vAlign w:val="center"/>
          </w:tcPr>
          <w:p w14:paraId="1D642D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7A6A096E">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678" w:type="dxa"/>
            <w:gridSpan w:val="4"/>
            <w:noWrap w:val="0"/>
            <w:vAlign w:val="center"/>
          </w:tcPr>
          <w:p w14:paraId="7107DF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6B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31" w:type="dxa"/>
            <w:vMerge w:val="restart"/>
            <w:noWrap w:val="0"/>
            <w:vAlign w:val="center"/>
          </w:tcPr>
          <w:p w14:paraId="6C256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53" w:type="dxa"/>
            <w:gridSpan w:val="5"/>
            <w:noWrap w:val="0"/>
            <w:vAlign w:val="center"/>
          </w:tcPr>
          <w:p w14:paraId="7D8E40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678" w:type="dxa"/>
            <w:gridSpan w:val="4"/>
            <w:noWrap w:val="0"/>
            <w:vAlign w:val="center"/>
          </w:tcPr>
          <w:p w14:paraId="6A781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09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31" w:type="dxa"/>
            <w:vMerge w:val="continue"/>
            <w:noWrap w:val="0"/>
            <w:vAlign w:val="center"/>
          </w:tcPr>
          <w:p w14:paraId="5F476A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234CF3DB">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1.负责全市公路、水运、铁路、航空、邮政综合协调及日常调度；</w:t>
            </w:r>
          </w:p>
          <w:p w14:paraId="5E42CB9C">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2.参与全市综合交通运输发展规划和政策拟定，指导县市区做好综合交通运输协调和服务工作；</w:t>
            </w:r>
          </w:p>
          <w:p w14:paraId="5ECC2089">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3.协调航空、铁路、高速公路邮政物流及地方政府的相关工作　</w:t>
            </w:r>
          </w:p>
        </w:tc>
        <w:tc>
          <w:tcPr>
            <w:tcW w:w="3678" w:type="dxa"/>
            <w:gridSpan w:val="4"/>
            <w:noWrap w:val="0"/>
            <w:vAlign w:val="center"/>
          </w:tcPr>
          <w:p w14:paraId="7C9499E1">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z w:val="20"/>
                <w:szCs w:val="20"/>
              </w:rPr>
            </w:pPr>
            <w:r>
              <w:rPr>
                <w:rFonts w:hint="eastAsia" w:ascii="仿宋" w:hAnsi="仿宋" w:eastAsia="仿宋" w:cs="仿宋"/>
                <w:sz w:val="20"/>
                <w:szCs w:val="20"/>
              </w:rPr>
              <w:t>　（一）、筑强基层战斗堡垒，为高质量完成工作目标提供坚实有力的政治保证。</w:t>
            </w:r>
          </w:p>
          <w:p w14:paraId="54D54425">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z w:val="20"/>
                <w:szCs w:val="20"/>
              </w:rPr>
            </w:pPr>
            <w:r>
              <w:rPr>
                <w:rFonts w:hint="eastAsia" w:ascii="仿宋" w:hAnsi="仿宋" w:eastAsia="仿宋" w:cs="仿宋"/>
                <w:sz w:val="20"/>
                <w:szCs w:val="20"/>
              </w:rPr>
              <w:t>（二）、聚焦问题攻坚，深入推进铁路沿线环境综合整治工作。</w:t>
            </w:r>
          </w:p>
          <w:p w14:paraId="7551F5A7">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z w:val="20"/>
                <w:szCs w:val="20"/>
              </w:rPr>
            </w:pPr>
            <w:r>
              <w:rPr>
                <w:rFonts w:hint="eastAsia" w:ascii="仿宋" w:hAnsi="仿宋" w:eastAsia="仿宋" w:cs="仿宋"/>
                <w:sz w:val="20"/>
                <w:szCs w:val="20"/>
              </w:rPr>
              <w:t>（三）、服务发展大局，统筹推进航线开发培育工作。</w:t>
            </w:r>
          </w:p>
          <w:p w14:paraId="02AE6900">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z w:val="20"/>
                <w:szCs w:val="20"/>
              </w:rPr>
            </w:pPr>
            <w:r>
              <w:rPr>
                <w:rFonts w:hint="eastAsia" w:ascii="仿宋" w:hAnsi="仿宋" w:eastAsia="仿宋" w:cs="仿宋"/>
                <w:sz w:val="20"/>
                <w:szCs w:val="20"/>
              </w:rPr>
              <w:t>（四）、压实企业主体责任，夯实铁路专用线运营安全底板。</w:t>
            </w:r>
          </w:p>
          <w:p w14:paraId="301BF0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005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31" w:type="dxa"/>
            <w:vMerge w:val="restart"/>
            <w:noWrap w:val="0"/>
            <w:vAlign w:val="center"/>
          </w:tcPr>
          <w:p w14:paraId="3F978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E2BAC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97578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93635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24" w:type="dxa"/>
            <w:noWrap w:val="0"/>
            <w:vAlign w:val="center"/>
          </w:tcPr>
          <w:p w14:paraId="4D273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141" w:type="dxa"/>
            <w:noWrap w:val="0"/>
            <w:vAlign w:val="center"/>
          </w:tcPr>
          <w:p w14:paraId="4C44CE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16" w:type="dxa"/>
            <w:gridSpan w:val="2"/>
            <w:noWrap w:val="0"/>
            <w:vAlign w:val="center"/>
          </w:tcPr>
          <w:p w14:paraId="063616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72" w:type="dxa"/>
            <w:noWrap w:val="0"/>
            <w:vAlign w:val="center"/>
          </w:tcPr>
          <w:p w14:paraId="368D6C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D299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2" w:type="dxa"/>
            <w:noWrap w:val="0"/>
            <w:vAlign w:val="center"/>
          </w:tcPr>
          <w:p w14:paraId="2FFC00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74CF9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6" w:type="dxa"/>
            <w:noWrap w:val="0"/>
            <w:vAlign w:val="center"/>
          </w:tcPr>
          <w:p w14:paraId="41F80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16" w:type="dxa"/>
            <w:noWrap w:val="0"/>
            <w:vAlign w:val="center"/>
          </w:tcPr>
          <w:p w14:paraId="7C304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54" w:type="dxa"/>
            <w:noWrap w:val="0"/>
            <w:vAlign w:val="top"/>
          </w:tcPr>
          <w:p w14:paraId="1DE81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5AE2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24FB1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D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31" w:type="dxa"/>
            <w:vMerge w:val="continue"/>
            <w:noWrap w:val="0"/>
            <w:vAlign w:val="center"/>
          </w:tcPr>
          <w:p w14:paraId="276D07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restart"/>
            <w:noWrap w:val="0"/>
            <w:vAlign w:val="center"/>
          </w:tcPr>
          <w:p w14:paraId="0BCC0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141" w:type="dxa"/>
            <w:noWrap w:val="0"/>
            <w:vAlign w:val="center"/>
          </w:tcPr>
          <w:p w14:paraId="7C7364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16" w:type="dxa"/>
            <w:gridSpan w:val="2"/>
            <w:noWrap w:val="0"/>
            <w:vAlign w:val="center"/>
          </w:tcPr>
          <w:p w14:paraId="4B9E4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72" w:type="dxa"/>
            <w:noWrap w:val="0"/>
            <w:vAlign w:val="center"/>
          </w:tcPr>
          <w:p w14:paraId="6A9256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394.46万元</w:t>
            </w:r>
          </w:p>
        </w:tc>
        <w:tc>
          <w:tcPr>
            <w:tcW w:w="1112" w:type="dxa"/>
            <w:noWrap w:val="0"/>
            <w:vAlign w:val="center"/>
          </w:tcPr>
          <w:p w14:paraId="2817CC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389.54万元</w:t>
            </w:r>
          </w:p>
        </w:tc>
        <w:tc>
          <w:tcPr>
            <w:tcW w:w="696" w:type="dxa"/>
            <w:noWrap w:val="0"/>
            <w:vAlign w:val="center"/>
          </w:tcPr>
          <w:p w14:paraId="4B0CE4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noWrap w:val="0"/>
            <w:vAlign w:val="center"/>
          </w:tcPr>
          <w:p w14:paraId="3B98CB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54" w:type="dxa"/>
            <w:noWrap w:val="0"/>
            <w:vAlign w:val="center"/>
          </w:tcPr>
          <w:p w14:paraId="7FB5B3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0F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1" w:type="dxa"/>
            <w:vMerge w:val="continue"/>
            <w:noWrap w:val="0"/>
            <w:vAlign w:val="center"/>
          </w:tcPr>
          <w:p w14:paraId="6363E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6125E4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1" w:type="dxa"/>
            <w:noWrap w:val="0"/>
            <w:vAlign w:val="center"/>
          </w:tcPr>
          <w:p w14:paraId="5A28DD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16" w:type="dxa"/>
            <w:gridSpan w:val="2"/>
            <w:noWrap w:val="0"/>
            <w:vAlign w:val="center"/>
          </w:tcPr>
          <w:p w14:paraId="3CFDD7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社会成本节约率</w:t>
            </w:r>
          </w:p>
        </w:tc>
        <w:tc>
          <w:tcPr>
            <w:tcW w:w="1172" w:type="dxa"/>
            <w:noWrap w:val="0"/>
            <w:vAlign w:val="center"/>
          </w:tcPr>
          <w:p w14:paraId="2F49BC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12" w:type="dxa"/>
            <w:noWrap w:val="0"/>
            <w:vAlign w:val="center"/>
          </w:tcPr>
          <w:p w14:paraId="2609C8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96" w:type="dxa"/>
            <w:noWrap w:val="0"/>
            <w:vAlign w:val="center"/>
          </w:tcPr>
          <w:p w14:paraId="34415B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1180B5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54" w:type="dxa"/>
            <w:noWrap w:val="0"/>
            <w:vAlign w:val="center"/>
          </w:tcPr>
          <w:p w14:paraId="505947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F3F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1" w:type="dxa"/>
            <w:vMerge w:val="continue"/>
            <w:noWrap w:val="0"/>
            <w:vAlign w:val="center"/>
          </w:tcPr>
          <w:p w14:paraId="6D83FE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30BEE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1" w:type="dxa"/>
            <w:noWrap w:val="0"/>
            <w:vAlign w:val="center"/>
          </w:tcPr>
          <w:p w14:paraId="0E593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16" w:type="dxa"/>
            <w:gridSpan w:val="2"/>
            <w:noWrap w:val="0"/>
            <w:vAlign w:val="center"/>
          </w:tcPr>
          <w:p w14:paraId="33AE98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生态环境成本节约率</w:t>
            </w:r>
          </w:p>
        </w:tc>
        <w:tc>
          <w:tcPr>
            <w:tcW w:w="1172" w:type="dxa"/>
            <w:noWrap w:val="0"/>
            <w:vAlign w:val="center"/>
          </w:tcPr>
          <w:p w14:paraId="3BEEE1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12" w:type="dxa"/>
            <w:noWrap w:val="0"/>
            <w:vAlign w:val="center"/>
          </w:tcPr>
          <w:p w14:paraId="5C9C3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96" w:type="dxa"/>
            <w:noWrap w:val="0"/>
            <w:vAlign w:val="center"/>
          </w:tcPr>
          <w:p w14:paraId="707D85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1E4BFE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54" w:type="dxa"/>
            <w:noWrap w:val="0"/>
            <w:vAlign w:val="center"/>
          </w:tcPr>
          <w:p w14:paraId="1D8A1D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724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31" w:type="dxa"/>
            <w:vMerge w:val="continue"/>
            <w:noWrap w:val="0"/>
            <w:vAlign w:val="center"/>
          </w:tcPr>
          <w:p w14:paraId="25584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restart"/>
            <w:noWrap w:val="0"/>
            <w:vAlign w:val="center"/>
          </w:tcPr>
          <w:p w14:paraId="2E21A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104B1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1" w:type="dxa"/>
            <w:vMerge w:val="restart"/>
            <w:noWrap w:val="0"/>
            <w:vAlign w:val="center"/>
          </w:tcPr>
          <w:p w14:paraId="046787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E7696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16" w:type="dxa"/>
            <w:gridSpan w:val="2"/>
            <w:noWrap w:val="0"/>
            <w:vAlign w:val="center"/>
          </w:tcPr>
          <w:p w14:paraId="2B3FDD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开展铁路安全宣传活动</w:t>
            </w:r>
          </w:p>
        </w:tc>
        <w:tc>
          <w:tcPr>
            <w:tcW w:w="1172" w:type="dxa"/>
            <w:noWrap w:val="0"/>
            <w:vAlign w:val="center"/>
          </w:tcPr>
          <w:p w14:paraId="1AF521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2次</w:t>
            </w:r>
          </w:p>
        </w:tc>
        <w:tc>
          <w:tcPr>
            <w:tcW w:w="1112" w:type="dxa"/>
            <w:noWrap w:val="0"/>
            <w:vAlign w:val="center"/>
          </w:tcPr>
          <w:p w14:paraId="6AABE7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2次</w:t>
            </w:r>
          </w:p>
        </w:tc>
        <w:tc>
          <w:tcPr>
            <w:tcW w:w="696" w:type="dxa"/>
            <w:noWrap w:val="0"/>
            <w:vAlign w:val="center"/>
          </w:tcPr>
          <w:p w14:paraId="5E18AE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16" w:type="dxa"/>
            <w:noWrap w:val="0"/>
            <w:vAlign w:val="center"/>
          </w:tcPr>
          <w:p w14:paraId="6D0A00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54" w:type="dxa"/>
            <w:noWrap w:val="0"/>
            <w:vAlign w:val="center"/>
          </w:tcPr>
          <w:p w14:paraId="3339EE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33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31" w:type="dxa"/>
            <w:vMerge w:val="continue"/>
            <w:noWrap w:val="0"/>
            <w:vAlign w:val="center"/>
          </w:tcPr>
          <w:p w14:paraId="330C91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6EEE47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vMerge w:val="continue"/>
            <w:noWrap w:val="0"/>
            <w:vAlign w:val="center"/>
          </w:tcPr>
          <w:p w14:paraId="6834E4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16" w:type="dxa"/>
            <w:gridSpan w:val="2"/>
            <w:noWrap w:val="0"/>
            <w:vAlign w:val="center"/>
          </w:tcPr>
          <w:p w14:paraId="71B9EE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组织观看警示教育片</w:t>
            </w:r>
          </w:p>
        </w:tc>
        <w:tc>
          <w:tcPr>
            <w:tcW w:w="1172" w:type="dxa"/>
            <w:noWrap w:val="0"/>
            <w:vAlign w:val="center"/>
          </w:tcPr>
          <w:p w14:paraId="694715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8次</w:t>
            </w:r>
          </w:p>
        </w:tc>
        <w:tc>
          <w:tcPr>
            <w:tcW w:w="1112" w:type="dxa"/>
            <w:noWrap w:val="0"/>
            <w:vAlign w:val="center"/>
          </w:tcPr>
          <w:p w14:paraId="6BF8E8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8次</w:t>
            </w:r>
          </w:p>
        </w:tc>
        <w:tc>
          <w:tcPr>
            <w:tcW w:w="696" w:type="dxa"/>
            <w:noWrap w:val="0"/>
            <w:vAlign w:val="center"/>
          </w:tcPr>
          <w:p w14:paraId="75C3E3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16" w:type="dxa"/>
            <w:noWrap w:val="0"/>
            <w:vAlign w:val="center"/>
          </w:tcPr>
          <w:p w14:paraId="592677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54" w:type="dxa"/>
            <w:noWrap w:val="0"/>
            <w:vAlign w:val="center"/>
          </w:tcPr>
          <w:p w14:paraId="3F85BB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7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1" w:type="dxa"/>
            <w:vMerge w:val="continue"/>
            <w:noWrap w:val="0"/>
            <w:vAlign w:val="center"/>
          </w:tcPr>
          <w:p w14:paraId="7E03D4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3C574A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noWrap w:val="0"/>
            <w:vAlign w:val="center"/>
          </w:tcPr>
          <w:p w14:paraId="341CD7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491D79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16" w:type="dxa"/>
            <w:gridSpan w:val="2"/>
            <w:noWrap w:val="0"/>
            <w:vAlign w:val="center"/>
          </w:tcPr>
          <w:p w14:paraId="45C528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铁路路外伤亡事故率</w:t>
            </w:r>
          </w:p>
        </w:tc>
        <w:tc>
          <w:tcPr>
            <w:tcW w:w="1172" w:type="dxa"/>
            <w:noWrap w:val="0"/>
            <w:vAlign w:val="center"/>
          </w:tcPr>
          <w:p w14:paraId="57A008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112" w:type="dxa"/>
            <w:noWrap w:val="0"/>
            <w:vAlign w:val="center"/>
          </w:tcPr>
          <w:p w14:paraId="2AE24C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6起</w:t>
            </w:r>
          </w:p>
        </w:tc>
        <w:tc>
          <w:tcPr>
            <w:tcW w:w="696" w:type="dxa"/>
            <w:noWrap w:val="0"/>
            <w:vAlign w:val="center"/>
          </w:tcPr>
          <w:p w14:paraId="3624F2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16" w:type="dxa"/>
            <w:noWrap w:val="0"/>
            <w:vAlign w:val="center"/>
          </w:tcPr>
          <w:p w14:paraId="24AF83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7</w:t>
            </w:r>
          </w:p>
        </w:tc>
        <w:tc>
          <w:tcPr>
            <w:tcW w:w="1154" w:type="dxa"/>
            <w:noWrap w:val="0"/>
            <w:vAlign w:val="center"/>
          </w:tcPr>
          <w:p w14:paraId="553550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71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31" w:type="dxa"/>
            <w:vMerge w:val="continue"/>
            <w:noWrap w:val="0"/>
            <w:vAlign w:val="center"/>
          </w:tcPr>
          <w:p w14:paraId="40CB35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460DA1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noWrap w:val="0"/>
            <w:vAlign w:val="center"/>
          </w:tcPr>
          <w:p w14:paraId="3F94B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53BCE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16" w:type="dxa"/>
            <w:gridSpan w:val="2"/>
            <w:noWrap w:val="0"/>
            <w:vAlign w:val="center"/>
          </w:tcPr>
          <w:p w14:paraId="109C7F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72" w:type="dxa"/>
            <w:noWrap w:val="0"/>
            <w:vAlign w:val="center"/>
          </w:tcPr>
          <w:p w14:paraId="243A6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1112" w:type="dxa"/>
            <w:noWrap w:val="0"/>
            <w:vAlign w:val="center"/>
          </w:tcPr>
          <w:p w14:paraId="461FBF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696" w:type="dxa"/>
            <w:noWrap w:val="0"/>
            <w:vAlign w:val="center"/>
          </w:tcPr>
          <w:p w14:paraId="21A58C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16" w:type="dxa"/>
            <w:noWrap w:val="0"/>
            <w:vAlign w:val="center"/>
          </w:tcPr>
          <w:p w14:paraId="2843FC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54" w:type="dxa"/>
            <w:noWrap w:val="0"/>
            <w:vAlign w:val="center"/>
          </w:tcPr>
          <w:p w14:paraId="74513B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C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31" w:type="dxa"/>
            <w:vMerge w:val="continue"/>
            <w:noWrap w:val="0"/>
            <w:vAlign w:val="center"/>
          </w:tcPr>
          <w:p w14:paraId="72FEEB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restart"/>
            <w:noWrap w:val="0"/>
            <w:vAlign w:val="center"/>
          </w:tcPr>
          <w:p w14:paraId="191E7D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248A1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1" w:type="dxa"/>
            <w:noWrap w:val="0"/>
            <w:vAlign w:val="center"/>
          </w:tcPr>
          <w:p w14:paraId="13801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31285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16" w:type="dxa"/>
            <w:gridSpan w:val="2"/>
            <w:noWrap w:val="0"/>
            <w:vAlign w:val="center"/>
          </w:tcPr>
          <w:p w14:paraId="3EBBE3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发挥专项资金使用效益，服务经济发展</w:t>
            </w:r>
          </w:p>
        </w:tc>
        <w:tc>
          <w:tcPr>
            <w:tcW w:w="1172" w:type="dxa"/>
            <w:noWrap w:val="0"/>
            <w:vAlign w:val="center"/>
          </w:tcPr>
          <w:p w14:paraId="474A5D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12" w:type="dxa"/>
            <w:noWrap w:val="0"/>
            <w:vAlign w:val="center"/>
          </w:tcPr>
          <w:p w14:paraId="26DFEC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96" w:type="dxa"/>
            <w:noWrap w:val="0"/>
            <w:vAlign w:val="center"/>
          </w:tcPr>
          <w:p w14:paraId="521580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16" w:type="dxa"/>
            <w:noWrap w:val="0"/>
            <w:vAlign w:val="center"/>
          </w:tcPr>
          <w:p w14:paraId="631292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54" w:type="dxa"/>
            <w:noWrap w:val="0"/>
            <w:vAlign w:val="center"/>
          </w:tcPr>
          <w:p w14:paraId="530ABE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1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1" w:type="dxa"/>
            <w:vMerge w:val="continue"/>
            <w:noWrap w:val="0"/>
            <w:vAlign w:val="center"/>
          </w:tcPr>
          <w:p w14:paraId="7C194F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18D3DE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noWrap w:val="0"/>
            <w:vAlign w:val="center"/>
          </w:tcPr>
          <w:p w14:paraId="0528A1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4C64D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16" w:type="dxa"/>
            <w:gridSpan w:val="2"/>
            <w:noWrap w:val="0"/>
            <w:vAlign w:val="center"/>
          </w:tcPr>
          <w:p w14:paraId="3D88BD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保障铁路沿线的安全</w:t>
            </w:r>
          </w:p>
        </w:tc>
        <w:tc>
          <w:tcPr>
            <w:tcW w:w="1172" w:type="dxa"/>
            <w:noWrap w:val="0"/>
            <w:vAlign w:val="center"/>
          </w:tcPr>
          <w:p w14:paraId="520528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12" w:type="dxa"/>
            <w:noWrap w:val="0"/>
            <w:vAlign w:val="center"/>
          </w:tcPr>
          <w:p w14:paraId="026456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96" w:type="dxa"/>
            <w:noWrap w:val="0"/>
            <w:vAlign w:val="center"/>
          </w:tcPr>
          <w:p w14:paraId="2083A1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16" w:type="dxa"/>
            <w:noWrap w:val="0"/>
            <w:vAlign w:val="center"/>
          </w:tcPr>
          <w:p w14:paraId="4633CB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54" w:type="dxa"/>
            <w:noWrap w:val="0"/>
            <w:vAlign w:val="center"/>
          </w:tcPr>
          <w:p w14:paraId="735E90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B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31" w:type="dxa"/>
            <w:vMerge w:val="continue"/>
            <w:noWrap w:val="0"/>
            <w:vAlign w:val="center"/>
          </w:tcPr>
          <w:p w14:paraId="6BD16E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31B793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noWrap w:val="0"/>
            <w:vAlign w:val="center"/>
          </w:tcPr>
          <w:p w14:paraId="5830E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09FF6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16" w:type="dxa"/>
            <w:gridSpan w:val="2"/>
            <w:noWrap w:val="0"/>
            <w:vAlign w:val="center"/>
          </w:tcPr>
          <w:p w14:paraId="075BE7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改善铁路沿线生态环境</w:t>
            </w:r>
          </w:p>
        </w:tc>
        <w:tc>
          <w:tcPr>
            <w:tcW w:w="1172" w:type="dxa"/>
            <w:noWrap w:val="0"/>
            <w:vAlign w:val="center"/>
          </w:tcPr>
          <w:p w14:paraId="14C862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12" w:type="dxa"/>
            <w:noWrap w:val="0"/>
            <w:vAlign w:val="center"/>
          </w:tcPr>
          <w:p w14:paraId="00E949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96" w:type="dxa"/>
            <w:noWrap w:val="0"/>
            <w:vAlign w:val="center"/>
          </w:tcPr>
          <w:p w14:paraId="0A922A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16" w:type="dxa"/>
            <w:noWrap w:val="0"/>
            <w:vAlign w:val="center"/>
          </w:tcPr>
          <w:p w14:paraId="2D00C3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54" w:type="dxa"/>
            <w:noWrap w:val="0"/>
            <w:vAlign w:val="center"/>
          </w:tcPr>
          <w:p w14:paraId="41B2CB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B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31" w:type="dxa"/>
            <w:vMerge w:val="continue"/>
            <w:noWrap w:val="0"/>
            <w:vAlign w:val="center"/>
          </w:tcPr>
          <w:p w14:paraId="5561D5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772AAF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noWrap w:val="0"/>
            <w:vAlign w:val="center"/>
          </w:tcPr>
          <w:p w14:paraId="3FBC9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16" w:type="dxa"/>
            <w:gridSpan w:val="2"/>
            <w:noWrap w:val="0"/>
            <w:vAlign w:val="center"/>
          </w:tcPr>
          <w:p w14:paraId="11D79D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持续保障道路运输安全</w:t>
            </w:r>
          </w:p>
        </w:tc>
        <w:tc>
          <w:tcPr>
            <w:tcW w:w="1172" w:type="dxa"/>
            <w:noWrap w:val="0"/>
            <w:vAlign w:val="center"/>
          </w:tcPr>
          <w:p w14:paraId="08C69C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12" w:type="dxa"/>
            <w:noWrap w:val="0"/>
            <w:vAlign w:val="center"/>
          </w:tcPr>
          <w:p w14:paraId="0B3C7A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96" w:type="dxa"/>
            <w:noWrap w:val="0"/>
            <w:vAlign w:val="center"/>
          </w:tcPr>
          <w:p w14:paraId="017F88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16" w:type="dxa"/>
            <w:noWrap w:val="0"/>
            <w:vAlign w:val="center"/>
          </w:tcPr>
          <w:p w14:paraId="2FC6B3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54" w:type="dxa"/>
            <w:noWrap w:val="0"/>
            <w:vAlign w:val="center"/>
          </w:tcPr>
          <w:p w14:paraId="6E044B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C9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31" w:type="dxa"/>
            <w:vMerge w:val="continue"/>
            <w:noWrap w:val="0"/>
            <w:vAlign w:val="center"/>
          </w:tcPr>
          <w:p w14:paraId="4D45A3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24" w:type="dxa"/>
            <w:noWrap w:val="0"/>
            <w:vAlign w:val="center"/>
          </w:tcPr>
          <w:p w14:paraId="4853C1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3A82D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C2F0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1" w:type="dxa"/>
            <w:noWrap w:val="0"/>
            <w:vAlign w:val="center"/>
          </w:tcPr>
          <w:p w14:paraId="5699FF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16" w:type="dxa"/>
            <w:gridSpan w:val="2"/>
            <w:noWrap w:val="0"/>
            <w:vAlign w:val="center"/>
          </w:tcPr>
          <w:p w14:paraId="02D08B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社会公众满意度</w:t>
            </w:r>
          </w:p>
        </w:tc>
        <w:tc>
          <w:tcPr>
            <w:tcW w:w="1172" w:type="dxa"/>
            <w:noWrap w:val="0"/>
            <w:vAlign w:val="center"/>
          </w:tcPr>
          <w:p w14:paraId="11C744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90%</w:t>
            </w:r>
          </w:p>
        </w:tc>
        <w:tc>
          <w:tcPr>
            <w:tcW w:w="1112" w:type="dxa"/>
            <w:noWrap w:val="0"/>
            <w:vAlign w:val="center"/>
          </w:tcPr>
          <w:p w14:paraId="388717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696" w:type="dxa"/>
            <w:noWrap w:val="0"/>
            <w:vAlign w:val="center"/>
          </w:tcPr>
          <w:p w14:paraId="43A715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16" w:type="dxa"/>
            <w:noWrap w:val="0"/>
            <w:vAlign w:val="center"/>
          </w:tcPr>
          <w:p w14:paraId="7B513B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54" w:type="dxa"/>
            <w:noWrap w:val="0"/>
            <w:vAlign w:val="center"/>
          </w:tcPr>
          <w:p w14:paraId="3E5DB1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14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6" w:type="dxa"/>
            <w:gridSpan w:val="7"/>
            <w:noWrap w:val="0"/>
            <w:vAlign w:val="center"/>
          </w:tcPr>
          <w:p w14:paraId="302A3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6" w:type="dxa"/>
            <w:noWrap w:val="0"/>
            <w:vAlign w:val="center"/>
          </w:tcPr>
          <w:p w14:paraId="712198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16" w:type="dxa"/>
            <w:noWrap w:val="0"/>
            <w:vAlign w:val="center"/>
          </w:tcPr>
          <w:p w14:paraId="7E1C4A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96.88</w:t>
            </w:r>
          </w:p>
        </w:tc>
        <w:tc>
          <w:tcPr>
            <w:tcW w:w="1154" w:type="dxa"/>
            <w:noWrap w:val="0"/>
            <w:vAlign w:val="center"/>
          </w:tcPr>
          <w:p w14:paraId="20978F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9FA2A81">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舒辉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2026.6.17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15386271098 </w:t>
      </w:r>
    </w:p>
    <w:p w14:paraId="7FF7D1BE">
      <w:pPr>
        <w:rPr>
          <w:rFonts w:hint="default"/>
          <w:lang w:val="en-US" w:eastAsia="zh-CN"/>
        </w:rPr>
      </w:pPr>
      <w:r>
        <w:rPr>
          <w:rFonts w:hint="default"/>
          <w:lang w:val="en-US" w:eastAsia="zh-CN"/>
        </w:rPr>
        <w:br w:type="page"/>
      </w:r>
    </w:p>
    <w:p w14:paraId="082BD1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w:t>
      </w:r>
    </w:p>
    <w:p w14:paraId="7394163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0A2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14941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E8C98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5FECA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铁路安全整治专项经费　</w:t>
            </w:r>
          </w:p>
        </w:tc>
      </w:tr>
      <w:tr w14:paraId="75DF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1DF23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6C424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怀化市交通运输局</w:t>
            </w:r>
          </w:p>
        </w:tc>
        <w:tc>
          <w:tcPr>
            <w:tcW w:w="1134" w:type="dxa"/>
            <w:noWrap w:val="0"/>
            <w:vAlign w:val="center"/>
          </w:tcPr>
          <w:p w14:paraId="4E0AD5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D0A23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怀化市综合交通运输协调服务中心　</w:t>
            </w:r>
          </w:p>
        </w:tc>
      </w:tr>
      <w:tr w14:paraId="36F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1F01E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315DDF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3DEA5A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F876E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283319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4043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7803C3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08518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6A8B3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B5335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07FA8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8E4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90E6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916A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48BDF8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209" w:type="dxa"/>
            <w:noWrap w:val="0"/>
            <w:vAlign w:val="center"/>
          </w:tcPr>
          <w:p w14:paraId="3FBD9D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34" w:type="dxa"/>
            <w:noWrap w:val="0"/>
            <w:vAlign w:val="center"/>
          </w:tcPr>
          <w:p w14:paraId="330888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828" w:type="dxa"/>
            <w:noWrap w:val="0"/>
            <w:vAlign w:val="center"/>
          </w:tcPr>
          <w:p w14:paraId="143FCB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B57F2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00043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089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5A7C8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9F39A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733C80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209" w:type="dxa"/>
            <w:noWrap w:val="0"/>
            <w:vAlign w:val="center"/>
          </w:tcPr>
          <w:p w14:paraId="3FDF8C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34" w:type="dxa"/>
            <w:noWrap w:val="0"/>
            <w:vAlign w:val="center"/>
          </w:tcPr>
          <w:p w14:paraId="0DFB80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828" w:type="dxa"/>
            <w:noWrap w:val="0"/>
            <w:vAlign w:val="center"/>
          </w:tcPr>
          <w:p w14:paraId="1FC36F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751F1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1E591D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51F6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CBAAE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53C881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105225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39FA6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0B0AE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3977C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5AE99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77542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30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50AD5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805573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13457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E737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96D47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E7E0F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BD7CD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4C0FB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DF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41A7F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A2D85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BDC5E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D0B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CAB80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0A02B883">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目标1：持续开展铁路沿线安全环境常态化宣传和隐患排查治理；</w:t>
            </w:r>
          </w:p>
          <w:p w14:paraId="6F027E5A">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目标2：推进地方政府与铁路运输企业联防工作机制,遏制铁路路外事故,营造安全良好外部环境；</w:t>
            </w:r>
          </w:p>
          <w:p w14:paraId="104BC14D">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目标3：组织实施“双段长”制各项工作,打造铁路沿线“安、畅、绿、美”的风景线。　　</w:t>
            </w:r>
          </w:p>
        </w:tc>
        <w:tc>
          <w:tcPr>
            <w:tcW w:w="4253" w:type="dxa"/>
            <w:gridSpan w:val="4"/>
            <w:noWrap w:val="0"/>
            <w:vAlign w:val="center"/>
          </w:tcPr>
          <w:p w14:paraId="5A2CED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一是</w:t>
            </w:r>
            <w:r>
              <w:rPr>
                <w:rFonts w:hint="eastAsia" w:ascii="仿宋" w:hAnsi="仿宋" w:eastAsia="仿宋" w:cs="仿宋"/>
                <w:color w:val="000000"/>
                <w:kern w:val="0"/>
                <w:sz w:val="20"/>
                <w:szCs w:val="20"/>
              </w:rPr>
              <w:t>普速铁路封闭攻坚成效显著：按照广铁集团普铁线路三年封闭规划，我市2025年焦柳铁路封闭任务为116.943km，为全力推进焦柳线路封闭工程，协同铁路部门一道，深入现场，不断优化组织方案，积极协调路地矛盾，督促相关部门按照省办工作部署，主动作为，密切配合，在路地双方的共同努力下，修建连接便道3.5km，完成线路封闭129.224km（其中:沿线18个重点车站率先完成封闭整治；增交通涵洞11个，已开工10处，其中5处已完成主体工程，5处计划元月完成主体工程，1处因方案变更暂缓），超额完成年度计划。</w:t>
            </w:r>
          </w:p>
          <w:p w14:paraId="6E88D1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二是</w:t>
            </w:r>
            <w:r>
              <w:rPr>
                <w:rFonts w:hint="eastAsia" w:ascii="仿宋" w:hAnsi="仿宋" w:eastAsia="仿宋" w:cs="仿宋"/>
                <w:color w:val="000000"/>
                <w:kern w:val="0"/>
                <w:sz w:val="20"/>
                <w:szCs w:val="20"/>
              </w:rPr>
              <w:t>安全隐患动态清零持续推进：聚焦公铁并行、铁路通道配套连接道路、历史遗留重难点等问题，深入开展排查整治，动真碰硬，综合施策，累计消除违法搭建、乱堆乱放、危树等各类涉铁隐患330余处，完成82处公铁并行护拦建设和24处铁路通道配套连接道路任务，铁路沿线安全治理的底板得以进一步夯实。三处重难点整治任务取得实质性突破：鹤城区凉亭坳乡焦柳北线K1172+400米处铁路人行吊桥完成50%；麻阳郭公坪镇渝怀铁路K557+380处人行栈桥建设已正式开工；溆浦沪昆线K1472+960便道已完成了设计工作。</w:t>
            </w:r>
          </w:p>
        </w:tc>
      </w:tr>
      <w:tr w14:paraId="756F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BF25A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D6882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D8FE8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7C70F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59FE3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18AEF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C0D86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3C4712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CF1D9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2AC48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A374F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E3915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5852C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3222F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FB88F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C1E8E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AD4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E4B07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7BF34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02A29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3FF80F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铁路安全环境整治工作经费</w:t>
            </w:r>
          </w:p>
        </w:tc>
        <w:tc>
          <w:tcPr>
            <w:tcW w:w="1209" w:type="dxa"/>
            <w:noWrap w:val="0"/>
            <w:vAlign w:val="center"/>
          </w:tcPr>
          <w:p w14:paraId="5D8797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20万元</w:t>
            </w:r>
          </w:p>
        </w:tc>
        <w:tc>
          <w:tcPr>
            <w:tcW w:w="1134" w:type="dxa"/>
            <w:noWrap w:val="0"/>
            <w:vAlign w:val="center"/>
          </w:tcPr>
          <w:p w14:paraId="258594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20万元</w:t>
            </w:r>
          </w:p>
        </w:tc>
        <w:tc>
          <w:tcPr>
            <w:tcW w:w="828" w:type="dxa"/>
            <w:noWrap w:val="0"/>
            <w:vAlign w:val="center"/>
          </w:tcPr>
          <w:p w14:paraId="0A606A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A2E37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309BE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58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9C893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F339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55836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502BEA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6EDF71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62F2AB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590D74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A4EFB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7502D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1E6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91D36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E3528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B3B8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6A3F15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0CC801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6E806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1A93B4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B20AC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550A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0E3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8561D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DBB5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A956E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7EF58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DC0BF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开展铁路安全宣传活动</w:t>
            </w:r>
          </w:p>
        </w:tc>
        <w:tc>
          <w:tcPr>
            <w:tcW w:w="1209" w:type="dxa"/>
            <w:noWrap w:val="0"/>
            <w:vAlign w:val="center"/>
          </w:tcPr>
          <w:p w14:paraId="5A55B0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2次</w:t>
            </w:r>
          </w:p>
        </w:tc>
        <w:tc>
          <w:tcPr>
            <w:tcW w:w="1134" w:type="dxa"/>
            <w:noWrap w:val="0"/>
            <w:vAlign w:val="center"/>
          </w:tcPr>
          <w:p w14:paraId="47F9DC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2次</w:t>
            </w:r>
          </w:p>
        </w:tc>
        <w:tc>
          <w:tcPr>
            <w:tcW w:w="828" w:type="dxa"/>
            <w:noWrap w:val="0"/>
            <w:vAlign w:val="center"/>
          </w:tcPr>
          <w:p w14:paraId="56EE86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3EB25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D491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A7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ED590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2A30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5C725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109070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隐患排查覆盖率</w:t>
            </w:r>
          </w:p>
        </w:tc>
        <w:tc>
          <w:tcPr>
            <w:tcW w:w="1209" w:type="dxa"/>
            <w:noWrap w:val="0"/>
            <w:vAlign w:val="center"/>
          </w:tcPr>
          <w:p w14:paraId="194F17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2FCBDB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113D00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9AEFB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FACC7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3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FD96E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8BC67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B904B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2FF5FC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0E9E79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4DF7B5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43F6BF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B4F90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7E9FA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89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7E81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2FCD1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FE926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F5A79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4E691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ADEAE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发挥专项资金使用效益，服务经济发展</w:t>
            </w:r>
          </w:p>
        </w:tc>
        <w:tc>
          <w:tcPr>
            <w:tcW w:w="1209" w:type="dxa"/>
            <w:noWrap w:val="0"/>
            <w:vAlign w:val="center"/>
          </w:tcPr>
          <w:p w14:paraId="5093FE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243479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70A099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47EEE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7B6FBA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79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E86C8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D93E7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56255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F6E80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77E1B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遏制铁路路外事故,营造安全良好外部环境</w:t>
            </w:r>
          </w:p>
        </w:tc>
        <w:tc>
          <w:tcPr>
            <w:tcW w:w="1209" w:type="dxa"/>
            <w:noWrap w:val="0"/>
            <w:vAlign w:val="center"/>
          </w:tcPr>
          <w:p w14:paraId="359B39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75905C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4DF34F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1ED0F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D23D6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BE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F7336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F012E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42A06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1C61D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97FA5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改善铁路沿线生态环境</w:t>
            </w:r>
          </w:p>
        </w:tc>
        <w:tc>
          <w:tcPr>
            <w:tcW w:w="1209" w:type="dxa"/>
            <w:noWrap w:val="0"/>
            <w:vAlign w:val="center"/>
          </w:tcPr>
          <w:p w14:paraId="1F5702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77A349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3635D0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61329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043A5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75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3111A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D30C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71DB2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793351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持续保障道路运输安全</w:t>
            </w:r>
          </w:p>
        </w:tc>
        <w:tc>
          <w:tcPr>
            <w:tcW w:w="1209" w:type="dxa"/>
            <w:noWrap w:val="0"/>
            <w:vAlign w:val="center"/>
          </w:tcPr>
          <w:p w14:paraId="064DAD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66CD10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1C5C1E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24311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B1F65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AA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ADC2D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2340A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6D7CC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F27DE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D9C24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7CE7ED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社会公众满意度</w:t>
            </w:r>
          </w:p>
        </w:tc>
        <w:tc>
          <w:tcPr>
            <w:tcW w:w="1209" w:type="dxa"/>
            <w:noWrap w:val="0"/>
            <w:vAlign w:val="center"/>
          </w:tcPr>
          <w:p w14:paraId="458E70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4405DE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6F9D3A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C4491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ECCFD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6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E05A6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5D952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A45BC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51C7A3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1250E96">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舒辉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2026.6.17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15386271098 </w:t>
      </w:r>
    </w:p>
    <w:p w14:paraId="2F0991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C8762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F2F4CF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6E59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2862F5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E8C3CD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9A27E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附件3-2</w:t>
      </w:r>
    </w:p>
    <w:p w14:paraId="6280AE8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335BE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24720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56E5E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3E86F5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航线专项经费</w:t>
            </w:r>
          </w:p>
        </w:tc>
      </w:tr>
      <w:tr w14:paraId="39C4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58153D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60917F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怀化市交通运输局</w:t>
            </w:r>
          </w:p>
        </w:tc>
        <w:tc>
          <w:tcPr>
            <w:tcW w:w="1134" w:type="dxa"/>
            <w:noWrap w:val="0"/>
            <w:vAlign w:val="center"/>
          </w:tcPr>
          <w:p w14:paraId="669273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6CC7E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怀化市综合交通运输协调服务中心　</w:t>
            </w:r>
          </w:p>
        </w:tc>
      </w:tr>
      <w:tr w14:paraId="63F3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27C4DC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4577D4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7FCEF6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DF69B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1CEF6A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34F7D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2016CB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AFAFB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73DA9B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18A86C0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763519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C1F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B30D9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31322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44ACD8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p>
        </w:tc>
        <w:tc>
          <w:tcPr>
            <w:tcW w:w="1209" w:type="dxa"/>
            <w:noWrap w:val="0"/>
            <w:vAlign w:val="center"/>
          </w:tcPr>
          <w:p w14:paraId="770058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34" w:type="dxa"/>
            <w:noWrap w:val="0"/>
            <w:vAlign w:val="center"/>
          </w:tcPr>
          <w:p w14:paraId="67C747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28" w:type="dxa"/>
            <w:noWrap w:val="0"/>
            <w:vAlign w:val="center"/>
          </w:tcPr>
          <w:p w14:paraId="269EC4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33F9B9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78B8DC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5DB8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7A3D1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11F56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19FD63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09" w:type="dxa"/>
            <w:noWrap w:val="0"/>
            <w:vAlign w:val="center"/>
          </w:tcPr>
          <w:p w14:paraId="5EC6FC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34" w:type="dxa"/>
            <w:noWrap w:val="0"/>
            <w:vAlign w:val="center"/>
          </w:tcPr>
          <w:p w14:paraId="5E3977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28" w:type="dxa"/>
            <w:noWrap w:val="0"/>
            <w:vAlign w:val="center"/>
          </w:tcPr>
          <w:p w14:paraId="2C6103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217AC7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20028B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105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6C53F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9F8E0F5">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6A40E6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5FA1D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62A57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7F9C1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C2398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132D4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9E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8221F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6F20B59">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17CF59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9D833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BFCD7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612DEE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6894C8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2CA8B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F6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67A3A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579CBF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40F443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6FD7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0BA1F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15E51808">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培育机制不断健全，航线网络持续优化。立足民航有效支撑，着力构建“干支结合、多点辐射”的航线格局，2025年新增“怀化=上海”航线，全年累计运营7条航线，稳定运营4条航线，覆盖北京、上海、西安、三亚、丽江等11个核心枢纽与旅游热点城市，构建了长三角、成渝经济圈的空中通道。完成“杭州=怀化=丽江”“北京大兴=怀化”航线续签工作，并成功洽谈了“杭州=怀化=丽江”、“西安=怀化=海口”航线补贴标准退坡下浮。截至12月底，完成旅客吞吐量41.7万人次（同比下降5.7%，航线补贴支出9456余万元，同比下降6%）。同时，积极配合市人大开展怀化市2024年度交通事业发展资金（航线补贴）绩效评价工作，经综合评价为“良好”，并以此为契机进一步规范了航线开发培育机制、补贴标准，充分发挥补贴资金最大效益。　</w:t>
            </w:r>
          </w:p>
        </w:tc>
        <w:tc>
          <w:tcPr>
            <w:tcW w:w="4253" w:type="dxa"/>
            <w:gridSpan w:val="4"/>
            <w:noWrap w:val="0"/>
            <w:vAlign w:val="center"/>
          </w:tcPr>
          <w:p w14:paraId="5D493CA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培育机制不断健全，航线网络持续优化。立足民航有效支撑，着力构建“干支结合、多点辐射”的航线格局，2025年新增“怀化=上海”航线，全年累计运营7条航线，稳定运营4条航线，覆盖北京、上海、西安、三亚、丽江等11个核心枢纽与旅游热点城市，构建了长三角、成渝经济圈的空中通道。完成“杭州=怀化=丽江”“北京大兴=怀化”航线续签工作，并成功洽谈了“杭州=怀化=丽江”、“西安=怀化=海口”航线补贴标准退坡下浮。截至12月底，完成旅客吞吐量41.7万人次（同比下降5.7%，航线补贴支出9456余万元，同比下降6%）。同时，积极配合市人大开展怀化市2024年度交通事业发展资金（航线补贴）绩效评价工作，经综合评价为“良好”，并以此为契机进一步规范了航线开发培育机制、补贴标准，充分发挥补贴资金最大效益。</w:t>
            </w:r>
          </w:p>
        </w:tc>
      </w:tr>
      <w:tr w14:paraId="63DC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5A9C1E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2D5E9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56309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1FFF7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011318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BBB3D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50A49E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41FC80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DD1E6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762AEA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155DA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FC682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69E598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3D931F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1B03E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31DA00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445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1B1303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FE825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0192F3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6C7208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航线专项经费</w:t>
            </w:r>
          </w:p>
        </w:tc>
        <w:tc>
          <w:tcPr>
            <w:tcW w:w="1209" w:type="dxa"/>
            <w:noWrap w:val="0"/>
            <w:vAlign w:val="center"/>
          </w:tcPr>
          <w:p w14:paraId="6E3370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10万元</w:t>
            </w:r>
          </w:p>
        </w:tc>
        <w:tc>
          <w:tcPr>
            <w:tcW w:w="1134" w:type="dxa"/>
            <w:noWrap w:val="0"/>
            <w:vAlign w:val="center"/>
          </w:tcPr>
          <w:p w14:paraId="3AB362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10万元</w:t>
            </w:r>
          </w:p>
        </w:tc>
        <w:tc>
          <w:tcPr>
            <w:tcW w:w="828" w:type="dxa"/>
            <w:noWrap w:val="0"/>
            <w:vAlign w:val="center"/>
          </w:tcPr>
          <w:p w14:paraId="1FE7FE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A1AB4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5EE90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C78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E406C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48CE5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7D85F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6FA7B6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7B242A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2502AE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375D7A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69D24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5746F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5D5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19098E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E68B4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F8825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199002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720B35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815D0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3AEE83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C6083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AE9F9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B57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3C110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FBDB3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03A3B2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3AA49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58FB7F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发现并整改隐患项数</w:t>
            </w:r>
          </w:p>
        </w:tc>
        <w:tc>
          <w:tcPr>
            <w:tcW w:w="1209" w:type="dxa"/>
            <w:noWrap w:val="0"/>
            <w:vAlign w:val="center"/>
          </w:tcPr>
          <w:p w14:paraId="3E8FA2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28项</w:t>
            </w:r>
          </w:p>
        </w:tc>
        <w:tc>
          <w:tcPr>
            <w:tcW w:w="1134" w:type="dxa"/>
            <w:noWrap w:val="0"/>
            <w:vAlign w:val="center"/>
          </w:tcPr>
          <w:p w14:paraId="2BB563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28项</w:t>
            </w:r>
          </w:p>
        </w:tc>
        <w:tc>
          <w:tcPr>
            <w:tcW w:w="828" w:type="dxa"/>
            <w:noWrap w:val="0"/>
            <w:vAlign w:val="center"/>
          </w:tcPr>
          <w:p w14:paraId="1EA9CEB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7C034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F1649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8C9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4D381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D55EA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1BE9A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6F76C3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隐患排查覆盖率</w:t>
            </w:r>
          </w:p>
        </w:tc>
        <w:tc>
          <w:tcPr>
            <w:tcW w:w="1209" w:type="dxa"/>
            <w:noWrap w:val="0"/>
            <w:vAlign w:val="center"/>
          </w:tcPr>
          <w:p w14:paraId="2F429B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455E6D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53FAF6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D039E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D1735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FB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5F6A2F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0E166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31B57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57FD43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5F7387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326444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018403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E85FA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86834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96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39BE9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7323C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137CDA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E43EF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560DE0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774F7F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发挥专项资金使用效益，服务经济发展</w:t>
            </w:r>
          </w:p>
        </w:tc>
        <w:tc>
          <w:tcPr>
            <w:tcW w:w="1209" w:type="dxa"/>
            <w:noWrap w:val="0"/>
            <w:vAlign w:val="center"/>
          </w:tcPr>
          <w:p w14:paraId="332AEB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5C2177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0BD074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3893E6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A8B09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DE2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00C77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E62AB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30ED9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52988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365A6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遏制航线路外事故</w:t>
            </w:r>
          </w:p>
        </w:tc>
        <w:tc>
          <w:tcPr>
            <w:tcW w:w="1209" w:type="dxa"/>
            <w:noWrap w:val="0"/>
            <w:vAlign w:val="center"/>
          </w:tcPr>
          <w:p w14:paraId="3A15FB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11E47D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6DCB00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5B45A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3EC62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424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79BB9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5362D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F8D42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2ED75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B20B9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改善航线沿线生态环境</w:t>
            </w:r>
          </w:p>
        </w:tc>
        <w:tc>
          <w:tcPr>
            <w:tcW w:w="1209" w:type="dxa"/>
            <w:noWrap w:val="0"/>
            <w:vAlign w:val="center"/>
          </w:tcPr>
          <w:p w14:paraId="6CEF7C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1985BB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68A019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6E820F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A0041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24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30E7F00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11C897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3FB94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63B03F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培育机制不断健全，航线网络持续优化</w:t>
            </w:r>
          </w:p>
        </w:tc>
        <w:tc>
          <w:tcPr>
            <w:tcW w:w="1209" w:type="dxa"/>
            <w:noWrap w:val="0"/>
            <w:vAlign w:val="center"/>
          </w:tcPr>
          <w:p w14:paraId="1B9F72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68779F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7B7EA9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02DCD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2A49B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784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2C959C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6EBAC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44D62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D8E9E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6D0803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5055A0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社会公众满意度</w:t>
            </w:r>
          </w:p>
        </w:tc>
        <w:tc>
          <w:tcPr>
            <w:tcW w:w="1209" w:type="dxa"/>
            <w:noWrap w:val="0"/>
            <w:vAlign w:val="center"/>
          </w:tcPr>
          <w:p w14:paraId="0FFBE5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3DAAFA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2BB57F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3AE78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68126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C38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2062A2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17443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8AB19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228781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E2AC38A">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舒辉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2026.6.17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15386271098 </w:t>
      </w:r>
    </w:p>
    <w:p w14:paraId="7F4A2024">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p>
    <w:p w14:paraId="4F0703DD">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72E2A31B">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6395788B">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4983D5CE">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2289D717">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16243351">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5105870D">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3B83C2D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embedRegular r:id="rId1" w:fontKey="{5956BDD4-0E9A-4C81-8C12-FAD8757988A1}"/>
  </w:font>
  <w:font w:name="微软雅黑">
    <w:panose1 w:val="020B0503020204020204"/>
    <w:charset w:val="86"/>
    <w:family w:val="auto"/>
    <w:pitch w:val="default"/>
    <w:sig w:usb0="80000287" w:usb1="280F3C52" w:usb2="00000016" w:usb3="00000000" w:csb0="0004001F" w:csb1="00000000"/>
  </w:font>
  <w:font w:name="方正黑体_GBK">
    <w:altName w:val="微软雅黑"/>
    <w:panose1 w:val="02000000000000000000"/>
    <w:charset w:val="86"/>
    <w:family w:val="auto"/>
    <w:pitch w:val="default"/>
    <w:sig w:usb0="00000000" w:usb1="00000000" w:usb2="00000000" w:usb3="00000000" w:csb0="00040000" w:csb1="00000000"/>
    <w:embedRegular r:id="rId2" w:fontKey="{2193D2DD-19F6-4E7B-B4EE-B66675191C2F}"/>
  </w:font>
  <w:font w:name="Times New Roman Regular">
    <w:altName w:val="Times New Roman"/>
    <w:panose1 w:val="02020603050405020304"/>
    <w:charset w:val="00"/>
    <w:family w:val="auto"/>
    <w:pitch w:val="default"/>
    <w:sig w:usb0="00000000" w:usb1="00000000" w:usb2="00000009" w:usb3="00000000" w:csb0="400001FF" w:csb1="FFFF0000"/>
    <w:embedRegular r:id="rId3" w:fontKey="{424A26CA-5C7C-4E9A-92C2-7E7509F28A8F}"/>
  </w:font>
  <w:font w:name="仿宋_GB2312">
    <w:panose1 w:val="02010609030101010101"/>
    <w:charset w:val="86"/>
    <w:family w:val="auto"/>
    <w:pitch w:val="default"/>
    <w:sig w:usb0="00000001" w:usb1="080E0000" w:usb2="00000000" w:usb3="00000000" w:csb0="00040000" w:csb1="00000000"/>
    <w:embedRegular r:id="rId4" w:fontKey="{74D0B8AF-38EA-4949-B0E6-1085BE3A9AE4}"/>
  </w:font>
  <w:font w:name="仿宋">
    <w:panose1 w:val="02010609060101010101"/>
    <w:charset w:val="86"/>
    <w:family w:val="auto"/>
    <w:pitch w:val="default"/>
    <w:sig w:usb0="800002BF" w:usb1="38CF7CFA" w:usb2="00000016" w:usb3="00000000" w:csb0="00040001" w:csb1="00000000"/>
    <w:embedRegular r:id="rId5" w:fontKey="{4376D015-7F30-4B25-9803-68F96F301119}"/>
  </w:font>
  <w:font w:name="方正小标宋简体">
    <w:panose1 w:val="02010600010101010101"/>
    <w:charset w:val="86"/>
    <w:family w:val="auto"/>
    <w:pitch w:val="default"/>
    <w:sig w:usb0="00000001" w:usb1="080E0000" w:usb2="00000000" w:usb3="00000000" w:csb0="00040000" w:csb1="00000000"/>
    <w:embedRegular r:id="rId6" w:fontKey="{19E8703C-83E1-4198-964A-225B4FC0DB4F}"/>
  </w:font>
  <w:font w:name="WPSEMBED1">
    <w:panose1 w:val="02010609030101010101"/>
    <w:charset w:val="86"/>
    <w:family w:val="auto"/>
    <w:pitch w:val="default"/>
    <w:sig w:usb0="00000001" w:usb1="080E0000" w:usb2="00000000" w:usb3="00000000" w:csb0="00040000" w:csb1="00000000"/>
  </w:font>
  <w:font w:name="WPSEMBED2">
    <w:panose1 w:val="0201060001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21C083"/>
    <w:multiLevelType w:val="singleLevel"/>
    <w:tmpl w:val="D821C083"/>
    <w:lvl w:ilvl="0" w:tentative="0">
      <w:start w:val="10"/>
      <w:numFmt w:val="chineseCounting"/>
      <w:suff w:val="nothing"/>
      <w:lvlText w:val="%1、"/>
      <w:lvlJc w:val="left"/>
      <w:rPr>
        <w:rFonts w:hint="eastAsia"/>
      </w:rPr>
    </w:lvl>
  </w:abstractNum>
  <w:abstractNum w:abstractNumId="1">
    <w:nsid w:val="EF9ACD88"/>
    <w:multiLevelType w:val="singleLevel"/>
    <w:tmpl w:val="EF9ACD88"/>
    <w:lvl w:ilvl="0" w:tentative="0">
      <w:start w:val="5"/>
      <w:numFmt w:val="chineseCounting"/>
      <w:suff w:val="nothing"/>
      <w:lvlText w:val="%1、"/>
      <w:lvlJc w:val="left"/>
      <w:rPr>
        <w:rFonts w:hint="eastAsia"/>
      </w:rPr>
    </w:lvl>
  </w:abstractNum>
  <w:abstractNum w:abstractNumId="2">
    <w:nsid w:val="7397FF63"/>
    <w:multiLevelType w:val="singleLevel"/>
    <w:tmpl w:val="7397FF63"/>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1176E30"/>
    <w:rsid w:val="022950E4"/>
    <w:rsid w:val="023C4E17"/>
    <w:rsid w:val="02427F54"/>
    <w:rsid w:val="02C646E1"/>
    <w:rsid w:val="037E4FBC"/>
    <w:rsid w:val="038A570F"/>
    <w:rsid w:val="04363AE8"/>
    <w:rsid w:val="04B54A0D"/>
    <w:rsid w:val="04BC3FEE"/>
    <w:rsid w:val="04DA26C6"/>
    <w:rsid w:val="04F75026"/>
    <w:rsid w:val="05E95AA6"/>
    <w:rsid w:val="066C559F"/>
    <w:rsid w:val="07470275"/>
    <w:rsid w:val="08FF094D"/>
    <w:rsid w:val="09E518F1"/>
    <w:rsid w:val="0A3E54A5"/>
    <w:rsid w:val="0C180A78"/>
    <w:rsid w:val="0D276746"/>
    <w:rsid w:val="0D464D9C"/>
    <w:rsid w:val="0DD52794"/>
    <w:rsid w:val="0E8A2A67"/>
    <w:rsid w:val="0E956870"/>
    <w:rsid w:val="0F87169C"/>
    <w:rsid w:val="104135F9"/>
    <w:rsid w:val="10B4201D"/>
    <w:rsid w:val="10C666A5"/>
    <w:rsid w:val="11335637"/>
    <w:rsid w:val="1139344F"/>
    <w:rsid w:val="1223366A"/>
    <w:rsid w:val="122356AC"/>
    <w:rsid w:val="12F72695"/>
    <w:rsid w:val="13AF13FA"/>
    <w:rsid w:val="143877FD"/>
    <w:rsid w:val="14B80712"/>
    <w:rsid w:val="16135A37"/>
    <w:rsid w:val="161377E5"/>
    <w:rsid w:val="1787048B"/>
    <w:rsid w:val="17982698"/>
    <w:rsid w:val="17FCFFF6"/>
    <w:rsid w:val="182201B4"/>
    <w:rsid w:val="1867206B"/>
    <w:rsid w:val="19DC4392"/>
    <w:rsid w:val="19E805B2"/>
    <w:rsid w:val="19E971DB"/>
    <w:rsid w:val="1B656D35"/>
    <w:rsid w:val="1CBF872E"/>
    <w:rsid w:val="1F242A63"/>
    <w:rsid w:val="1F4629DA"/>
    <w:rsid w:val="1FA85442"/>
    <w:rsid w:val="1FDB75C6"/>
    <w:rsid w:val="20875058"/>
    <w:rsid w:val="20BF2615"/>
    <w:rsid w:val="21E64000"/>
    <w:rsid w:val="22FE234B"/>
    <w:rsid w:val="22FE4C9E"/>
    <w:rsid w:val="23046E34"/>
    <w:rsid w:val="26647BE9"/>
    <w:rsid w:val="277E6F02"/>
    <w:rsid w:val="278A3680"/>
    <w:rsid w:val="27D668C5"/>
    <w:rsid w:val="28BA7F95"/>
    <w:rsid w:val="295839C9"/>
    <w:rsid w:val="29990575"/>
    <w:rsid w:val="2A9C22E7"/>
    <w:rsid w:val="2ABF13A7"/>
    <w:rsid w:val="2AF6742D"/>
    <w:rsid w:val="2C2C11A9"/>
    <w:rsid w:val="2C8763E0"/>
    <w:rsid w:val="2D5269EE"/>
    <w:rsid w:val="2D7352E2"/>
    <w:rsid w:val="2E47051C"/>
    <w:rsid w:val="2E8C4181"/>
    <w:rsid w:val="2EFE6E2D"/>
    <w:rsid w:val="3126266B"/>
    <w:rsid w:val="312A2265"/>
    <w:rsid w:val="316867E0"/>
    <w:rsid w:val="32851613"/>
    <w:rsid w:val="32BD0DAD"/>
    <w:rsid w:val="33022C64"/>
    <w:rsid w:val="333F3E43"/>
    <w:rsid w:val="349A13A6"/>
    <w:rsid w:val="34E268A9"/>
    <w:rsid w:val="36235561"/>
    <w:rsid w:val="36FC0F5D"/>
    <w:rsid w:val="371C2AA8"/>
    <w:rsid w:val="375773F8"/>
    <w:rsid w:val="3814146F"/>
    <w:rsid w:val="390C2146"/>
    <w:rsid w:val="393E32BB"/>
    <w:rsid w:val="3B4756B8"/>
    <w:rsid w:val="3B8C756F"/>
    <w:rsid w:val="3BDA477E"/>
    <w:rsid w:val="3C3C0F95"/>
    <w:rsid w:val="3C8A7F52"/>
    <w:rsid w:val="3D6562C9"/>
    <w:rsid w:val="3D8175A7"/>
    <w:rsid w:val="3EFDDE87"/>
    <w:rsid w:val="40167D4F"/>
    <w:rsid w:val="40BF3F42"/>
    <w:rsid w:val="40CD2B03"/>
    <w:rsid w:val="419B2857"/>
    <w:rsid w:val="41D71DA8"/>
    <w:rsid w:val="41FD2F74"/>
    <w:rsid w:val="4226013B"/>
    <w:rsid w:val="431247FD"/>
    <w:rsid w:val="43721740"/>
    <w:rsid w:val="437E00E5"/>
    <w:rsid w:val="4440539A"/>
    <w:rsid w:val="45352A25"/>
    <w:rsid w:val="47541888"/>
    <w:rsid w:val="4A05330E"/>
    <w:rsid w:val="4A791606"/>
    <w:rsid w:val="4AEB42B2"/>
    <w:rsid w:val="4B0D06CC"/>
    <w:rsid w:val="4B75001F"/>
    <w:rsid w:val="4BD72A88"/>
    <w:rsid w:val="4BF90C50"/>
    <w:rsid w:val="4C082C41"/>
    <w:rsid w:val="4C6611ED"/>
    <w:rsid w:val="4CBE77A4"/>
    <w:rsid w:val="4CC0176E"/>
    <w:rsid w:val="4CCE3E8B"/>
    <w:rsid w:val="4D5D3BD3"/>
    <w:rsid w:val="4E1A6C5C"/>
    <w:rsid w:val="4E3F66C2"/>
    <w:rsid w:val="4EB7F892"/>
    <w:rsid w:val="4FE47521"/>
    <w:rsid w:val="4FE92D8A"/>
    <w:rsid w:val="50A078EC"/>
    <w:rsid w:val="51181B78"/>
    <w:rsid w:val="5192701A"/>
    <w:rsid w:val="52281D18"/>
    <w:rsid w:val="52354064"/>
    <w:rsid w:val="54E16725"/>
    <w:rsid w:val="552A0475"/>
    <w:rsid w:val="55517407"/>
    <w:rsid w:val="55BE25C3"/>
    <w:rsid w:val="55BF2BBE"/>
    <w:rsid w:val="57633422"/>
    <w:rsid w:val="578D10CB"/>
    <w:rsid w:val="581B5AAA"/>
    <w:rsid w:val="5A5915AC"/>
    <w:rsid w:val="5A6D1407"/>
    <w:rsid w:val="5ABBC979"/>
    <w:rsid w:val="5BFC7B3B"/>
    <w:rsid w:val="5C180C7F"/>
    <w:rsid w:val="5C8E0F41"/>
    <w:rsid w:val="5CD32DF8"/>
    <w:rsid w:val="5D327B1E"/>
    <w:rsid w:val="5E6934F3"/>
    <w:rsid w:val="5E77C7C6"/>
    <w:rsid w:val="5FFFAAE0"/>
    <w:rsid w:val="61C947C9"/>
    <w:rsid w:val="61FA4982"/>
    <w:rsid w:val="628030DA"/>
    <w:rsid w:val="63035AB9"/>
    <w:rsid w:val="631F0B45"/>
    <w:rsid w:val="636B3D8A"/>
    <w:rsid w:val="648570CD"/>
    <w:rsid w:val="65A16D5F"/>
    <w:rsid w:val="66287D10"/>
    <w:rsid w:val="66347B2F"/>
    <w:rsid w:val="667FD72C"/>
    <w:rsid w:val="676E3E49"/>
    <w:rsid w:val="686D5EAE"/>
    <w:rsid w:val="68866F70"/>
    <w:rsid w:val="689C49E5"/>
    <w:rsid w:val="6A12486A"/>
    <w:rsid w:val="6AA67D9D"/>
    <w:rsid w:val="6ABE64BE"/>
    <w:rsid w:val="6ACE7B92"/>
    <w:rsid w:val="6B106FC5"/>
    <w:rsid w:val="6B5F16C5"/>
    <w:rsid w:val="6CDC1854"/>
    <w:rsid w:val="6CF22E26"/>
    <w:rsid w:val="6CF3EA5A"/>
    <w:rsid w:val="6E9126F0"/>
    <w:rsid w:val="6EE844E0"/>
    <w:rsid w:val="6F2D45E9"/>
    <w:rsid w:val="6FDC1B6B"/>
    <w:rsid w:val="71A32941"/>
    <w:rsid w:val="71A90288"/>
    <w:rsid w:val="72563E57"/>
    <w:rsid w:val="73B9644B"/>
    <w:rsid w:val="74082F2F"/>
    <w:rsid w:val="748C0004"/>
    <w:rsid w:val="74B12652"/>
    <w:rsid w:val="74D15A17"/>
    <w:rsid w:val="753C4E9B"/>
    <w:rsid w:val="7592164A"/>
    <w:rsid w:val="75EF25F8"/>
    <w:rsid w:val="763224E5"/>
    <w:rsid w:val="769B7804"/>
    <w:rsid w:val="76B33626"/>
    <w:rsid w:val="7731279D"/>
    <w:rsid w:val="77444BC6"/>
    <w:rsid w:val="775B5A6C"/>
    <w:rsid w:val="779FCBF0"/>
    <w:rsid w:val="77D870BC"/>
    <w:rsid w:val="77F7E21B"/>
    <w:rsid w:val="781113A7"/>
    <w:rsid w:val="791E6510"/>
    <w:rsid w:val="79E2F975"/>
    <w:rsid w:val="7A434CC1"/>
    <w:rsid w:val="7B3BDBF2"/>
    <w:rsid w:val="7B4056A4"/>
    <w:rsid w:val="7C8D4A41"/>
    <w:rsid w:val="7E462FD2"/>
    <w:rsid w:val="7E540BF3"/>
    <w:rsid w:val="7EBDCBBF"/>
    <w:rsid w:val="7EC74CC1"/>
    <w:rsid w:val="7EE6408F"/>
    <w:rsid w:val="7F3EB32E"/>
    <w:rsid w:val="7F5F3F3B"/>
    <w:rsid w:val="7F5FE5E8"/>
    <w:rsid w:val="7F7FC8C5"/>
    <w:rsid w:val="7F961D37"/>
    <w:rsid w:val="7FF54CAF"/>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autoRedefine/>
    <w:unhideWhenUsed/>
    <w:qFormat/>
    <w:uiPriority w:val="0"/>
    <w:pPr>
      <w:spacing w:beforeLines="0" w:afterLines="0"/>
      <w:ind w:firstLine="640" w:firstLineChars="200"/>
    </w:pPr>
    <w:rPr>
      <w:rFonts w:hint="default"/>
      <w:sz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autoRedefine/>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autoRedefine/>
    <w:qFormat/>
    <w:uiPriority w:val="0"/>
    <w:rPr>
      <w:rFonts w:eastAsia="黑体"/>
    </w:rPr>
  </w:style>
  <w:style w:type="paragraph" w:customStyle="1" w:styleId="12">
    <w:name w:val="首行缩进"/>
    <w:basedOn w:val="1"/>
    <w:autoRedefine/>
    <w:qFormat/>
    <w:uiPriority w:val="0"/>
    <w:pPr>
      <w:ind w:firstLine="480" w:firstLineChars="200"/>
    </w:pPr>
    <w:rPr>
      <w:lang w:val="zh-CN"/>
    </w:rPr>
  </w:style>
  <w:style w:type="paragraph" w:customStyle="1" w:styleId="13">
    <w:name w:val="table of authorities1"/>
    <w:basedOn w:val="1"/>
    <w:next w:val="1"/>
    <w:qFormat/>
    <w:uiPriority w:val="0"/>
    <w:pPr>
      <w:widowControl w:val="0"/>
      <w:ind w:left="200" w:leftChars="200"/>
      <w:jc w:val="both"/>
    </w:pPr>
    <w:rPr>
      <w:rFonts w:ascii="Times New Roman" w:hAnsi="Times New Roman" w:eastAsia="宋体" w:cs="Times New Roman"/>
      <w:kern w:val="2"/>
      <w:sz w:val="21"/>
      <w:szCs w:val="21"/>
      <w:lang w:val="en-US" w:eastAsia="zh-CN"/>
    </w:rPr>
  </w:style>
  <w:style w:type="paragraph" w:customStyle="1" w:styleId="14">
    <w:name w:val="UserStyle_0"/>
    <w:basedOn w:val="1"/>
    <w:qFormat/>
    <w:uiPriority w:val="0"/>
    <w:pPr>
      <w:widowControl/>
      <w:ind w:firstLine="420" w:firstLineChars="200"/>
      <w:jc w:val="left"/>
      <w:textAlignment w:val="baseline"/>
    </w:pPr>
    <w:rPr>
      <w:rFonts w:ascii="宋体" w:hAnsi="宋体"/>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7733</Words>
  <Characters>8495</Characters>
  <Lines>0</Lines>
  <Paragraphs>0</Paragraphs>
  <TotalTime>12</TotalTime>
  <ScaleCrop>false</ScaleCrop>
  <LinksUpToDate>false</LinksUpToDate>
  <CharactersWithSpaces>8927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誓言</cp:lastModifiedBy>
  <cp:lastPrinted>2026-03-25T02:10:00Z</cp:lastPrinted>
  <dcterms:modified xsi:type="dcterms:W3CDTF">2026-09-21T02:06:43Z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2E59967559EAD85B47E0F5671AAD0169_43</vt:lpwstr>
  </property>
  <property fmtid="{D5CDD505-2E9C-101B-9397-08002B2CF9AE}" pid="4" name="KSOTemplateDocerSaveRecord">
    <vt:lpwstr>eyJoZGlkIjoiNWZlNGJjN2QzYTBiY2Y4Yjg2NjVmNjVkNTZjNWI5ZDkiLCJ1c2VySWQiOiI3NDY3MDE4ODYifQ==</vt:lpwstr>
  </property>
</Properties>
</file>