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39887">
      <w:pPr>
        <w:jc w:val="center"/>
        <w:rPr>
          <w:rFonts w:hint="eastAsia" w:ascii="方正小标宋简体" w:hAnsi="Arial" w:eastAsia="方正小标宋简体" w:cs="Arial"/>
          <w:sz w:val="40"/>
          <w:szCs w:val="40"/>
        </w:rPr>
      </w:pP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5A0365E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6C64C3C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本部门项目支出构成包括铁路安全整治专项经费、航线专项经费。其中，铁路安全整治专项经费年初总预算20万元，预算执行20万元，执行率100%；航线专项经费总预算10万元，预算执行10万元，执行率100%。</w:t>
      </w:r>
    </w:p>
    <w:p w14:paraId="40A7943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1151AB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怀化市财政局关于开展2025年度市级预算部门绩效自评和部门评价的通知》（怀财绩〔2026〕36号）要求，本单位对2025年度全部项目资金开展自评，主要包括铁路安全整治专项经费、航线专项经费2个项目。严格对照项目绩效评价指标全面开展自评工作，梳理项目立项、实施、资金拨付及产出成效资料，逐项核对目标完成情况。认真查摆实施过程短板不足，细化问题成因，制定整改举措。完整归集佐证材料，规范撰写自评报告，客观反映项目实施成效，确保自评数据真实、评价客观、整改到位。</w:t>
      </w:r>
    </w:p>
    <w:p w14:paraId="5D5647A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1FF62F5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（一）项目支出单位自评分数情况及分析</w:t>
      </w:r>
    </w:p>
    <w:p w14:paraId="1FD474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自评总分及构成：总分100分，其中，项目年度资金预算执行数10分，成本指标20分，产出指标30分，效益指标30分，满意度指标10分。2个项目综合评分100分。</w:t>
      </w:r>
    </w:p>
    <w:p w14:paraId="2A308B7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（二）预算执行情况分析</w:t>
      </w:r>
    </w:p>
    <w:p w14:paraId="06E4F5A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铁路安全整治专项经费年初总预算20万元，预算执行20万元，执行率100%；航线专项经费总预算10万元，预算执行10万元，执行率100%。总体执行率合理，单位内部会继续加强预算动态监控，定期调整预算执行率。</w:t>
      </w:r>
    </w:p>
    <w:p w14:paraId="7BC989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（三）资金管理情况分析</w:t>
      </w:r>
    </w:p>
    <w:p w14:paraId="7F75C9D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1、资金来源及拨付流程</w:t>
      </w:r>
    </w:p>
    <w:p w14:paraId="2A543C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2025年本单位专项项目资金年初预算项目资金20万元，年中追加资金10万元，资金来源是市财政局拨款，2025年从一般公共预算财政拨款资金安排经费，资金拨付按月度下拨。</w:t>
      </w:r>
    </w:p>
    <w:p w14:paraId="382111E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2、资金执行情况</w:t>
      </w:r>
    </w:p>
    <w:p w14:paraId="0194811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2025年本单位专项项目资金指标金额20万元，年中追加航线专项经费10万元，总项目资金30万元，实际支出金额30万元，资金执行率100%，具体如下：</w:t>
      </w:r>
    </w:p>
    <w:p w14:paraId="5987A88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铁路安全整治专项经费年初总预算20万元，实际支出资金20万元，资金执行率100%；</w:t>
      </w:r>
    </w:p>
    <w:p w14:paraId="32DDF18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航线专项经费总预算10万元，实际支出资金10万元，资金执行率100%。</w:t>
      </w:r>
    </w:p>
    <w:p w14:paraId="1FE447F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3、资金使用情况</w:t>
      </w:r>
    </w:p>
    <w:p w14:paraId="39C9BF1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所有资金均按计划使用，于2025年12月前全部完成拨付，专款专用，无截留、挤占、挪用等现象，会计核算真实、完整，用款程序规范，结算及时，符合相关规定。</w:t>
      </w:r>
    </w:p>
    <w:p w14:paraId="0CCA6A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4、资金管理制度</w:t>
      </w:r>
    </w:p>
    <w:p w14:paraId="3AE1A7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4EB241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（四）总体绩效目标完成情况分析</w:t>
      </w:r>
    </w:p>
    <w:p w14:paraId="3E9D16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2025年总体绩效目标设定为：</w:t>
      </w:r>
    </w:p>
    <w:p w14:paraId="26D5CC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成本目标：项目成本控制在年初预算范围内。</w:t>
      </w:r>
    </w:p>
    <w:p w14:paraId="516F89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产出目标：今年来，为压减我市铁路路外伤亡事故，通过政策引导、工程治理、基层联动多维度推进，取得一定成效，全年铁路路伤事故6起（其中非封闭路段3起，封闭路段3起，全部定性为自杀）较2024年下降33%，超额完成“下降30%”的省级目标。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p>
    <w:p w14:paraId="7F36CB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效益指标：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p>
    <w:p w14:paraId="4CCFB0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满意度指标：服务满意度≥90%。</w:t>
      </w:r>
    </w:p>
    <w:p w14:paraId="63F6CDCB">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项目自评发现的问题及整改措施</w:t>
      </w:r>
    </w:p>
    <w:p w14:paraId="08E7C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项目自评发现的问题：绩效自评过程中存在协同机制问题，责任分工模糊，不明确。</w:t>
      </w:r>
    </w:p>
    <w:p w14:paraId="0321BF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整改措施：加强单位人员责任分工，明确责任职责，具体到项目、环节、数据等信息，避免管理不到位等问题。</w:t>
      </w:r>
    </w:p>
    <w:p w14:paraId="69C528F4">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项目自评工作建议及预算安排建议</w:t>
      </w:r>
    </w:p>
    <w:p w14:paraId="0E34B9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1、建立健全预算绩效自评制度</w:t>
      </w:r>
    </w:p>
    <w:p w14:paraId="2F3E84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制定预算绩效自评工作管理办法，明确自评范围、程序、方法和要求。将预算绩效自评工作纳入财政预算管理全过程。建立预算绩效自评工作领导小组，加强组织领导。</w:t>
      </w:r>
    </w:p>
    <w:p w14:paraId="22B66D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2、制定合理的预算计划</w:t>
      </w:r>
    </w:p>
    <w:p w14:paraId="687A771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4F4259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3、实施有效的预算管控</w:t>
      </w:r>
    </w:p>
    <w:p w14:paraId="2A233D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预算计划需要得到有效的管控，确保预算的按照计划进行，以达到经济目标和绩效目标。在预算管控中，应该对经济活动的各个环节进行监控，及时发现可能存在的风险，采取有效措施加以控制。</w:t>
      </w:r>
    </w:p>
    <w:p w14:paraId="32F85780">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104780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无其他需要说明的问题。</w:t>
      </w:r>
    </w:p>
    <w:p w14:paraId="0233650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1D29E9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505812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C557C0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E6BE3B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89BF96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B0551B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29F828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3A3A1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7C432B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CDABBD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6F3C19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39479F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2B2309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5FBD47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A45DF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A0AF68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3BC5EF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w:t>
      </w: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6</w:t>
      </w:r>
    </w:p>
    <w:p w14:paraId="2E4394E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pPr>
      <w:r>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t>怀化市综合交通运输协调服务中心</w:t>
      </w:r>
      <w:r>
        <w:rPr>
          <w:rFonts w:hint="eastAsia" w:ascii="方正小标宋_GBK" w:hAnsi="方正小标宋_GBK" w:eastAsia="方正小标宋_GBK" w:cs="方正小标宋_GBK"/>
          <w:i w:val="0"/>
          <w:iCs w:val="0"/>
          <w:caps w:val="0"/>
          <w:color w:val="000000"/>
          <w:spacing w:val="0"/>
          <w:kern w:val="0"/>
          <w:sz w:val="36"/>
          <w:szCs w:val="36"/>
          <w:shd w:val="clear" w:fill="FFFFFF"/>
          <w:lang w:val="en-US" w:eastAsia="zh-CN" w:bidi="ar"/>
        </w:rPr>
        <w:t>2025</w:t>
      </w:r>
      <w:r>
        <w:rPr>
          <w:rFonts w:hint="default" w:ascii="方正小标宋_GBK" w:hAnsi="方正小标宋_GBK" w:eastAsia="方正小标宋_GBK" w:cs="方正小标宋_GBK"/>
          <w:i w:val="0"/>
          <w:iCs w:val="0"/>
          <w:caps w:val="0"/>
          <w:color w:val="000000"/>
          <w:spacing w:val="0"/>
          <w:kern w:val="0"/>
          <w:sz w:val="36"/>
          <w:szCs w:val="36"/>
          <w:shd w:val="clear" w:fill="FFFFFF"/>
          <w:lang w:val="en-US" w:eastAsia="zh-CN" w:bidi="ar"/>
        </w:rPr>
        <w:t>年度铁路安全整治专项经费项目支出绩效自评报告</w:t>
      </w:r>
    </w:p>
    <w:p w14:paraId="40EDF01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01EFDAD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14:paraId="38D42AD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14:paraId="57977B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1.说明项目主管部门在该项目管理中的职能。</w:t>
      </w:r>
    </w:p>
    <w:p w14:paraId="3717554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怀化市综合交通运输协调服务中心在整个项目实施的过程中负有审批、发放、监管的职能职责。</w:t>
      </w:r>
    </w:p>
    <w:p w14:paraId="3245BE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2.项目立项、资金申报的依据。</w:t>
      </w:r>
    </w:p>
    <w:p w14:paraId="337303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项目立项资金申报的依据包括政策法规文件、专项资金管理办法、申报流程以及项目可行性。</w:t>
      </w:r>
    </w:p>
    <w:p w14:paraId="7EC9BF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3.资金管理办法制定情况,资金支持具体项目的条件、范围与支持方式概况。</w:t>
      </w:r>
    </w:p>
    <w:p w14:paraId="03EAE0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796D96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项目资金支出范围目标：</w:t>
      </w:r>
    </w:p>
    <w:p w14:paraId="4D2DC5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目标1：持续开展铁路沿线安全环境常态化宣传和隐患排查治理；</w:t>
      </w:r>
    </w:p>
    <w:p w14:paraId="73FC49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目标2：推进地方政府与铁路运输企业联防工作机制,遏制铁路路外事故,营造安全良好外部环境；</w:t>
      </w:r>
    </w:p>
    <w:p w14:paraId="57B38C0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目标3：组织实施“双段长”制各项工作,打造铁路沿线“安、畅、绿、美”的风景线。</w:t>
      </w:r>
    </w:p>
    <w:p w14:paraId="09219D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4.资金分配的原则及考虑因素。</w:t>
      </w:r>
    </w:p>
    <w:p w14:paraId="227729E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量入为出，突出重点、注重绩效、专款专用原则，考虑各类费用因素所占比重与部门预算支出经济分类科目相结合的分配方式。</w:t>
      </w:r>
    </w:p>
    <w:p w14:paraId="210E05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14:paraId="55DDD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1.项目主要内容。</w:t>
      </w:r>
    </w:p>
    <w:p w14:paraId="46845E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铁路安全整治专项经费主要内容是持续开展铁路沿线安全环境常态化宣传和隐患排查治理；推进地方政府与铁路运输企业联防工作机制,遏制铁路路外事故,营造安全良好外部环境；组织实施“双段长”制各项工作,打造铁路沿线“安、畅、绿、美”的风景线。</w:t>
      </w:r>
    </w:p>
    <w:p w14:paraId="5FAD77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2.项目应实现的具体绩效目标包括以下内容：</w:t>
      </w:r>
    </w:p>
    <w:p w14:paraId="6F7C78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（1）经济成本指标：项目成本控制≤20万元；</w:t>
      </w:r>
    </w:p>
    <w:p w14:paraId="5F018D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（2）数量指标：</w:t>
      </w:r>
      <w:r>
        <w:rPr>
          <w:rFonts w:hint="default" w:ascii="仿宋" w:hAnsi="仿宋" w:eastAsia="仿宋" w:cs="仿宋"/>
          <w:color w:val="auto"/>
          <w:sz w:val="32"/>
          <w:szCs w:val="32"/>
          <w:highlight w:val="none"/>
          <w:lang w:val="en-US" w:eastAsia="zh-CN"/>
        </w:rPr>
        <w:t>紧扣省委、省政府支持大学生创业“七个一”行动部署，承办第十二届湖南省青年创青春大赛暨助力西部陆海新通道怀化国际陆港建设青年交流会、“湘青创”湖南省青年创业项目投融资对接交流会，连续两年获优秀组织奖，邀请8家怀化本地金融、服务机构现场为300余名大学生创业者开展一对一指导。主动对接省大学生创投基金来怀开展专场活动，争取项目投资90万元。成立青年就业创业公共法律服务中心，持续为青年创新创业提供全周期、全流程、全方位的法律服务，共接待咨询超3000人次</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持续深入关爱青少年身心健康“十个一”行动，开展“希望工程”“湘窖·我的大学梦”等助学项目，资助困难青少年1630名，累计捐资助学143万元。开展“七彩假期”“云支教”志愿服务等活动，持续为留守儿童开展辅导、陪伴、防溺水等内容丰富的关爱活动</w:t>
      </w:r>
      <w:r>
        <w:rPr>
          <w:rFonts w:hint="eastAsia" w:ascii="仿宋" w:hAnsi="仿宋" w:eastAsia="仿宋" w:cs="仿宋"/>
          <w:color w:val="auto"/>
          <w:sz w:val="32"/>
          <w:szCs w:val="32"/>
          <w:highlight w:val="none"/>
          <w:lang w:val="en-US" w:eastAsia="zh-CN"/>
        </w:rPr>
        <w:t>；</w:t>
      </w:r>
    </w:p>
    <w:p w14:paraId="51008A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（3）质量指标：资金使用合规性100%；</w:t>
      </w:r>
    </w:p>
    <w:p w14:paraId="3733514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（4）时效指标：工作完成及时性，2025年12月之前完成目标；</w:t>
      </w:r>
    </w:p>
    <w:p w14:paraId="25C5B2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（5）社会效益指标：</w:t>
      </w:r>
      <w:r>
        <w:rPr>
          <w:rFonts w:hint="eastAsia" w:ascii="仿宋" w:hAnsi="仿宋" w:eastAsia="仿宋"/>
          <w:sz w:val="32"/>
          <w:szCs w:val="32"/>
        </w:rPr>
        <w:t>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w:t>
      </w:r>
      <w:r>
        <w:rPr>
          <w:rFonts w:hint="eastAsia" w:ascii="仿宋" w:hAnsi="仿宋" w:eastAsia="仿宋" w:cs="仿宋"/>
          <w:color w:val="auto"/>
          <w:sz w:val="32"/>
          <w:szCs w:val="32"/>
          <w:highlight w:val="none"/>
          <w:lang w:val="en-US" w:eastAsia="zh-CN"/>
        </w:rPr>
        <w:t>；</w:t>
      </w:r>
    </w:p>
    <w:p w14:paraId="6E55B1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（6）满意度指标：人民群众满意度≥90%。</w:t>
      </w:r>
    </w:p>
    <w:p w14:paraId="3F9F60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分析评价申报内容是否与实际相符,申报目标是否合理可行</w:t>
      </w:r>
      <w:r>
        <w:rPr>
          <w:rFonts w:hint="eastAsia" w:ascii="仿宋" w:hAnsi="仿宋" w:eastAsia="仿宋" w:cs="仿宋"/>
          <w:color w:val="auto"/>
          <w:sz w:val="32"/>
          <w:szCs w:val="32"/>
          <w:highlight w:val="none"/>
          <w:lang w:val="en-US" w:eastAsia="zh-CN"/>
        </w:rPr>
        <w:t>。</w:t>
      </w:r>
    </w:p>
    <w:p w14:paraId="7F6B9F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分析评价申报内容与实际相符，申报目标合理可行。</w:t>
      </w:r>
    </w:p>
    <w:p w14:paraId="3433A06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281" w:firstLineChars="1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14:paraId="779A28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1.本次绩效评价工作按照《中华人民共和国预算法》、《财政支出绩效评价管理暂行办法》以及有关的政策、规定、财务会计制度等，坚持实事求是、客观公正的原则。</w:t>
      </w:r>
    </w:p>
    <w:p w14:paraId="0A33DB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43249B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3.采用具体绩效目标是否严格按照本单位设置的指标完成情况打分。</w:t>
      </w:r>
    </w:p>
    <w:p w14:paraId="523CB30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14:paraId="63B6AA1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项目资金申报及批复情况</w:t>
      </w:r>
    </w:p>
    <w:p w14:paraId="73AC71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严格按照项目资金相关程序、规定和要求，对项目进行申报及批复</w:t>
      </w:r>
      <w:r>
        <w:rPr>
          <w:rFonts w:hint="eastAsia" w:ascii="仿宋" w:hAnsi="仿宋" w:eastAsia="仿宋" w:cs="仿宋"/>
          <w:color w:val="auto"/>
          <w:sz w:val="32"/>
          <w:szCs w:val="32"/>
          <w:highlight w:val="none"/>
          <w:lang w:val="en-US" w:eastAsia="zh-CN"/>
        </w:rPr>
        <w:t>。2025年度铁路安全整治专项经费年初预算批复20万元</w:t>
      </w:r>
      <w:r>
        <w:rPr>
          <w:rFonts w:hint="default" w:ascii="仿宋" w:hAnsi="仿宋" w:eastAsia="仿宋" w:cs="仿宋"/>
          <w:color w:val="auto"/>
          <w:sz w:val="32"/>
          <w:szCs w:val="32"/>
          <w:highlight w:val="none"/>
          <w:lang w:val="en-US" w:eastAsia="zh-CN"/>
        </w:rPr>
        <w:t>。</w:t>
      </w:r>
    </w:p>
    <w:p w14:paraId="77664DA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资金计划、到位及使用情况</w:t>
      </w:r>
    </w:p>
    <w:p w14:paraId="2E8B6C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1.资金计划。</w:t>
      </w:r>
    </w:p>
    <w:p w14:paraId="05F3D9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度</w:t>
      </w:r>
      <w:r>
        <w:rPr>
          <w:rFonts w:hint="default" w:ascii="仿宋" w:hAnsi="仿宋" w:eastAsia="仿宋" w:cs="仿宋"/>
          <w:color w:val="auto"/>
          <w:sz w:val="32"/>
          <w:szCs w:val="32"/>
          <w:highlight w:val="none"/>
          <w:lang w:val="en-US" w:eastAsia="zh-CN"/>
        </w:rPr>
        <w:t>资金计划为下达</w:t>
      </w:r>
      <w:r>
        <w:rPr>
          <w:rFonts w:hint="eastAsia" w:ascii="仿宋" w:hAnsi="仿宋" w:eastAsia="仿宋" w:cs="仿宋"/>
          <w:color w:val="auto"/>
          <w:sz w:val="32"/>
          <w:szCs w:val="32"/>
          <w:highlight w:val="none"/>
          <w:lang w:val="en-US" w:eastAsia="zh-CN"/>
        </w:rPr>
        <w:t>本单位</w:t>
      </w:r>
      <w:r>
        <w:rPr>
          <w:rFonts w:hint="default" w:ascii="仿宋" w:hAnsi="仿宋" w:eastAsia="仿宋" w:cs="仿宋"/>
          <w:color w:val="auto"/>
          <w:sz w:val="32"/>
          <w:szCs w:val="32"/>
          <w:highlight w:val="none"/>
          <w:lang w:val="en-US" w:eastAsia="zh-CN"/>
        </w:rPr>
        <w:t>财政资金</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为市财政局拨付。</w:t>
      </w:r>
    </w:p>
    <w:p w14:paraId="697204F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资金到位。</w:t>
      </w:r>
    </w:p>
    <w:p w14:paraId="1B936F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年项目资金下达</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万元，资金全部到位。资金到位</w:t>
      </w:r>
      <w:r>
        <w:rPr>
          <w:rFonts w:hint="eastAsia" w:ascii="仿宋" w:hAnsi="仿宋" w:eastAsia="仿宋" w:cs="仿宋"/>
          <w:color w:val="auto"/>
          <w:sz w:val="32"/>
          <w:szCs w:val="32"/>
          <w:highlight w:val="none"/>
          <w:lang w:val="en-US" w:eastAsia="zh-CN"/>
        </w:rPr>
        <w:t>率</w:t>
      </w:r>
      <w:r>
        <w:rPr>
          <w:rFonts w:hint="default" w:ascii="仿宋" w:hAnsi="仿宋" w:eastAsia="仿宋" w:cs="仿宋"/>
          <w:color w:val="auto"/>
          <w:sz w:val="32"/>
          <w:szCs w:val="32"/>
          <w:highlight w:val="none"/>
          <w:lang w:val="en-US" w:eastAsia="zh-CN"/>
        </w:rPr>
        <w:t>100%，配套资金筹措有力，资金及时到位。</w:t>
      </w:r>
    </w:p>
    <w:p w14:paraId="672F70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资金使用。</w:t>
      </w:r>
    </w:p>
    <w:p w14:paraId="774BBB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年项目资金支付</w:t>
      </w:r>
      <w:r>
        <w:rPr>
          <w:rFonts w:hint="eastAsia" w:ascii="仿宋" w:hAnsi="仿宋" w:eastAsia="仿宋" w:cs="仿宋"/>
          <w:color w:val="auto"/>
          <w:sz w:val="32"/>
          <w:szCs w:val="32"/>
          <w:highlight w:val="none"/>
          <w:lang w:val="en-US" w:eastAsia="zh-CN"/>
        </w:rPr>
        <w:t>20</w:t>
      </w:r>
      <w:r>
        <w:rPr>
          <w:rFonts w:hint="default" w:ascii="仿宋" w:hAnsi="仿宋" w:eastAsia="仿宋" w:cs="仿宋"/>
          <w:color w:val="auto"/>
          <w:sz w:val="32"/>
          <w:szCs w:val="32"/>
          <w:highlight w:val="none"/>
          <w:lang w:val="en-US" w:eastAsia="zh-CN"/>
        </w:rPr>
        <w:t>万元。资金开支范围、标准及支付进度等合规合法，资金支付预算相符。</w:t>
      </w:r>
    </w:p>
    <w:p w14:paraId="6D0B63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项目财务管理情况</w:t>
      </w:r>
    </w:p>
    <w:p w14:paraId="097815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严格执行项目资金管理规定，专款专用、专账核算，资金拨付审批手续完整规范。规范原始凭证审核与账务处理，票据合规、账目清晰。定期核对收支台账，严控经费支出标准，无挤占、截留、挪用资金情况。及时完成财务资料归档，主动做好资金动态管控，保障项目资金安全高效使用。</w:t>
      </w:r>
    </w:p>
    <w:p w14:paraId="579C036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14:paraId="1C4504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项目组织架构及实施流程</w:t>
      </w:r>
    </w:p>
    <w:p w14:paraId="5FB7A1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w:t>
      </w:r>
      <w:r>
        <w:rPr>
          <w:rFonts w:hint="default" w:ascii="仿宋" w:hAnsi="仿宋" w:eastAsia="仿宋" w:cs="仿宋"/>
          <w:color w:val="auto"/>
          <w:sz w:val="32"/>
          <w:szCs w:val="32"/>
          <w:highlight w:val="none"/>
          <w:lang w:val="en-US" w:eastAsia="zh-CN"/>
        </w:rPr>
        <w:t>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p>
    <w:p w14:paraId="6AE0B6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项目管理情况</w:t>
      </w:r>
    </w:p>
    <w:p w14:paraId="566E39C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本单位建立完整项目管理机制，明确各岗位职责分工，细化实施计划与时间节点。全程做好进度跟踪、质量管控与资料留存，定期开展工作调度，及时协调解决实施难题。严格规范资金</w:t>
      </w:r>
      <w:r>
        <w:rPr>
          <w:rFonts w:hint="eastAsia" w:ascii="仿宋" w:hAnsi="仿宋" w:eastAsia="仿宋" w:cs="仿宋"/>
          <w:color w:val="auto"/>
          <w:sz w:val="32"/>
          <w:szCs w:val="32"/>
          <w:highlight w:val="none"/>
          <w:lang w:val="en-US" w:eastAsia="zh-CN"/>
        </w:rPr>
        <w:t>及</w:t>
      </w:r>
      <w:r>
        <w:rPr>
          <w:rFonts w:hint="default" w:ascii="仿宋" w:hAnsi="仿宋" w:eastAsia="仿宋" w:cs="仿宋"/>
          <w:color w:val="auto"/>
          <w:sz w:val="32"/>
          <w:szCs w:val="32"/>
          <w:highlight w:val="none"/>
          <w:lang w:val="en-US" w:eastAsia="zh-CN"/>
        </w:rPr>
        <w:t>档案管理，落实全过程自查，保障项目按方案推进，保质保量完成既定目标任务。</w:t>
      </w:r>
    </w:p>
    <w:p w14:paraId="386AA1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项目监管情况</w:t>
      </w:r>
    </w:p>
    <w:p w14:paraId="105C00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按照本单位采取的项目管理办法对项目的执行进度严格监管，项目资金严格把控审批与支付流程，对</w:t>
      </w:r>
      <w:r>
        <w:rPr>
          <w:rFonts w:hint="default" w:ascii="仿宋" w:hAnsi="仿宋" w:eastAsia="仿宋" w:cs="仿宋"/>
          <w:color w:val="auto"/>
          <w:sz w:val="32"/>
          <w:szCs w:val="32"/>
          <w:highlight w:val="none"/>
          <w:lang w:val="en-US" w:eastAsia="zh-CN"/>
        </w:rPr>
        <w:t>项目资金阶段性完成情况进行动态跟踪监控、监督检查纠偏处理、改进完善等管理活动。</w:t>
      </w:r>
    </w:p>
    <w:p w14:paraId="07DA9A5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14:paraId="1EC4E24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项目完成情况</w:t>
      </w:r>
    </w:p>
    <w:p w14:paraId="295095A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数量</w:t>
      </w:r>
      <w:r>
        <w:rPr>
          <w:rFonts w:hint="eastAsia" w:ascii="仿宋" w:hAnsi="仿宋" w:eastAsia="仿宋" w:cs="仿宋"/>
          <w:color w:val="auto"/>
          <w:sz w:val="32"/>
          <w:szCs w:val="32"/>
          <w:highlight w:val="none"/>
          <w:lang w:val="en-US" w:eastAsia="zh-CN"/>
        </w:rPr>
        <w:t>：聚焦公铁并行、铁路通道配套连接道路、历史遗留重难点等问题，深入开展排查整治，动真碰硬，综合施策，累计消除违法搭建、乱堆乱放、危树等各类涉铁隐患330余处，完成82处公铁并行护栏</w:t>
      </w:r>
      <w:bookmarkStart w:id="0" w:name="_GoBack"/>
      <w:bookmarkEnd w:id="0"/>
      <w:r>
        <w:rPr>
          <w:rFonts w:hint="eastAsia" w:ascii="仿宋" w:hAnsi="仿宋" w:eastAsia="仿宋" w:cs="仿宋"/>
          <w:color w:val="auto"/>
          <w:sz w:val="32"/>
          <w:szCs w:val="32"/>
          <w:highlight w:val="none"/>
          <w:lang w:val="en-US" w:eastAsia="zh-CN"/>
        </w:rPr>
        <w:t>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p w14:paraId="2BEA633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质量</w:t>
      </w:r>
      <w:r>
        <w:rPr>
          <w:rFonts w:hint="eastAsia" w:ascii="仿宋" w:hAnsi="仿宋" w:eastAsia="仿宋" w:cs="仿宋"/>
          <w:color w:val="auto"/>
          <w:sz w:val="32"/>
          <w:szCs w:val="32"/>
          <w:highlight w:val="none"/>
          <w:lang w:val="en-US" w:eastAsia="zh-CN"/>
        </w:rPr>
        <w:t>：目标达标完成率100%；</w:t>
      </w:r>
    </w:p>
    <w:p w14:paraId="22C39F7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时效</w:t>
      </w:r>
      <w:r>
        <w:rPr>
          <w:rFonts w:hint="eastAsia" w:ascii="仿宋" w:hAnsi="仿宋" w:eastAsia="仿宋" w:cs="仿宋"/>
          <w:color w:val="auto"/>
          <w:sz w:val="32"/>
          <w:szCs w:val="32"/>
          <w:highlight w:val="none"/>
          <w:lang w:val="en-US" w:eastAsia="zh-CN"/>
        </w:rPr>
        <w:t>：工作在2025年12月31日之前完成；</w:t>
      </w:r>
    </w:p>
    <w:p w14:paraId="7C8E01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r>
        <w:rPr>
          <w:rFonts w:hint="default" w:ascii="仿宋" w:hAnsi="仿宋" w:eastAsia="仿宋" w:cs="仿宋"/>
          <w:color w:val="auto"/>
          <w:sz w:val="32"/>
          <w:szCs w:val="32"/>
          <w:highlight w:val="none"/>
          <w:lang w:val="en-US" w:eastAsia="zh-CN"/>
        </w:rPr>
        <w:t>成本</w:t>
      </w:r>
      <w:r>
        <w:rPr>
          <w:rFonts w:hint="eastAsia" w:ascii="仿宋" w:hAnsi="仿宋" w:eastAsia="仿宋" w:cs="仿宋"/>
          <w:color w:val="auto"/>
          <w:sz w:val="32"/>
          <w:szCs w:val="32"/>
          <w:highlight w:val="none"/>
          <w:lang w:val="en-US" w:eastAsia="zh-CN"/>
        </w:rPr>
        <w:t>：经济成本控制在20万元以内。</w:t>
      </w:r>
    </w:p>
    <w:p w14:paraId="2E0AC2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项目效益情况</w:t>
      </w:r>
    </w:p>
    <w:p w14:paraId="246FC2B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经济效益</w:t>
      </w:r>
      <w:r>
        <w:rPr>
          <w:rFonts w:hint="eastAsia" w:ascii="仿宋" w:hAnsi="仿宋" w:eastAsia="仿宋" w:cs="仿宋"/>
          <w:color w:val="auto"/>
          <w:sz w:val="32"/>
          <w:szCs w:val="32"/>
          <w:highlight w:val="none"/>
          <w:lang w:val="en-US" w:eastAsia="zh-CN"/>
        </w:rPr>
        <w:t>：充分发挥资金使用效益；</w:t>
      </w:r>
    </w:p>
    <w:p w14:paraId="0C76BB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社会效益</w:t>
      </w:r>
      <w:r>
        <w:rPr>
          <w:rFonts w:hint="eastAsia" w:ascii="仿宋" w:hAnsi="仿宋" w:eastAsia="仿宋" w:cs="仿宋"/>
          <w:color w:val="auto"/>
          <w:sz w:val="32"/>
          <w:szCs w:val="32"/>
          <w:highlight w:val="none"/>
          <w:lang w:val="en-US" w:eastAsia="zh-CN"/>
        </w:rPr>
        <w:t>：遏制铁路路外事故,营造安全良好外部环境；</w:t>
      </w:r>
    </w:p>
    <w:p w14:paraId="60DB81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r>
        <w:rPr>
          <w:rFonts w:hint="default" w:ascii="仿宋" w:hAnsi="仿宋" w:eastAsia="仿宋" w:cs="仿宋"/>
          <w:color w:val="auto"/>
          <w:sz w:val="32"/>
          <w:szCs w:val="32"/>
          <w:highlight w:val="none"/>
          <w:lang w:val="en-US" w:eastAsia="zh-CN"/>
        </w:rPr>
        <w:t>可持续效益</w:t>
      </w:r>
      <w:r>
        <w:rPr>
          <w:rFonts w:hint="eastAsia" w:ascii="仿宋" w:hAnsi="仿宋" w:eastAsia="仿宋" w:cs="仿宋"/>
          <w:color w:val="auto"/>
          <w:sz w:val="32"/>
          <w:szCs w:val="32"/>
          <w:highlight w:val="none"/>
          <w:lang w:val="en-US" w:eastAsia="zh-CN"/>
        </w:rPr>
        <w:t>：持续保障道路运输安全；</w:t>
      </w:r>
    </w:p>
    <w:p w14:paraId="09A3103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r>
        <w:rPr>
          <w:rFonts w:hint="default" w:ascii="仿宋" w:hAnsi="仿宋" w:eastAsia="仿宋" w:cs="仿宋"/>
          <w:color w:val="auto"/>
          <w:sz w:val="32"/>
          <w:szCs w:val="32"/>
          <w:highlight w:val="none"/>
          <w:lang w:val="en-US" w:eastAsia="zh-CN"/>
        </w:rPr>
        <w:t>服务对象满意度</w:t>
      </w:r>
      <w:r>
        <w:rPr>
          <w:rFonts w:hint="eastAsia" w:ascii="仿宋" w:hAnsi="仿宋" w:eastAsia="仿宋" w:cs="仿宋"/>
          <w:color w:val="auto"/>
          <w:sz w:val="32"/>
          <w:szCs w:val="32"/>
          <w:highlight w:val="none"/>
          <w:lang w:val="en-US" w:eastAsia="zh-CN"/>
        </w:rPr>
        <w:t>：服务对象满意度≥90%</w:t>
      </w:r>
      <w:r>
        <w:rPr>
          <w:rFonts w:hint="default" w:ascii="仿宋" w:hAnsi="仿宋" w:eastAsia="仿宋" w:cs="仿宋"/>
          <w:color w:val="auto"/>
          <w:sz w:val="32"/>
          <w:szCs w:val="32"/>
          <w:highlight w:val="none"/>
          <w:lang w:val="en-US" w:eastAsia="zh-CN"/>
        </w:rPr>
        <w:t>。</w:t>
      </w:r>
    </w:p>
    <w:p w14:paraId="7CA4F4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五、</w:t>
      </w:r>
      <w:r>
        <w:rPr>
          <w:rFonts w:hint="default" w:ascii="方正黑体_GBK" w:hAnsi="方正黑体_GBK" w:eastAsia="方正黑体_GBK" w:cs="方正黑体_GBK"/>
          <w:b w:val="0"/>
          <w:bCs w:val="0"/>
          <w:color w:val="auto"/>
          <w:sz w:val="32"/>
          <w:szCs w:val="32"/>
          <w:highlight w:val="none"/>
          <w:lang w:val="en-US" w:eastAsia="zh-CN"/>
        </w:rPr>
        <w:t>评价结论及建议</w:t>
      </w:r>
    </w:p>
    <w:p w14:paraId="0765B16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w:t>
      </w:r>
      <w:r>
        <w:rPr>
          <w:rFonts w:hint="default" w:ascii="仿宋" w:hAnsi="仿宋" w:eastAsia="仿宋" w:cs="仿宋"/>
          <w:color w:val="auto"/>
          <w:sz w:val="32"/>
          <w:szCs w:val="32"/>
          <w:highlight w:val="none"/>
          <w:lang w:val="en-US" w:eastAsia="zh-CN"/>
        </w:rPr>
        <w:t>评价结论</w:t>
      </w:r>
    </w:p>
    <w:p w14:paraId="57A6622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根据2025年度绩效评价指标，根据本单位在2025年度实际按照绩效指标设立的完成情况综合分析，该项目得分为100分，绩效评价等级为优</w:t>
      </w:r>
      <w:r>
        <w:rPr>
          <w:rFonts w:hint="default" w:ascii="仿宋" w:hAnsi="仿宋" w:eastAsia="仿宋" w:cs="仿宋"/>
          <w:color w:val="auto"/>
          <w:sz w:val="32"/>
          <w:szCs w:val="32"/>
          <w:highlight w:val="none"/>
          <w:lang w:val="en-US" w:eastAsia="zh-CN"/>
        </w:rPr>
        <w:t>。</w:t>
      </w:r>
    </w:p>
    <w:p w14:paraId="62C9B6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存在的问题</w:t>
      </w:r>
    </w:p>
    <w:p w14:paraId="56224D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1、项目预算绩效管理有待进一步加强，预算编制当中绩效目标意识不够，对资金的管理使用不够系统全面。</w:t>
      </w:r>
    </w:p>
    <w:p w14:paraId="1E74BF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2、项目绩效目标设立不够细化、量化。虽然按要求及时申报了项目资料，但项目绩效目标在细化、量化方面还不到位。</w:t>
      </w:r>
    </w:p>
    <w:p w14:paraId="12534A1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相关建议</w:t>
      </w:r>
    </w:p>
    <w:p w14:paraId="5D69B5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1、加强预算绩效管理工作。提升项目在资金支出绩效管理意识，科学合理地对财政支出进行管理。</w:t>
      </w:r>
    </w:p>
    <w:p w14:paraId="04724C5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2、抓好项目绩效目标申报，提高项目绩效目标申报质量，项目绩效目标做到明确、细化、量化。</w:t>
      </w:r>
    </w:p>
    <w:p w14:paraId="5929F9A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57D687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26C97C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05BC343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2EC929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7E8DEA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2B0E26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0CF0F7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4811DF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t>附件7</w:t>
      </w:r>
    </w:p>
    <w:p w14:paraId="29B5B4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市直部门绩效联络员名单统计表</w:t>
      </w:r>
    </w:p>
    <w:p w14:paraId="1218007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184"/>
        <w:gridCol w:w="2184"/>
        <w:gridCol w:w="2184"/>
      </w:tblGrid>
      <w:tr w14:paraId="16D4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506388FE">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部门单位名称</w:t>
            </w:r>
          </w:p>
        </w:tc>
        <w:tc>
          <w:tcPr>
            <w:tcW w:w="2184" w:type="dxa"/>
          </w:tcPr>
          <w:p w14:paraId="7FA37DC0">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绩效联络员姓名</w:t>
            </w:r>
          </w:p>
        </w:tc>
        <w:tc>
          <w:tcPr>
            <w:tcW w:w="2184" w:type="dxa"/>
          </w:tcPr>
          <w:p w14:paraId="7E5E031F">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b/>
                <w:bCs/>
                <w:color w:val="auto"/>
                <w:sz w:val="24"/>
                <w:szCs w:val="24"/>
                <w:highlight w:val="none"/>
                <w:vertAlign w:val="baseline"/>
                <w:lang w:val="en-US" w:eastAsia="zh-CN"/>
              </w:rPr>
              <w:t>职务职级</w:t>
            </w:r>
          </w:p>
        </w:tc>
        <w:tc>
          <w:tcPr>
            <w:tcW w:w="2184" w:type="dxa"/>
          </w:tcPr>
          <w:p w14:paraId="1382502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24"/>
                <w:szCs w:val="24"/>
                <w:highlight w:val="none"/>
                <w:vertAlign w:val="baseline"/>
                <w:lang w:val="en-US" w:eastAsia="zh-CN"/>
              </w:rPr>
            </w:pPr>
            <w:r>
              <w:rPr>
                <w:rFonts w:hint="eastAsia" w:ascii="Times New Roman Regular" w:hAnsi="Times New Roman Regular" w:eastAsia="仿宋_GB2312" w:cs="Times New Roman Regular"/>
                <w:color w:val="auto"/>
                <w:sz w:val="24"/>
                <w:szCs w:val="24"/>
                <w:highlight w:val="none"/>
                <w:vertAlign w:val="baseline"/>
                <w:lang w:val="en-US" w:eastAsia="zh-CN"/>
              </w:rPr>
              <w:t xml:space="preserve">  </w:t>
            </w:r>
            <w:r>
              <w:rPr>
                <w:rFonts w:hint="eastAsia" w:ascii="Times New Roman Regular" w:hAnsi="Times New Roman Regular" w:eastAsia="仿宋_GB2312" w:cs="Times New Roman Regular"/>
                <w:b/>
                <w:bCs/>
                <w:color w:val="auto"/>
                <w:sz w:val="24"/>
                <w:szCs w:val="24"/>
                <w:highlight w:val="none"/>
                <w:vertAlign w:val="baseline"/>
                <w:lang w:val="en-US" w:eastAsia="zh-CN"/>
              </w:rPr>
              <w:t xml:space="preserve"> 联系方式</w:t>
            </w:r>
          </w:p>
        </w:tc>
      </w:tr>
      <w:tr w14:paraId="166BC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67424EE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default" w:ascii="Times New Roman Regular" w:hAnsi="Times New Roman Regular" w:eastAsia="仿宋_GB2312" w:cs="Times New Roman Regular"/>
                <w:color w:val="auto"/>
                <w:sz w:val="32"/>
                <w:szCs w:val="32"/>
                <w:highlight w:val="none"/>
                <w:vertAlign w:val="baseline"/>
                <w:lang w:val="en-US" w:eastAsia="zh-CN"/>
              </w:rPr>
              <w:t>怀化市综合交通运输协调服务中心</w:t>
            </w:r>
          </w:p>
        </w:tc>
        <w:tc>
          <w:tcPr>
            <w:tcW w:w="2184" w:type="dxa"/>
          </w:tcPr>
          <w:p w14:paraId="00BB5EB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Times New Roman Regular" w:hAnsi="Times New Roman Regular" w:eastAsia="仿宋_GB2312" w:cs="Times New Roman Regular"/>
                <w:color w:val="auto"/>
                <w:sz w:val="32"/>
                <w:szCs w:val="32"/>
                <w:highlight w:val="none"/>
                <w:vertAlign w:val="baseline"/>
                <w:lang w:val="en-US" w:eastAsia="zh-CN"/>
              </w:rPr>
              <w:t>舒辉</w:t>
            </w:r>
          </w:p>
        </w:tc>
        <w:tc>
          <w:tcPr>
            <w:tcW w:w="2184" w:type="dxa"/>
          </w:tcPr>
          <w:p w14:paraId="06ACCBF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B5B5F3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r>
              <w:rPr>
                <w:rFonts w:hint="eastAsia" w:ascii="Times New Roman Regular" w:hAnsi="Times New Roman Regular" w:eastAsia="仿宋_GB2312" w:cs="Times New Roman Regular"/>
                <w:color w:val="auto"/>
                <w:sz w:val="32"/>
                <w:szCs w:val="32"/>
                <w:highlight w:val="none"/>
                <w:vertAlign w:val="baseline"/>
                <w:lang w:val="en-US" w:eastAsia="zh-CN"/>
              </w:rPr>
              <w:t>15386271098</w:t>
            </w:r>
          </w:p>
        </w:tc>
      </w:tr>
      <w:tr w14:paraId="4984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36FC2F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7C155CD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6D8290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1D05231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364D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578C513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2D88D9C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0F53FB3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0F79A40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6C85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7E2730D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3D7FD0A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6CCC96A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543EDF1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r w14:paraId="790F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83" w:type="dxa"/>
          </w:tcPr>
          <w:p w14:paraId="1FE41AE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214AAA2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7507118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c>
          <w:tcPr>
            <w:tcW w:w="2184" w:type="dxa"/>
          </w:tcPr>
          <w:p w14:paraId="5D31C4F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vertAlign w:val="baseline"/>
                <w:lang w:val="en-US" w:eastAsia="zh-CN"/>
              </w:rPr>
            </w:pPr>
          </w:p>
        </w:tc>
      </w:tr>
    </w:tbl>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74E55B7A"/>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08C1BA"/>
    <w:multiLevelType w:val="singleLevel"/>
    <w:tmpl w:val="D908C1B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0E66D4"/>
    <w:rsid w:val="977D1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2026-09-21T10:01:00Z</dcterms:created>
  <dc:creator>win</dc:creator>
  <cp:lastModifiedBy>A梦</cp:lastModifiedBy>
  <dcterms:modified xsi:type="dcterms:W3CDTF">2026-10-16T10:59:56Z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eyJoZGlkIjoiMDM3ZTc3M2M3Yzc5ODg0M2ExMjlkMjFlYTNhYjcwYTMiLCJ1c2VySWQiOiIxMjE0NTQ1Mjc2In0=</vt:lpwstr>
  </property>
  <property fmtid="{D5CDD505-2E9C-101B-9397-08002B2CF9AE}" pid="4" name="ICV">
    <vt:lpwstr>778338D0E61A44BF9DB7894DB6FD106F_12</vt:lpwstr>
  </property>
</Properties>
</file>