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both"/>
        <w:rPr>
          <w:rFonts w:hAnsi="黑体"/>
          <w:sz w:val="36"/>
          <w:szCs w:val="36"/>
        </w:rPr>
      </w:pPr>
      <w:r>
        <w:rPr>
          <w:rFonts w:hint="eastAsia" w:hAnsi="黑体"/>
          <w:sz w:val="36"/>
          <w:szCs w:val="36"/>
        </w:rPr>
        <w:t>附件1</w:t>
      </w:r>
    </w:p>
    <w:p>
      <w:pPr>
        <w:pStyle w:val="13"/>
        <w:jc w:val="center"/>
        <w:rPr>
          <w:rFonts w:ascii="Times New Roman" w:hAnsi="Times New Roman" w:cs="Times New Roman"/>
          <w:sz w:val="56"/>
          <w:szCs w:val="56"/>
        </w:rPr>
      </w:pPr>
    </w:p>
    <w:p>
      <w:pPr>
        <w:pStyle w:val="13"/>
        <w:jc w:val="center"/>
        <w:rPr>
          <w:rFonts w:ascii="Times New Roman" w:hAnsi="Times New Roman" w:cs="Times New Roman"/>
          <w:sz w:val="84"/>
          <w:szCs w:val="84"/>
        </w:rPr>
      </w:pPr>
    </w:p>
    <w:p>
      <w:pPr>
        <w:pStyle w:val="13"/>
        <w:jc w:val="center"/>
        <w:rPr>
          <w:rFonts w:ascii="Times New Roman" w:hAnsi="Times New Roman" w:cs="Times New Roman"/>
          <w:sz w:val="84"/>
          <w:szCs w:val="84"/>
        </w:rPr>
      </w:pPr>
    </w:p>
    <w:p>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pPr>
        <w:pStyle w:val="13"/>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怀化市道路运输服务中心</w:t>
      </w:r>
      <w:r>
        <w:rPr>
          <w:rFonts w:hint="eastAsia" w:ascii="Times New Roman" w:hAnsi="Times New Roman" w:eastAsia="方正小标宋简体" w:cs="Times New Roman"/>
          <w:sz w:val="72"/>
          <w:szCs w:val="72"/>
        </w:rPr>
        <w:t>部门决算</w:t>
      </w:r>
    </w:p>
    <w:p>
      <w:pPr>
        <w:pStyle w:val="13"/>
        <w:jc w:val="center"/>
        <w:rPr>
          <w:rFonts w:ascii="Times New Roman" w:hAnsi="Times New Roman" w:eastAsia="方正小标宋_GBK" w:cs="Times New Roman"/>
          <w:sz w:val="56"/>
          <w:szCs w:val="56"/>
        </w:rPr>
      </w:pPr>
    </w:p>
    <w:p>
      <w:pPr>
        <w:tabs>
          <w:tab w:val="left" w:pos="783"/>
        </w:tabs>
        <w:bidi w:val="0"/>
        <w:jc w:val="left"/>
        <w:rPr>
          <w:rFonts w:hint="eastAsia"/>
          <w:lang w:val="en-US" w:eastAsia="zh-CN"/>
        </w:rPr>
        <w:sectPr>
          <w:footerReference r:id="rId3" w:type="default"/>
          <w:pgSz w:w="11906" w:h="16838"/>
          <w:pgMar w:top="1417" w:right="1588" w:bottom="1417" w:left="1588" w:header="851" w:footer="992" w:gutter="0"/>
          <w:pgNumType w:start="1"/>
          <w:cols w:space="425" w:num="1"/>
          <w:docGrid w:type="lines" w:linePitch="312" w:charSpace="0"/>
        </w:sectPr>
      </w:pPr>
    </w:p>
    <w:p>
      <w:pPr>
        <w:pStyle w:val="13"/>
        <w:spacing w:line="600" w:lineRule="exact"/>
        <w:jc w:val="both"/>
        <w:rPr>
          <w:rFonts w:ascii="Times New Roman" w:hAnsi="Times New Roman" w:cs="Times New Roman"/>
          <w:b/>
          <w:sz w:val="36"/>
          <w:szCs w:val="28"/>
        </w:rPr>
      </w:pPr>
    </w:p>
    <w:p>
      <w:pPr>
        <w:pStyle w:val="13"/>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pPr>
        <w:pStyle w:val="13"/>
        <w:spacing w:line="600" w:lineRule="exact"/>
        <w:jc w:val="center"/>
        <w:rPr>
          <w:rFonts w:ascii="Times New Roman" w:hAnsi="Times New Roman" w:cs="Times New Roman"/>
          <w:b/>
          <w:sz w:val="36"/>
          <w:szCs w:val="28"/>
        </w:rPr>
      </w:pPr>
    </w:p>
    <w:p>
      <w:pPr>
        <w:pStyle w:val="13"/>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怀化市道路运输服务中心</w:t>
      </w:r>
      <w:r>
        <w:rPr>
          <w:rFonts w:hint="eastAsia" w:ascii="Times New Roman" w:hAnsi="Times New Roman" w:cs="Times New Roman"/>
          <w:bCs/>
          <w:sz w:val="32"/>
          <w:szCs w:val="32"/>
        </w:rPr>
        <w:t>概况</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pPr>
        <w:autoSpaceDE w:val="0"/>
        <w:autoSpaceDN w:val="0"/>
        <w:adjustRightInd w:val="0"/>
        <w:spacing w:line="600" w:lineRule="exact"/>
        <w:jc w:val="left"/>
        <w:rPr>
          <w:rFonts w:hint="default" w:eastAsia="仿宋_GB2312"/>
          <w:color w:val="000000" w:themeColor="text1"/>
          <w:lang w:val="en-US" w:eastAsia="zh-CN"/>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九、</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国有资本经营预算财政拨款收入支出决算情况</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pPr>
        <w:pStyle w:val="13"/>
        <w:spacing w:line="600" w:lineRule="exact"/>
        <w:rPr>
          <w:rFonts w:ascii="Times New Roman" w:hAnsi="Times New Roman" w:cs="Times New Roman"/>
          <w:bCs/>
          <w:sz w:val="28"/>
          <w:szCs w:val="28"/>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pStyle w:val="7"/>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pPr>
        <w:rPr>
          <w:rFonts w:ascii="Times New Roman" w:hAnsi="Times New Roman" w:eastAsia="方正小标宋_GBK" w:cs="Times New Roman"/>
          <w:sz w:val="72"/>
          <w:szCs w:val="72"/>
        </w:rPr>
      </w:pPr>
    </w:p>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pPr>
        <w:pStyle w:val="13"/>
        <w:spacing w:line="360" w:lineRule="auto"/>
        <w:jc w:val="center"/>
        <w:rPr>
          <w:rFonts w:hint="eastAsia"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怀化市道路运输服务中心</w:t>
      </w:r>
      <w:r>
        <w:rPr>
          <w:rFonts w:hint="eastAsia" w:ascii="Times New Roman" w:hAnsi="Times New Roman" w:eastAsia="方正小标宋_GBK" w:cs="Times New Roman"/>
          <w:sz w:val="52"/>
          <w:szCs w:val="52"/>
        </w:rPr>
        <w:t>概况</w:t>
      </w:r>
    </w:p>
    <w:p>
      <w:pPr>
        <w:pStyle w:val="2"/>
        <w:ind w:left="0" w:leftChars="0" w:firstLine="0" w:firstLineChars="0"/>
        <w:rPr>
          <w:rFonts w:ascii="Times New Roman" w:hAnsi="Times New Roman" w:cs="Times New Roman"/>
        </w:rPr>
      </w:pPr>
    </w:p>
    <w:p>
      <w:pPr>
        <w:rPr>
          <w:rFonts w:ascii="Times New Roman" w:hAnsi="Times New Roman" w:cs="Times New Roman"/>
        </w:rPr>
      </w:pPr>
    </w:p>
    <w:p>
      <w:pPr>
        <w:pStyle w:val="7"/>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7"/>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7"/>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7"/>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7"/>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7"/>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7"/>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7"/>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7"/>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7"/>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7"/>
        <w:rPr>
          <w:rFonts w:ascii="Times New Roman" w:hAnsi="Times New Roman" w:cs="Times New Roman"/>
        </w:rPr>
      </w:pPr>
    </w:p>
    <w:p>
      <w:pPr>
        <w:pStyle w:val="2"/>
      </w:pPr>
    </w:p>
    <w:p>
      <w:pPr>
        <w:pStyle w:val="14"/>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60" w:afterAutospacing="0" w:line="408" w:lineRule="atLeast"/>
        <w:ind w:left="0" w:right="0" w:firstLine="420"/>
        <w:jc w:val="both"/>
        <w:rPr>
          <w:rFonts w:hint="eastAsia" w:ascii="宋体" w:hAnsi="宋体" w:eastAsia="宋体" w:cs="宋体"/>
          <w:i w:val="0"/>
          <w:iCs w:val="0"/>
          <w:caps w:val="0"/>
          <w:color w:val="3D3D3D"/>
          <w:spacing w:val="0"/>
          <w:sz w:val="30"/>
          <w:szCs w:val="30"/>
        </w:rPr>
      </w:pPr>
      <w:r>
        <w:rPr>
          <w:rFonts w:hint="eastAsia" w:ascii="宋体" w:hAnsi="宋体" w:eastAsia="宋体" w:cs="宋体"/>
          <w:i w:val="0"/>
          <w:iCs w:val="0"/>
          <w:caps w:val="0"/>
          <w:color w:val="3D3D3D"/>
          <w:spacing w:val="0"/>
          <w:sz w:val="30"/>
          <w:szCs w:val="30"/>
          <w:shd w:val="clear" w:color="auto" w:fill="FFFFFF"/>
        </w:rPr>
        <w:t>(一)承担拟订全市道路运输行业发展规划和年度计划编制的事务性工作;负责道路运输有关统计、经济运行分析和信息发布。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60" w:afterAutospacing="0" w:line="408" w:lineRule="atLeast"/>
        <w:ind w:left="0" w:right="0" w:firstLine="420"/>
        <w:jc w:val="both"/>
        <w:rPr>
          <w:rFonts w:hint="eastAsia" w:ascii="宋体" w:hAnsi="宋体" w:eastAsia="宋体" w:cs="宋体"/>
          <w:i w:val="0"/>
          <w:iCs w:val="0"/>
          <w:caps w:val="0"/>
          <w:color w:val="3D3D3D"/>
          <w:spacing w:val="0"/>
          <w:sz w:val="30"/>
          <w:szCs w:val="30"/>
        </w:rPr>
      </w:pPr>
      <w:r>
        <w:rPr>
          <w:rFonts w:hint="eastAsia" w:ascii="宋体" w:hAnsi="宋体" w:eastAsia="宋体" w:cs="宋体"/>
          <w:i w:val="0"/>
          <w:iCs w:val="0"/>
          <w:caps w:val="0"/>
          <w:color w:val="3D3D3D"/>
          <w:spacing w:val="0"/>
          <w:sz w:val="30"/>
          <w:szCs w:val="30"/>
          <w:shd w:val="clear" w:color="auto" w:fill="FFFFFF"/>
        </w:rPr>
        <w:t>(二)参与协调道路运输与水路、铁路、民航等运输方式的衔接，及城乡客运一体化和综合运输体系建设的事务性工作。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60" w:afterAutospacing="0" w:line="408" w:lineRule="atLeast"/>
        <w:ind w:left="0" w:right="0" w:firstLine="420"/>
        <w:jc w:val="both"/>
        <w:rPr>
          <w:rFonts w:hint="eastAsia" w:ascii="宋体" w:hAnsi="宋体" w:eastAsia="宋体" w:cs="宋体"/>
          <w:i w:val="0"/>
          <w:iCs w:val="0"/>
          <w:caps w:val="0"/>
          <w:color w:val="3D3D3D"/>
          <w:spacing w:val="0"/>
          <w:sz w:val="30"/>
          <w:szCs w:val="30"/>
        </w:rPr>
      </w:pPr>
      <w:r>
        <w:rPr>
          <w:rFonts w:hint="eastAsia" w:ascii="宋体" w:hAnsi="宋体" w:eastAsia="宋体" w:cs="宋体"/>
          <w:i w:val="0"/>
          <w:iCs w:val="0"/>
          <w:caps w:val="0"/>
          <w:color w:val="3D3D3D"/>
          <w:spacing w:val="0"/>
          <w:sz w:val="30"/>
          <w:szCs w:val="30"/>
          <w:shd w:val="clear" w:color="auto" w:fill="FFFFFF"/>
        </w:rPr>
        <w:t>(三)承担道路运输行业从业人员管理的事务性工作;承担全市县际以上班线客运、旅游(包车)客运和危险货物运输企业的服务工作。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60" w:afterAutospacing="0" w:line="408" w:lineRule="atLeast"/>
        <w:ind w:left="0" w:right="0" w:firstLine="420"/>
        <w:jc w:val="both"/>
        <w:rPr>
          <w:rFonts w:hint="eastAsia" w:ascii="宋体" w:hAnsi="宋体" w:eastAsia="宋体" w:cs="宋体"/>
          <w:i w:val="0"/>
          <w:iCs w:val="0"/>
          <w:caps w:val="0"/>
          <w:color w:val="3D3D3D"/>
          <w:spacing w:val="0"/>
          <w:sz w:val="30"/>
          <w:szCs w:val="30"/>
        </w:rPr>
      </w:pPr>
      <w:r>
        <w:rPr>
          <w:rFonts w:hint="eastAsia" w:ascii="宋体" w:hAnsi="宋体" w:eastAsia="宋体" w:cs="宋体"/>
          <w:i w:val="0"/>
          <w:iCs w:val="0"/>
          <w:caps w:val="0"/>
          <w:color w:val="3D3D3D"/>
          <w:spacing w:val="0"/>
          <w:sz w:val="30"/>
          <w:szCs w:val="30"/>
          <w:shd w:val="clear" w:color="auto" w:fill="FFFFFF"/>
        </w:rPr>
        <w:t>(四)承担道路客货运场(站)行业管理的事务性工作，组织实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60" w:afterAutospacing="0" w:line="408" w:lineRule="atLeast"/>
        <w:ind w:left="0" w:right="0" w:firstLine="420"/>
        <w:jc w:val="both"/>
        <w:rPr>
          <w:rFonts w:hint="eastAsia" w:ascii="宋体" w:hAnsi="宋体" w:eastAsia="宋体" w:cs="宋体"/>
          <w:i w:val="0"/>
          <w:iCs w:val="0"/>
          <w:caps w:val="0"/>
          <w:color w:val="3D3D3D"/>
          <w:spacing w:val="0"/>
          <w:sz w:val="30"/>
          <w:szCs w:val="30"/>
        </w:rPr>
      </w:pPr>
      <w:r>
        <w:rPr>
          <w:rFonts w:hint="eastAsia" w:ascii="宋体" w:hAnsi="宋体" w:eastAsia="宋体" w:cs="宋体"/>
          <w:i w:val="0"/>
          <w:iCs w:val="0"/>
          <w:caps w:val="0"/>
          <w:color w:val="3D3D3D"/>
          <w:spacing w:val="0"/>
          <w:sz w:val="30"/>
          <w:szCs w:val="30"/>
          <w:shd w:val="clear" w:color="auto" w:fill="FFFFFF"/>
        </w:rPr>
        <w:t>施道路客运站的站级核定相关事务性工作。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60" w:afterAutospacing="0" w:line="408" w:lineRule="atLeast"/>
        <w:ind w:left="0" w:right="0" w:firstLine="420"/>
        <w:jc w:val="both"/>
        <w:rPr>
          <w:rFonts w:hint="eastAsia" w:ascii="宋体" w:hAnsi="宋体" w:eastAsia="宋体" w:cs="宋体"/>
          <w:i w:val="0"/>
          <w:iCs w:val="0"/>
          <w:caps w:val="0"/>
          <w:color w:val="3D3D3D"/>
          <w:spacing w:val="0"/>
          <w:sz w:val="30"/>
          <w:szCs w:val="30"/>
        </w:rPr>
      </w:pPr>
      <w:r>
        <w:rPr>
          <w:rFonts w:hint="eastAsia" w:ascii="宋体" w:hAnsi="宋体" w:eastAsia="宋体" w:cs="宋体"/>
          <w:i w:val="0"/>
          <w:iCs w:val="0"/>
          <w:caps w:val="0"/>
          <w:color w:val="3D3D3D"/>
          <w:spacing w:val="0"/>
          <w:sz w:val="30"/>
          <w:szCs w:val="30"/>
          <w:shd w:val="clear" w:color="auto" w:fill="FFFFFF"/>
        </w:rPr>
        <w:t>(五)指导全市机动车维修行业事务性工作，负责道路运输车辆技术工作。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60" w:afterAutospacing="0" w:line="408" w:lineRule="atLeast"/>
        <w:ind w:left="0" w:right="0" w:firstLine="420"/>
        <w:jc w:val="both"/>
        <w:rPr>
          <w:rFonts w:hint="eastAsia" w:ascii="宋体" w:hAnsi="宋体" w:eastAsia="宋体" w:cs="宋体"/>
          <w:i w:val="0"/>
          <w:iCs w:val="0"/>
          <w:caps w:val="0"/>
          <w:color w:val="3D3D3D"/>
          <w:spacing w:val="0"/>
          <w:sz w:val="30"/>
          <w:szCs w:val="30"/>
        </w:rPr>
      </w:pPr>
      <w:r>
        <w:rPr>
          <w:rFonts w:hint="eastAsia" w:ascii="宋体" w:hAnsi="宋体" w:eastAsia="宋体" w:cs="宋体"/>
          <w:i w:val="0"/>
          <w:iCs w:val="0"/>
          <w:caps w:val="0"/>
          <w:color w:val="3D3D3D"/>
          <w:spacing w:val="0"/>
          <w:sz w:val="30"/>
          <w:szCs w:val="30"/>
          <w:shd w:val="clear" w:color="auto" w:fill="FFFFFF"/>
        </w:rPr>
        <w:t>(六)承担机动车驾驶员培训行业管理的事务性工作。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60" w:afterAutospacing="0" w:line="408" w:lineRule="atLeast"/>
        <w:ind w:left="0" w:right="0" w:firstLine="420"/>
        <w:jc w:val="both"/>
        <w:rPr>
          <w:rFonts w:hint="eastAsia" w:ascii="宋体" w:hAnsi="宋体" w:eastAsia="宋体" w:cs="宋体"/>
          <w:i w:val="0"/>
          <w:iCs w:val="0"/>
          <w:caps w:val="0"/>
          <w:color w:val="3D3D3D"/>
          <w:spacing w:val="0"/>
          <w:sz w:val="30"/>
          <w:szCs w:val="30"/>
        </w:rPr>
      </w:pPr>
      <w:r>
        <w:rPr>
          <w:rFonts w:hint="eastAsia" w:ascii="宋体" w:hAnsi="宋体" w:eastAsia="宋体" w:cs="宋体"/>
          <w:i w:val="0"/>
          <w:iCs w:val="0"/>
          <w:caps w:val="0"/>
          <w:color w:val="3D3D3D"/>
          <w:spacing w:val="0"/>
          <w:sz w:val="30"/>
          <w:szCs w:val="30"/>
          <w:shd w:val="clear" w:color="auto" w:fill="FFFFFF"/>
        </w:rPr>
        <w:t>(七)承担道路运输从业人员的资格审查、考试、考核等事务性工作。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60" w:afterAutospacing="0" w:line="408" w:lineRule="atLeast"/>
        <w:ind w:left="0" w:right="0" w:firstLine="420"/>
        <w:jc w:val="both"/>
        <w:rPr>
          <w:rFonts w:hint="eastAsia" w:ascii="宋体" w:hAnsi="宋体" w:eastAsia="宋体" w:cs="宋体"/>
          <w:i w:val="0"/>
          <w:iCs w:val="0"/>
          <w:caps w:val="0"/>
          <w:color w:val="3D3D3D"/>
          <w:spacing w:val="0"/>
          <w:sz w:val="30"/>
          <w:szCs w:val="30"/>
        </w:rPr>
      </w:pPr>
      <w:r>
        <w:rPr>
          <w:rFonts w:hint="eastAsia" w:ascii="宋体" w:hAnsi="宋体" w:eastAsia="宋体" w:cs="宋体"/>
          <w:i w:val="0"/>
          <w:iCs w:val="0"/>
          <w:caps w:val="0"/>
          <w:color w:val="3D3D3D"/>
          <w:spacing w:val="0"/>
          <w:sz w:val="30"/>
          <w:szCs w:val="30"/>
          <w:shd w:val="clear" w:color="auto" w:fill="FFFFFF"/>
        </w:rPr>
        <w:t>(八)参与处置道路运输安全生产事故及应急管理工作，参与抢险、救灾、战略物资等紧急道路运输任务和指令性运输的计划、组织、指导和调度，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60" w:afterAutospacing="0" w:line="408" w:lineRule="atLeast"/>
        <w:ind w:left="0" w:right="0" w:firstLine="420"/>
        <w:jc w:val="both"/>
        <w:rPr>
          <w:rFonts w:hint="eastAsia" w:ascii="宋体" w:hAnsi="宋体" w:eastAsia="宋体" w:cs="宋体"/>
          <w:i w:val="0"/>
          <w:iCs w:val="0"/>
          <w:caps w:val="0"/>
          <w:color w:val="3D3D3D"/>
          <w:spacing w:val="0"/>
          <w:sz w:val="30"/>
          <w:szCs w:val="30"/>
        </w:rPr>
      </w:pPr>
      <w:r>
        <w:rPr>
          <w:rFonts w:hint="eastAsia" w:ascii="宋体" w:hAnsi="宋体" w:eastAsia="宋体" w:cs="宋体"/>
          <w:i w:val="0"/>
          <w:iCs w:val="0"/>
          <w:caps w:val="0"/>
          <w:color w:val="3D3D3D"/>
          <w:spacing w:val="0"/>
          <w:sz w:val="30"/>
          <w:szCs w:val="30"/>
          <w:shd w:val="clear" w:color="auto" w:fill="FFFFFF"/>
        </w:rPr>
        <w:t>(九)负责全市道路运输行业科技、教育、诚信、节能减排和信息化建设的事务性工作。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60" w:afterAutospacing="0" w:line="408" w:lineRule="atLeast"/>
        <w:ind w:left="0" w:right="0" w:firstLine="420"/>
        <w:jc w:val="both"/>
        <w:rPr>
          <w:rFonts w:hint="eastAsia" w:ascii="宋体" w:hAnsi="宋体" w:eastAsia="宋体" w:cs="宋体"/>
          <w:i w:val="0"/>
          <w:iCs w:val="0"/>
          <w:caps w:val="0"/>
          <w:color w:val="3D3D3D"/>
          <w:spacing w:val="0"/>
          <w:sz w:val="30"/>
          <w:szCs w:val="30"/>
        </w:rPr>
      </w:pPr>
      <w:r>
        <w:rPr>
          <w:rFonts w:hint="eastAsia" w:ascii="宋体" w:hAnsi="宋体" w:eastAsia="宋体" w:cs="宋体"/>
          <w:i w:val="0"/>
          <w:iCs w:val="0"/>
          <w:caps w:val="0"/>
          <w:color w:val="3D3D3D"/>
          <w:spacing w:val="0"/>
          <w:sz w:val="30"/>
          <w:szCs w:val="30"/>
          <w:shd w:val="clear" w:color="auto" w:fill="FFFFFF"/>
        </w:rPr>
        <w:t>(十)参与农村客运车辆燃油税补贴汇总上报等事务性工作。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60" w:afterAutospacing="0" w:line="408" w:lineRule="atLeast"/>
        <w:ind w:left="0" w:right="0" w:firstLine="420"/>
        <w:jc w:val="both"/>
        <w:rPr>
          <w:rFonts w:hint="eastAsia" w:ascii="宋体" w:hAnsi="宋体" w:eastAsia="宋体" w:cs="宋体"/>
          <w:i w:val="0"/>
          <w:iCs w:val="0"/>
          <w:caps w:val="0"/>
          <w:color w:val="3D3D3D"/>
          <w:spacing w:val="0"/>
          <w:sz w:val="30"/>
          <w:szCs w:val="30"/>
        </w:rPr>
      </w:pPr>
      <w:r>
        <w:rPr>
          <w:rFonts w:hint="eastAsia" w:ascii="宋体" w:hAnsi="宋体" w:eastAsia="宋体" w:cs="宋体"/>
          <w:i w:val="0"/>
          <w:iCs w:val="0"/>
          <w:caps w:val="0"/>
          <w:color w:val="3D3D3D"/>
          <w:spacing w:val="0"/>
          <w:sz w:val="30"/>
          <w:szCs w:val="30"/>
          <w:shd w:val="clear" w:color="auto" w:fill="FFFFFF"/>
        </w:rPr>
        <w:t>(十一)负责对全市(县市区)道路运输服务机构的业务指导工作。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60" w:afterAutospacing="0" w:line="408" w:lineRule="atLeast"/>
        <w:ind w:left="0" w:right="0" w:firstLine="420"/>
        <w:jc w:val="both"/>
        <w:rPr>
          <w:rFonts w:hint="eastAsia" w:ascii="宋体" w:hAnsi="宋体" w:eastAsia="宋体" w:cs="宋体"/>
          <w:i w:val="0"/>
          <w:iCs w:val="0"/>
          <w:caps w:val="0"/>
          <w:color w:val="3D3D3D"/>
          <w:spacing w:val="0"/>
          <w:sz w:val="30"/>
          <w:szCs w:val="30"/>
        </w:rPr>
      </w:pPr>
      <w:r>
        <w:rPr>
          <w:rFonts w:hint="eastAsia" w:ascii="宋体" w:hAnsi="宋体" w:eastAsia="宋体" w:cs="宋体"/>
          <w:i w:val="0"/>
          <w:iCs w:val="0"/>
          <w:caps w:val="0"/>
          <w:color w:val="3D3D3D"/>
          <w:spacing w:val="0"/>
          <w:sz w:val="30"/>
          <w:szCs w:val="30"/>
          <w:shd w:val="clear" w:color="auto" w:fill="FFFFFF"/>
        </w:rPr>
        <w:t>(十二)承办市交通运输局交办的其他工作。</w:t>
      </w: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60" w:afterAutospacing="0" w:line="408" w:lineRule="atLeast"/>
        <w:ind w:left="0" w:right="0" w:firstLine="420"/>
        <w:jc w:val="both"/>
        <w:rPr>
          <w:rFonts w:hint="eastAsia" w:ascii="宋体" w:hAnsi="宋体" w:eastAsia="宋体" w:cs="宋体"/>
          <w:i w:val="0"/>
          <w:iCs w:val="0"/>
          <w:caps w:val="0"/>
          <w:color w:val="3D3D3D"/>
          <w:spacing w:val="0"/>
          <w:sz w:val="30"/>
          <w:szCs w:val="30"/>
        </w:rPr>
      </w:pPr>
      <w:r>
        <w:rPr>
          <w:rFonts w:hint="eastAsia" w:ascii="宋体" w:hAnsi="宋体" w:eastAsia="宋体" w:cs="宋体"/>
          <w:i w:val="0"/>
          <w:iCs w:val="0"/>
          <w:caps w:val="0"/>
          <w:color w:val="3D3D3D"/>
          <w:spacing w:val="0"/>
          <w:sz w:val="30"/>
          <w:szCs w:val="30"/>
          <w:shd w:val="clear" w:color="auto" w:fill="FFFFFF"/>
        </w:rPr>
        <w:t>（一）内设机构设置。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60" w:afterAutospacing="0" w:line="408" w:lineRule="atLeast"/>
        <w:ind w:left="0" w:right="0" w:firstLine="320"/>
        <w:jc w:val="both"/>
        <w:rPr>
          <w:rFonts w:hint="eastAsia" w:ascii="宋体" w:hAnsi="宋体" w:eastAsia="宋体" w:cs="宋体"/>
          <w:i w:val="0"/>
          <w:iCs w:val="0"/>
          <w:caps w:val="0"/>
          <w:color w:val="3D3D3D"/>
          <w:spacing w:val="0"/>
          <w:sz w:val="30"/>
          <w:szCs w:val="30"/>
        </w:rPr>
      </w:pPr>
      <w:r>
        <w:rPr>
          <w:rFonts w:hint="eastAsia" w:ascii="宋体" w:hAnsi="宋体" w:eastAsia="宋体" w:cs="宋体"/>
          <w:i w:val="0"/>
          <w:iCs w:val="0"/>
          <w:caps w:val="0"/>
          <w:color w:val="3D3D3D"/>
          <w:spacing w:val="0"/>
          <w:sz w:val="30"/>
          <w:szCs w:val="30"/>
          <w:shd w:val="clear" w:color="auto" w:fill="FFFFFF"/>
        </w:rPr>
        <w:t>怀化市道路运输服务中心属于二级预算单位，主管局为怀化市交通运输局，内设机构包括：1、综合部。2、人事和财务部。3、安全应急部。4、道路客货运部。5、机动车驾驶员服务部。6、从业人员服务部。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320"/>
        <w:jc w:val="both"/>
        <w:rPr>
          <w:rFonts w:hint="default" w:ascii="宋体" w:hAnsi="宋体" w:eastAsia="宋体" w:cs="宋体"/>
          <w:i w:val="0"/>
          <w:iCs w:val="0"/>
          <w:caps w:val="0"/>
          <w:color w:val="3D3D3D"/>
          <w:spacing w:val="0"/>
          <w:sz w:val="30"/>
          <w:szCs w:val="30"/>
          <w:shd w:val="clear" w:color="auto" w:fill="FFFFFF"/>
        </w:rPr>
      </w:pPr>
      <w:r>
        <w:rPr>
          <w:rFonts w:hint="eastAsia" w:ascii="宋体" w:hAnsi="宋体" w:eastAsia="宋体" w:cs="宋体"/>
          <w:i w:val="0"/>
          <w:iCs w:val="0"/>
          <w:caps w:val="0"/>
          <w:color w:val="3D3D3D"/>
          <w:spacing w:val="0"/>
          <w:sz w:val="30"/>
          <w:szCs w:val="30"/>
          <w:shd w:val="clear" w:color="auto" w:fill="FFFFFF"/>
        </w:rPr>
        <w:t>（二）决算单位构成。怀化市道路运输服务中心202</w:t>
      </w:r>
      <w:r>
        <w:rPr>
          <w:rFonts w:hint="eastAsia" w:ascii="宋体" w:hAnsi="宋体" w:eastAsia="宋体" w:cs="宋体"/>
          <w:i w:val="0"/>
          <w:iCs w:val="0"/>
          <w:caps w:val="0"/>
          <w:color w:val="3D3D3D"/>
          <w:spacing w:val="0"/>
          <w:sz w:val="30"/>
          <w:szCs w:val="30"/>
          <w:shd w:val="clear" w:color="auto" w:fill="FFFFFF"/>
          <w:lang w:val="en-US" w:eastAsia="zh-CN"/>
        </w:rPr>
        <w:t>4</w:t>
      </w:r>
      <w:r>
        <w:rPr>
          <w:rFonts w:hint="eastAsia" w:ascii="宋体" w:hAnsi="宋体" w:eastAsia="宋体" w:cs="宋体"/>
          <w:i w:val="0"/>
          <w:iCs w:val="0"/>
          <w:caps w:val="0"/>
          <w:color w:val="3D3D3D"/>
          <w:spacing w:val="0"/>
          <w:sz w:val="30"/>
          <w:szCs w:val="30"/>
          <w:shd w:val="clear" w:color="auto" w:fill="FFFFFF"/>
        </w:rPr>
        <w:t>年部门决算公开仅含怀化市道路运输服务中心单位本级。</w:t>
      </w: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pStyle w:val="7"/>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pPr>
        <w:pStyle w:val="13"/>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val="en-US" w:eastAsia="zh-CN" w:bidi="ar"/>
        </w:rPr>
        <w:t>怀化市道路运输服务中心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9"/>
        <w:tblW w:w="14896" w:type="dxa"/>
        <w:jc w:val="center"/>
        <w:tblLayout w:type="fixed"/>
        <w:tblCellMar>
          <w:top w:w="0" w:type="dxa"/>
          <w:left w:w="108" w:type="dxa"/>
          <w:bottom w:w="0" w:type="dxa"/>
          <w:right w:w="108" w:type="dxa"/>
        </w:tblCellMar>
      </w:tblPr>
      <w:tblGrid>
        <w:gridCol w:w="5763"/>
        <w:gridCol w:w="850"/>
        <w:gridCol w:w="1291"/>
        <w:gridCol w:w="4851"/>
        <w:gridCol w:w="850"/>
        <w:gridCol w:w="1291"/>
      </w:tblGrid>
      <w:tr>
        <w:tblPrEx>
          <w:tblCellMar>
            <w:top w:w="0" w:type="dxa"/>
            <w:left w:w="108" w:type="dxa"/>
            <w:bottom w:w="0" w:type="dxa"/>
            <w:right w:w="108" w:type="dxa"/>
          </w:tblCellMar>
        </w:tblPrEx>
        <w:trPr>
          <w:trHeight w:val="340" w:hRule="exact"/>
          <w:jc w:val="center"/>
        </w:trPr>
        <w:tc>
          <w:tcPr>
            <w:tcW w:w="79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699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color w:val="000000"/>
                <w:sz w:val="24"/>
                <w:szCs w:val="24"/>
              </w:rPr>
            </w:pP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color w:val="000000"/>
                <w:sz w:val="24"/>
                <w:szCs w:val="24"/>
              </w:rPr>
            </w:pP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870.97</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w:t>
            </w:r>
          </w:p>
        </w:tc>
      </w:tr>
      <w:tr>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二、外交支出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三、国防支出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四、公共安全支出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default" w:ascii="Times New Roman" w:hAnsi="Times New Roman" w:eastAsia="仿宋_GB2312" w:cs="Times New Roman"/>
                <w:color w:val="000000"/>
                <w:sz w:val="22"/>
                <w:lang w:val="en-US" w:eastAsia="zh-CN"/>
              </w:rPr>
            </w:pPr>
            <w:r>
              <w:rPr>
                <w:rFonts w:ascii="Times New Roman" w:hAnsi="Times New Roman" w:eastAsia="仿宋_GB2312" w:cs="Times New Roman"/>
                <w:color w:val="000000"/>
                <w:kern w:val="0"/>
                <w:sz w:val="22"/>
                <w:lang w:bidi="ar"/>
              </w:rPr>
              <w:t>五、</w:t>
            </w:r>
            <w:r>
              <w:rPr>
                <w:rFonts w:hint="eastAsia" w:ascii="Times New Roman" w:hAnsi="Times New Roman" w:eastAsia="仿宋_GB2312" w:cs="Times New Roman"/>
                <w:color w:val="000000"/>
                <w:kern w:val="0"/>
                <w:sz w:val="22"/>
                <w:lang w:val="en-US" w:eastAsia="zh-CN" w:bidi="ar"/>
              </w:rPr>
              <w:t>卫生健康支出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27.56</w:t>
            </w:r>
          </w:p>
        </w:tc>
      </w:tr>
      <w:tr>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default" w:ascii="Times New Roman" w:hAnsi="Times New Roman" w:eastAsia="仿宋_GB2312" w:cs="Times New Roman"/>
                <w:color w:val="000000"/>
                <w:sz w:val="22"/>
                <w:lang w:val="en-US" w:eastAsia="zh-CN"/>
              </w:rPr>
            </w:pPr>
            <w:r>
              <w:rPr>
                <w:rFonts w:ascii="Times New Roman" w:hAnsi="Times New Roman" w:eastAsia="仿宋_GB2312" w:cs="Times New Roman"/>
                <w:color w:val="000000"/>
                <w:kern w:val="0"/>
                <w:sz w:val="22"/>
                <w:lang w:bidi="ar"/>
              </w:rPr>
              <w:t>六、</w:t>
            </w:r>
            <w:r>
              <w:rPr>
                <w:rFonts w:hint="eastAsia" w:ascii="Times New Roman" w:hAnsi="Times New Roman" w:eastAsia="仿宋_GB2312" w:cs="Times New Roman"/>
                <w:color w:val="000000"/>
                <w:kern w:val="0"/>
                <w:sz w:val="22"/>
                <w:lang w:val="en-US" w:eastAsia="zh-CN" w:bidi="ar"/>
              </w:rPr>
              <w:t>社会保障和就业支出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66.66</w:t>
            </w:r>
          </w:p>
        </w:tc>
      </w:tr>
      <w:tr>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kern w:val="0"/>
                <w:sz w:val="24"/>
                <w:szCs w:val="24"/>
                <w:lang w:val="en-US" w:eastAsia="zh-CN" w:bidi="ar"/>
              </w:rPr>
              <w:t>七、交通运输支出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717.69</w:t>
            </w:r>
          </w:p>
        </w:tc>
      </w:tr>
      <w:tr>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八、其他收入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八、住房保障支出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57.07</w:t>
            </w:r>
          </w:p>
        </w:tc>
      </w:tr>
      <w:tr>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b/>
                <w:color w:val="000000"/>
                <w:sz w:val="22"/>
              </w:rPr>
            </w:pPr>
          </w:p>
        </w:tc>
      </w:tr>
      <w:tr>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本年收入合计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870.97</w:t>
            </w: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both"/>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870.97</w:t>
            </w:r>
          </w:p>
        </w:tc>
      </w:tr>
      <w:tr>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使用非财政拨款结余（含专用结余）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结余分配</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年初结转和结余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年末结转和结余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870.97</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color w:val="000000"/>
                <w:sz w:val="22"/>
                <w:lang w:val="en-US" w:eastAsia="zh-CN"/>
              </w:rPr>
            </w:pPr>
            <w:r>
              <w:rPr>
                <w:rFonts w:hint="eastAsia" w:ascii="Times New Roman" w:hAnsi="Times New Roman" w:eastAsia="仿宋_GB2312" w:cs="Times New Roman"/>
                <w:b/>
                <w:color w:val="000000"/>
                <w:sz w:val="22"/>
                <w:lang w:val="en-US" w:eastAsia="zh-CN"/>
              </w:rPr>
              <w:t>870.97</w:t>
            </w:r>
          </w:p>
        </w:tc>
      </w:tr>
    </w:tbl>
    <w:p>
      <w:pPr>
        <w:widowControl/>
        <w:jc w:val="left"/>
        <w:textAlignment w:val="center"/>
        <w:rPr>
          <w:rFonts w:ascii="Times New Roman" w:hAnsi="Times New Roman" w:eastAsia="宋体" w:cs="Times New Roman"/>
          <w:color w:val="000000"/>
          <w:kern w:val="0"/>
          <w:sz w:val="24"/>
          <w:szCs w:val="24"/>
          <w:lang w:bidi="ar"/>
        </w:rPr>
      </w:pPr>
    </w:p>
    <w:p>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pPr>
        <w:widowControl/>
        <w:spacing w:line="400" w:lineRule="exact"/>
        <w:jc w:val="center"/>
        <w:textAlignment w:val="center"/>
        <w:rPr>
          <w:rFonts w:ascii="Times New Roman" w:hAnsi="Times New Roman" w:eastAsia="黑体"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color w:val="000000"/>
          <w:kern w:val="0"/>
          <w:sz w:val="20"/>
          <w:szCs w:val="20"/>
          <w:lang w:val="en-US" w:eastAsia="zh-CN" w:bidi="ar"/>
        </w:rPr>
        <w:t>怀化市道路运输服务中心</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9"/>
        <w:tblW w:w="14666" w:type="dxa"/>
        <w:jc w:val="center"/>
        <w:tblLayout w:type="fixed"/>
        <w:tblCellMar>
          <w:top w:w="0" w:type="dxa"/>
          <w:left w:w="0" w:type="dxa"/>
          <w:bottom w:w="0" w:type="dxa"/>
          <w:right w:w="0" w:type="dxa"/>
        </w:tblCellMar>
      </w:tblPr>
      <w:tblGrid>
        <w:gridCol w:w="1063"/>
        <w:gridCol w:w="2208"/>
        <w:gridCol w:w="1555"/>
        <w:gridCol w:w="1640"/>
        <w:gridCol w:w="1640"/>
        <w:gridCol w:w="1640"/>
        <w:gridCol w:w="1640"/>
        <w:gridCol w:w="1897"/>
        <w:gridCol w:w="1383"/>
      </w:tblGrid>
      <w:tr>
        <w:tblPrEx>
          <w:tblCellMar>
            <w:top w:w="0" w:type="dxa"/>
            <w:left w:w="0" w:type="dxa"/>
            <w:bottom w:w="0" w:type="dxa"/>
            <w:right w:w="0" w:type="dxa"/>
          </w:tblCellMar>
        </w:tblPrEx>
        <w:trPr>
          <w:trHeight w:val="450" w:hRule="atLeast"/>
          <w:jc w:val="center"/>
        </w:trPr>
        <w:tc>
          <w:tcPr>
            <w:tcW w:w="327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55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tblPrEx>
          <w:tblCellMar>
            <w:top w:w="0" w:type="dxa"/>
            <w:left w:w="0" w:type="dxa"/>
            <w:bottom w:w="0" w:type="dxa"/>
            <w:right w:w="0" w:type="dxa"/>
          </w:tblCellMar>
        </w:tblPrEx>
        <w:trPr>
          <w:trHeight w:val="334" w:hRule="exact"/>
          <w:jc w:val="center"/>
        </w:trPr>
        <w:tc>
          <w:tcPr>
            <w:tcW w:w="10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2208"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55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CellMar>
            <w:top w:w="0" w:type="dxa"/>
            <w:left w:w="0" w:type="dxa"/>
            <w:bottom w:w="0" w:type="dxa"/>
            <w:right w:w="0" w:type="dxa"/>
          </w:tblCellMar>
        </w:tblPrEx>
        <w:trPr>
          <w:trHeight w:val="312" w:hRule="atLeast"/>
          <w:jc w:val="center"/>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220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55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CellMar>
            <w:top w:w="0" w:type="dxa"/>
            <w:left w:w="0" w:type="dxa"/>
            <w:bottom w:w="0" w:type="dxa"/>
            <w:right w:w="0" w:type="dxa"/>
          </w:tblCellMar>
        </w:tblPrEx>
        <w:trPr>
          <w:trHeight w:val="450" w:hRule="atLeast"/>
          <w:jc w:val="center"/>
        </w:trPr>
        <w:tc>
          <w:tcPr>
            <w:tcW w:w="327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5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tblPrEx>
          <w:tblCellMar>
            <w:top w:w="0" w:type="dxa"/>
            <w:left w:w="0" w:type="dxa"/>
            <w:bottom w:w="0" w:type="dxa"/>
            <w:right w:w="0" w:type="dxa"/>
          </w:tblCellMar>
        </w:tblPrEx>
        <w:trPr>
          <w:trHeight w:val="450" w:hRule="atLeast"/>
          <w:jc w:val="center"/>
        </w:trPr>
        <w:tc>
          <w:tcPr>
            <w:tcW w:w="327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5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870.97</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center" w:pos="805"/>
                <w:tab w:val="right" w:pos="1940"/>
              </w:tabs>
              <w:jc w:val="left"/>
              <w:rPr>
                <w:rFonts w:ascii="Times New Roman" w:hAnsi="Times New Roman" w:eastAsia="仿宋_GB2312" w:cs="Times New Roman"/>
                <w:sz w:val="24"/>
                <w:szCs w:val="24"/>
              </w:rPr>
            </w:pPr>
            <w:r>
              <w:rPr>
                <w:rFonts w:hint="eastAsia" w:ascii="Times New Roman" w:hAnsi="Times New Roman" w:eastAsia="仿宋_GB2312" w:cs="Times New Roman"/>
                <w:lang w:eastAsia="zh-CN"/>
              </w:rPr>
              <w:tab/>
            </w:r>
            <w:r>
              <w:rPr>
                <w:rFonts w:hint="eastAsia" w:ascii="Times New Roman" w:hAnsi="Times New Roman" w:eastAsia="仿宋_GB2312" w:cs="Times New Roman"/>
                <w:lang w:val="en-US" w:eastAsia="zh-CN"/>
              </w:rPr>
              <w:t xml:space="preserve">        870.97</w:t>
            </w:r>
            <w:r>
              <w:rPr>
                <w:rFonts w:hint="eastAsia" w:ascii="Times New Roman" w:hAnsi="Times New Roman" w:eastAsia="仿宋_GB2312" w:cs="Times New Roman"/>
                <w:lang w:eastAsia="zh-CN"/>
              </w:rPr>
              <w:tab/>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0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2019999</w:t>
            </w:r>
          </w:p>
        </w:tc>
        <w:tc>
          <w:tcPr>
            <w:tcW w:w="22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rPr>
              <w:t>其他一般公共服务支出</w:t>
            </w:r>
          </w:p>
        </w:tc>
        <w:tc>
          <w:tcPr>
            <w:tcW w:w="155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64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0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2080505</w:t>
            </w:r>
          </w:p>
        </w:tc>
        <w:tc>
          <w:tcPr>
            <w:tcW w:w="22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rPr>
              <w:t>机关事业单位基本养老保险缴费支出</w:t>
            </w:r>
          </w:p>
        </w:tc>
        <w:tc>
          <w:tcPr>
            <w:tcW w:w="155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66.66</w:t>
            </w:r>
          </w:p>
        </w:tc>
        <w:tc>
          <w:tcPr>
            <w:tcW w:w="164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66.66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0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2101101</w:t>
            </w:r>
          </w:p>
        </w:tc>
        <w:tc>
          <w:tcPr>
            <w:tcW w:w="22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tabs>
                <w:tab w:val="center" w:pos="1089"/>
              </w:tabs>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lang w:eastAsia="zh-CN"/>
              </w:rPr>
              <w:t>行政单位医疗</w:t>
            </w:r>
          </w:p>
        </w:tc>
        <w:tc>
          <w:tcPr>
            <w:tcW w:w="15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rPr>
              <w:t>27.56</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rPr>
              <w:t>27.56</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0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2140110</w:t>
            </w:r>
          </w:p>
        </w:tc>
        <w:tc>
          <w:tcPr>
            <w:tcW w:w="22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rPr>
              <w:t>公路和运输安全</w:t>
            </w:r>
          </w:p>
        </w:tc>
        <w:tc>
          <w:tcPr>
            <w:tcW w:w="15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rPr>
              <w:t>10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rPr>
              <w:t>10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0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2140112</w:t>
            </w:r>
          </w:p>
        </w:tc>
        <w:tc>
          <w:tcPr>
            <w:tcW w:w="22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rPr>
              <w:t>公路运输管理</w:t>
            </w:r>
          </w:p>
        </w:tc>
        <w:tc>
          <w:tcPr>
            <w:tcW w:w="15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rPr>
              <w:t>642.27</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rPr>
              <w:t>642.27</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0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2140199</w:t>
            </w:r>
          </w:p>
        </w:tc>
        <w:tc>
          <w:tcPr>
            <w:tcW w:w="220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rPr>
              <w:t>其他公路水路运输支出</w:t>
            </w:r>
          </w:p>
        </w:tc>
        <w:tc>
          <w:tcPr>
            <w:tcW w:w="15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rPr>
              <w:t>45.81</w:t>
            </w: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hint="eastAsia" w:ascii="Times New Roman" w:hAnsi="Times New Roman" w:eastAsia="仿宋_GB2312" w:cs="Times New Roman"/>
              </w:rPr>
              <w:t>45.81</w:t>
            </w: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CellMar>
            <w:top w:w="0" w:type="dxa"/>
            <w:left w:w="0" w:type="dxa"/>
            <w:bottom w:w="0" w:type="dxa"/>
            <w:right w:w="0" w:type="dxa"/>
          </w:tblCellMar>
        </w:tblPrEx>
        <w:trPr>
          <w:trHeight w:val="450" w:hRule="atLeast"/>
          <w:jc w:val="center"/>
        </w:trPr>
        <w:tc>
          <w:tcPr>
            <w:tcW w:w="10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ascii="Times New Roman" w:hAnsi="Times New Roman" w:eastAsia="仿宋_GB2312" w:cs="Times New Roman"/>
              </w:rPr>
            </w:pPr>
            <w:r>
              <w:rPr>
                <w:rFonts w:hint="eastAsia" w:ascii="Times New Roman" w:hAnsi="Times New Roman" w:eastAsia="仿宋_GB2312" w:cs="Times New Roman"/>
              </w:rPr>
              <w:t>2149999</w:t>
            </w:r>
          </w:p>
        </w:tc>
        <w:tc>
          <w:tcPr>
            <w:tcW w:w="220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其他交通运输支出</w:t>
            </w:r>
          </w:p>
        </w:tc>
        <w:tc>
          <w:tcPr>
            <w:tcW w:w="15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19.6</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19.6</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CellMar>
            <w:top w:w="0" w:type="dxa"/>
            <w:left w:w="0" w:type="dxa"/>
            <w:bottom w:w="0" w:type="dxa"/>
            <w:right w:w="0" w:type="dxa"/>
          </w:tblCellMar>
        </w:tblPrEx>
        <w:trPr>
          <w:trHeight w:val="450" w:hRule="atLeast"/>
          <w:jc w:val="center"/>
        </w:trPr>
        <w:tc>
          <w:tcPr>
            <w:tcW w:w="10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ascii="Times New Roman" w:hAnsi="Times New Roman" w:eastAsia="仿宋_GB2312" w:cs="Times New Roman"/>
              </w:rPr>
            </w:pPr>
            <w:r>
              <w:rPr>
                <w:rFonts w:hint="eastAsia" w:ascii="Times New Roman" w:hAnsi="Times New Roman" w:eastAsia="仿宋_GB2312" w:cs="Times New Roman"/>
              </w:rPr>
              <w:t>2210201</w:t>
            </w:r>
          </w:p>
        </w:tc>
        <w:tc>
          <w:tcPr>
            <w:tcW w:w="220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rPr>
              <w:t>住房公积金</w:t>
            </w:r>
          </w:p>
        </w:tc>
        <w:tc>
          <w:tcPr>
            <w:tcW w:w="15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57.07</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r>
              <w:rPr>
                <w:rFonts w:hint="eastAsia" w:ascii="Times New Roman" w:hAnsi="Times New Roman" w:eastAsia="仿宋_GB2312" w:cs="Times New Roman"/>
              </w:rPr>
              <w:t>57.07</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rPr>
            </w:pPr>
          </w:p>
        </w:tc>
      </w:tr>
    </w:tbl>
    <w:p>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jc w:val="center"/>
        <w:textAlignment w:val="center"/>
        <w:rPr>
          <w:rFonts w:ascii="Times New Roman" w:hAnsi="Times New Roman" w:eastAsia="黑体"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bidi="ar"/>
        </w:rPr>
        <w:t>怀化市道路运输服务中心</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9"/>
        <w:tblW w:w="14214" w:type="dxa"/>
        <w:jc w:val="center"/>
        <w:tblLayout w:type="fixed"/>
        <w:tblCellMar>
          <w:top w:w="0" w:type="dxa"/>
          <w:left w:w="108" w:type="dxa"/>
          <w:bottom w:w="0" w:type="dxa"/>
          <w:right w:w="108" w:type="dxa"/>
        </w:tblCellMar>
      </w:tblPr>
      <w:tblGrid>
        <w:gridCol w:w="1113"/>
        <w:gridCol w:w="2650"/>
        <w:gridCol w:w="1877"/>
        <w:gridCol w:w="1334"/>
        <w:gridCol w:w="1333"/>
        <w:gridCol w:w="1876"/>
        <w:gridCol w:w="1333"/>
        <w:gridCol w:w="2698"/>
      </w:tblGrid>
      <w:tr>
        <w:tblPrEx>
          <w:tblCellMar>
            <w:top w:w="0" w:type="dxa"/>
            <w:left w:w="108" w:type="dxa"/>
            <w:bottom w:w="0" w:type="dxa"/>
            <w:right w:w="108" w:type="dxa"/>
          </w:tblCellMar>
        </w:tblPrEx>
        <w:trPr>
          <w:trHeight w:val="595" w:hRule="atLeast"/>
          <w:jc w:val="center"/>
        </w:trPr>
        <w:tc>
          <w:tcPr>
            <w:tcW w:w="376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187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13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133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18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133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269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tblPrEx>
          <w:tblCellMar>
            <w:top w:w="0" w:type="dxa"/>
            <w:left w:w="108" w:type="dxa"/>
            <w:bottom w:w="0" w:type="dxa"/>
            <w:right w:w="108" w:type="dxa"/>
          </w:tblCellMar>
        </w:tblPrEx>
        <w:trPr>
          <w:trHeight w:val="312" w:hRule="exact"/>
          <w:jc w:val="center"/>
        </w:trPr>
        <w:tc>
          <w:tcPr>
            <w:tcW w:w="111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265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1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1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26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r>
      <w:tr>
        <w:tblPrEx>
          <w:tblCellMar>
            <w:top w:w="0" w:type="dxa"/>
            <w:left w:w="108" w:type="dxa"/>
            <w:bottom w:w="0" w:type="dxa"/>
            <w:right w:w="108" w:type="dxa"/>
          </w:tblCellMar>
        </w:tblPrEx>
        <w:trPr>
          <w:trHeight w:val="595" w:hRule="atLeast"/>
          <w:jc w:val="center"/>
        </w:trPr>
        <w:tc>
          <w:tcPr>
            <w:tcW w:w="11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26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26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376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187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1334"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33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87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33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2698"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tblPrEx>
          <w:tblCellMar>
            <w:top w:w="0" w:type="dxa"/>
            <w:left w:w="108" w:type="dxa"/>
            <w:bottom w:w="0" w:type="dxa"/>
            <w:right w:w="108" w:type="dxa"/>
          </w:tblCellMar>
        </w:tblPrEx>
        <w:trPr>
          <w:trHeight w:val="595" w:hRule="atLeast"/>
          <w:jc w:val="center"/>
        </w:trPr>
        <w:tc>
          <w:tcPr>
            <w:tcW w:w="376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87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870.97</w:t>
            </w:r>
          </w:p>
        </w:tc>
        <w:tc>
          <w:tcPr>
            <w:tcW w:w="13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756.47</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114.5</w:t>
            </w:r>
          </w:p>
        </w:tc>
        <w:tc>
          <w:tcPr>
            <w:tcW w:w="18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9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420" w:hRule="atLeast"/>
          <w:jc w:val="center"/>
        </w:trPr>
        <w:tc>
          <w:tcPr>
            <w:tcW w:w="11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2019999</w:t>
            </w:r>
          </w:p>
        </w:tc>
        <w:tc>
          <w:tcPr>
            <w:tcW w:w="2650"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其他一般公共服务支出</w:t>
            </w:r>
          </w:p>
        </w:tc>
        <w:tc>
          <w:tcPr>
            <w:tcW w:w="187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w:t>
            </w:r>
          </w:p>
        </w:tc>
        <w:tc>
          <w:tcPr>
            <w:tcW w:w="13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w:t>
            </w:r>
          </w:p>
        </w:tc>
        <w:tc>
          <w:tcPr>
            <w:tcW w:w="18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9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540" w:hRule="atLeast"/>
          <w:jc w:val="center"/>
        </w:trPr>
        <w:tc>
          <w:tcPr>
            <w:tcW w:w="11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2080505</w:t>
            </w:r>
          </w:p>
        </w:tc>
        <w:tc>
          <w:tcPr>
            <w:tcW w:w="2650"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机关事业单位基本养老保险缴费支出</w:t>
            </w:r>
          </w:p>
        </w:tc>
        <w:tc>
          <w:tcPr>
            <w:tcW w:w="187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66.66</w:t>
            </w:r>
          </w:p>
        </w:tc>
        <w:tc>
          <w:tcPr>
            <w:tcW w:w="13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66.66</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p>
        </w:tc>
        <w:tc>
          <w:tcPr>
            <w:tcW w:w="18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9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439" w:hRule="atLeast"/>
          <w:jc w:val="center"/>
        </w:trPr>
        <w:tc>
          <w:tcPr>
            <w:tcW w:w="11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2101101</w:t>
            </w:r>
          </w:p>
        </w:tc>
        <w:tc>
          <w:tcPr>
            <w:tcW w:w="2650"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行政单位医疗</w:t>
            </w:r>
          </w:p>
        </w:tc>
        <w:tc>
          <w:tcPr>
            <w:tcW w:w="187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27.56</w:t>
            </w:r>
          </w:p>
        </w:tc>
        <w:tc>
          <w:tcPr>
            <w:tcW w:w="13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27.56</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p>
        </w:tc>
        <w:tc>
          <w:tcPr>
            <w:tcW w:w="18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9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463" w:hRule="atLeast"/>
          <w:jc w:val="center"/>
        </w:trPr>
        <w:tc>
          <w:tcPr>
            <w:tcW w:w="11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2140110</w:t>
            </w:r>
          </w:p>
        </w:tc>
        <w:tc>
          <w:tcPr>
            <w:tcW w:w="2650"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公路和运输安全</w:t>
            </w:r>
          </w:p>
        </w:tc>
        <w:tc>
          <w:tcPr>
            <w:tcW w:w="187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10</w:t>
            </w:r>
          </w:p>
        </w:tc>
        <w:tc>
          <w:tcPr>
            <w:tcW w:w="13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10</w:t>
            </w:r>
          </w:p>
        </w:tc>
        <w:tc>
          <w:tcPr>
            <w:tcW w:w="18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9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499" w:hRule="atLeast"/>
          <w:jc w:val="center"/>
        </w:trPr>
        <w:tc>
          <w:tcPr>
            <w:tcW w:w="11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2140112</w:t>
            </w:r>
          </w:p>
        </w:tc>
        <w:tc>
          <w:tcPr>
            <w:tcW w:w="2650"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公路运输管理</w:t>
            </w:r>
            <w:r>
              <w:rPr>
                <w:rFonts w:ascii="Times New Roman" w:hAnsi="Times New Roman" w:eastAsia="仿宋_GB2312" w:cs="Times New Roman"/>
                <w:kern w:val="0"/>
                <w:sz w:val="24"/>
                <w:szCs w:val="24"/>
              </w:rPr>
              <w:t>　</w:t>
            </w:r>
          </w:p>
        </w:tc>
        <w:tc>
          <w:tcPr>
            <w:tcW w:w="187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642.27</w:t>
            </w:r>
          </w:p>
        </w:tc>
        <w:tc>
          <w:tcPr>
            <w:tcW w:w="13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604.77</w:t>
            </w:r>
          </w:p>
        </w:tc>
        <w:tc>
          <w:tcPr>
            <w:tcW w:w="1333" w:type="dxa"/>
            <w:tcBorders>
              <w:top w:val="nil"/>
              <w:left w:val="nil"/>
              <w:bottom w:val="single" w:color="auto" w:sz="4" w:space="0"/>
              <w:right w:val="single" w:color="auto" w:sz="4" w:space="0"/>
            </w:tcBorders>
            <w:shd w:val="clear" w:color="auto" w:fill="auto"/>
            <w:noWrap/>
            <w:vAlign w:val="center"/>
          </w:tcPr>
          <w:p>
            <w:pPr>
              <w:widowControl/>
              <w:tabs>
                <w:tab w:val="center" w:pos="558"/>
                <w:tab w:val="right" w:pos="1477"/>
              </w:tabs>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eastAsia="zh-CN"/>
              </w:rPr>
              <w:t>37.5</w:t>
            </w:r>
          </w:p>
        </w:tc>
        <w:tc>
          <w:tcPr>
            <w:tcW w:w="18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9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405" w:hRule="atLeast"/>
          <w:jc w:val="center"/>
        </w:trPr>
        <w:tc>
          <w:tcPr>
            <w:tcW w:w="11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2140199</w:t>
            </w:r>
          </w:p>
        </w:tc>
        <w:tc>
          <w:tcPr>
            <w:tcW w:w="265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其他公路水路运输支出</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45.81</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0.41</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535"/>
                <w:tab w:val="right" w:pos="1477"/>
              </w:tabs>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eastAsia="zh-CN"/>
              </w:rPr>
              <w:t>45.4</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429" w:hRule="atLeast"/>
          <w:jc w:val="center"/>
        </w:trPr>
        <w:tc>
          <w:tcPr>
            <w:tcW w:w="11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2149999</w:t>
            </w:r>
          </w:p>
        </w:tc>
        <w:tc>
          <w:tcPr>
            <w:tcW w:w="265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其他交通运输支出</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19.6</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19.6</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2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35" w:hRule="atLeast"/>
          <w:jc w:val="center"/>
        </w:trPr>
        <w:tc>
          <w:tcPr>
            <w:tcW w:w="11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2210201</w:t>
            </w:r>
          </w:p>
        </w:tc>
        <w:tc>
          <w:tcPr>
            <w:tcW w:w="265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住房公积金</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57.07</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57.07</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p>
        </w:tc>
        <w:tc>
          <w:tcPr>
            <w:tcW w:w="18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c>
          <w:tcPr>
            <w:tcW w:w="2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4"/>
                <w:szCs w:val="24"/>
              </w:rPr>
            </w:pPr>
          </w:p>
        </w:tc>
      </w:tr>
    </w:tbl>
    <w:p>
      <w:pPr>
        <w:widowControl/>
        <w:spacing w:before="120"/>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注：本表反映部门本年度各项支出情况。</w:t>
      </w: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pPr>
        <w:widowControl/>
        <w:spacing w:line="400" w:lineRule="exact"/>
        <w:jc w:val="center"/>
        <w:textAlignment w:val="center"/>
        <w:rPr>
          <w:rFonts w:ascii="Times New Roman" w:hAnsi="Times New Roman" w:eastAsia="黑体"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bidi="ar"/>
        </w:rPr>
        <w:t>怀化市道路运输服务中心</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9"/>
        <w:tblW w:w="14220" w:type="dxa"/>
        <w:jc w:val="center"/>
        <w:tblLayout w:type="fixed"/>
        <w:tblCellMar>
          <w:top w:w="0" w:type="dxa"/>
          <w:left w:w="108" w:type="dxa"/>
          <w:bottom w:w="0" w:type="dxa"/>
          <w:right w:w="108" w:type="dxa"/>
        </w:tblCellMar>
      </w:tblPr>
      <w:tblGrid>
        <w:gridCol w:w="3516"/>
        <w:gridCol w:w="456"/>
        <w:gridCol w:w="856"/>
        <w:gridCol w:w="2636"/>
        <w:gridCol w:w="480"/>
        <w:gridCol w:w="832"/>
        <w:gridCol w:w="1678"/>
        <w:gridCol w:w="1815"/>
        <w:gridCol w:w="1951"/>
      </w:tblGrid>
      <w:tr>
        <w:tblPrEx>
          <w:tblCellMar>
            <w:top w:w="0" w:type="dxa"/>
            <w:left w:w="108" w:type="dxa"/>
            <w:bottom w:w="0" w:type="dxa"/>
            <w:right w:w="108" w:type="dxa"/>
          </w:tblCellMar>
        </w:tblPrEx>
        <w:trPr>
          <w:trHeight w:val="402" w:hRule="atLeast"/>
          <w:jc w:val="center"/>
        </w:trPr>
        <w:tc>
          <w:tcPr>
            <w:tcW w:w="482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9392" w:type="dxa"/>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tblPrEx>
          <w:tblCellMar>
            <w:top w:w="0" w:type="dxa"/>
            <w:left w:w="108" w:type="dxa"/>
            <w:bottom w:w="0" w:type="dxa"/>
            <w:right w:w="108" w:type="dxa"/>
          </w:tblCellMar>
        </w:tblPrEx>
        <w:trPr>
          <w:trHeight w:val="630"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85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263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8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67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5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263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9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870.97</w:t>
            </w: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8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w:t>
            </w: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2</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8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8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8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w:t>
            </w:r>
            <w:r>
              <w:rPr>
                <w:rFonts w:hint="eastAsia" w:ascii="Times New Roman" w:hAnsi="Times New Roman" w:eastAsia="仿宋_GB2312" w:cs="Times New Roman"/>
                <w:kern w:val="0"/>
                <w:sz w:val="22"/>
              </w:rPr>
              <w:t>社会保障和就业支出</w:t>
            </w:r>
          </w:p>
        </w:tc>
        <w:tc>
          <w:tcPr>
            <w:tcW w:w="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8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66.66</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66.66</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w:t>
            </w:r>
            <w:r>
              <w:rPr>
                <w:rFonts w:hint="eastAsia" w:ascii="Times New Roman" w:hAnsi="Times New Roman" w:eastAsia="仿宋_GB2312" w:cs="Times New Roman"/>
                <w:kern w:val="0"/>
                <w:sz w:val="22"/>
              </w:rPr>
              <w:t>卫生健康支出</w:t>
            </w:r>
          </w:p>
        </w:tc>
        <w:tc>
          <w:tcPr>
            <w:tcW w:w="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8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27.56</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27.56</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七、</w:t>
            </w:r>
            <w:r>
              <w:rPr>
                <w:rFonts w:hint="eastAsia" w:ascii="Times New Roman" w:hAnsi="Times New Roman" w:eastAsia="仿宋_GB2312" w:cs="Times New Roman"/>
                <w:kern w:val="0"/>
                <w:sz w:val="24"/>
                <w:szCs w:val="24"/>
              </w:rPr>
              <w:t>交通运输支出</w:t>
            </w:r>
          </w:p>
        </w:tc>
        <w:tc>
          <w:tcPr>
            <w:tcW w:w="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8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717.69</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717.69</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85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八、</w:t>
            </w:r>
            <w:r>
              <w:rPr>
                <w:rFonts w:hint="eastAsia" w:ascii="Times New Roman" w:hAnsi="Times New Roman" w:eastAsia="仿宋_GB2312" w:cs="Times New Roman"/>
                <w:kern w:val="0"/>
                <w:sz w:val="22"/>
              </w:rPr>
              <w:t>住房保障支出</w:t>
            </w:r>
          </w:p>
        </w:tc>
        <w:tc>
          <w:tcPr>
            <w:tcW w:w="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8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57.07</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57.07</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870.97</w:t>
            </w: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8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870.97</w:t>
            </w: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rPr>
              <w:t>870.97</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8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8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8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4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83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45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870.97</w:t>
            </w: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48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832"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870.97</w:t>
            </w: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870.97</w:t>
            </w: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c>
          <w:tcPr>
            <w:tcW w:w="19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pPr>
        <w:widowControl/>
        <w:jc w:val="left"/>
        <w:rPr>
          <w:rFonts w:ascii="Times New Roman" w:hAnsi="Times New Roman" w:eastAsia="方正小标宋_GBK" w:cs="Times New Roman"/>
          <w:kern w:val="0"/>
          <w:sz w:val="36"/>
          <w:szCs w:val="36"/>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w:t>
      </w:r>
      <w:r>
        <w:rPr>
          <w:rFonts w:hint="eastAsia" w:ascii="Times New Roman" w:hAnsi="Times New Roman" w:eastAsia="仿宋_GB2312" w:cs="Times New Roman"/>
          <w:color w:val="000000"/>
          <w:kern w:val="0"/>
          <w:sz w:val="20"/>
          <w:szCs w:val="20"/>
          <w:lang w:val="en-US" w:eastAsia="zh-CN" w:bidi="ar"/>
        </w:rPr>
        <w:t>怀化市道路运输服务中心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9"/>
        <w:tblW w:w="14219" w:type="dxa"/>
        <w:jc w:val="center"/>
        <w:tblLayout w:type="fixed"/>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870.97</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756.47</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114.5</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2019999</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2080505</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66.66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66.66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2101101</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行政单位医疗</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27.56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27.56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2140110</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公路和运输安全</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2140112</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公路运输管理</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642.27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604.77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37.5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2140199</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其他公路水路运输支出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45.81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0.41</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45.4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2149999</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其他交通运输支出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19.6</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2210201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住房公积金</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57.07</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57.07</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r>
    </w:tbl>
    <w:p>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黑体" w:cs="Times New Roman"/>
          <w:color w:val="000000"/>
          <w:kern w:val="0"/>
          <w:sz w:val="36"/>
          <w:szCs w:val="36"/>
          <w:lang w:bidi="ar"/>
        </w:rPr>
      </w:pPr>
      <w:r>
        <w:rPr>
          <w:rFonts w:ascii="Times New Roman" w:hAnsi="Times New Roman" w:eastAsia="仿宋_GB2312" w:cs="Times New Roman"/>
          <w:bCs/>
          <w:kern w:val="0"/>
          <w:szCs w:val="21"/>
        </w:rPr>
        <w:br w:type="page"/>
      </w:r>
      <w:bookmarkStart w:id="2" w:name="RANGE!A1:I34"/>
      <w:r>
        <w:rPr>
          <w:rFonts w:hint="eastAsia" w:ascii="Times New Roman" w:hAnsi="Times New Roman" w:eastAsia="仿宋_GB2312" w:cs="Times New Roman"/>
          <w:bCs/>
          <w:kern w:val="0"/>
          <w:szCs w:val="21"/>
          <w:lang w:val="en-US" w:eastAsia="zh-CN"/>
        </w:rPr>
        <w:t xml:space="preserve">                                  </w:t>
      </w:r>
      <w:r>
        <w:rPr>
          <w:rFonts w:ascii="Times New Roman" w:hAnsi="Times New Roman" w:eastAsia="黑体" w:cs="Times New Roman"/>
          <w:color w:val="000000"/>
          <w:kern w:val="0"/>
          <w:sz w:val="36"/>
          <w:szCs w:val="36"/>
          <w:lang w:bidi="ar"/>
        </w:rPr>
        <w:t>一般公共预算财政拨款基本支出决算明细表</w:t>
      </w:r>
      <w:bookmarkEnd w:id="2"/>
    </w:p>
    <w:p>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 w:val="20"/>
          <w:szCs w:val="20"/>
          <w:lang w:val="en-US" w:eastAsia="zh-CN" w:bidi="ar"/>
        </w:rPr>
        <w:t>怀化市道路运输服务中心</w:t>
      </w:r>
      <w:r>
        <w:rPr>
          <w:rFonts w:ascii="Times New Roman" w:hAnsi="Times New Roman" w:eastAsia="仿宋_GB2312" w:cs="Times New Roman"/>
          <w:color w:val="000000"/>
          <w:kern w:val="0"/>
          <w:szCs w:val="21"/>
        </w:rPr>
        <w:t xml:space="preserve">                                                                                                                公开06表</w:t>
      </w:r>
    </w:p>
    <w:p>
      <w:pPr>
        <w:widowControl/>
        <w:spacing w:line="240" w:lineRule="exact"/>
        <w:jc w:val="center"/>
        <w:rPr>
          <w:rFonts w:ascii="Times New Roman" w:hAnsi="Times New Roman" w:eastAsia="华文中宋" w:cs="Times New Roman"/>
          <w:color w:val="000000"/>
          <w:kern w:val="0"/>
          <w:szCs w:val="32"/>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9"/>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tblPrEx>
          <w:tblCellMar>
            <w:top w:w="0" w:type="dxa"/>
            <w:left w:w="108" w:type="dxa"/>
            <w:bottom w:w="0" w:type="dxa"/>
            <w:right w:w="108" w:type="dxa"/>
          </w:tblCellMar>
        </w:tblPrEx>
        <w:trPr>
          <w:trHeight w:val="446"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tblPrEx>
          <w:tblCellMar>
            <w:top w:w="0" w:type="dxa"/>
            <w:left w:w="108" w:type="dxa"/>
            <w:bottom w:w="0" w:type="dxa"/>
            <w:right w:w="108" w:type="dxa"/>
          </w:tblCellMar>
        </w:tblPrEx>
        <w:trPr>
          <w:trHeight w:val="258"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631.65</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67.04</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229.77</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12.30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111.16</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132.44</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66.66</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27.56</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57.07</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55.27</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55.27</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31.97</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10.77</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686.92</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69.54</w:t>
            </w:r>
          </w:p>
        </w:tc>
      </w:tr>
    </w:tbl>
    <w:p>
      <w:pPr>
        <w:widowControl/>
        <w:spacing w:line="400" w:lineRule="exact"/>
        <w:jc w:val="both"/>
        <w:textAlignment w:val="center"/>
        <w:rPr>
          <w:rFonts w:ascii="Times New Roman" w:hAnsi="Times New Roman" w:eastAsia="仿宋_GB2312"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val="en-US" w:eastAsia="zh-CN" w:bidi="ar"/>
        </w:rPr>
        <w:t>怀化市道路运输服务中心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9"/>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6"/>
                <w:rFonts w:hint="default" w:ascii="Times New Roman" w:hAnsi="Times New Roman" w:eastAsia="仿宋_GB2312" w:cs="Times New Roman"/>
                <w:b/>
                <w:bCs/>
                <w:lang w:bidi="ar"/>
              </w:rPr>
              <w:t xml:space="preserve">   </w:t>
            </w:r>
            <w:r>
              <w:rPr>
                <w:rStyle w:val="17"/>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 xml:space="preserve">       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 xml:space="preserve">       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bl>
    <w:p>
      <w:pPr>
        <w:widowControl/>
        <w:jc w:val="left"/>
        <w:textAlignment w:val="center"/>
        <w:rPr>
          <w:rFonts w:ascii="Times New Roman" w:hAnsi="Times New Roman" w:eastAsia="仿宋_GB2312" w:cs="Times New Roman"/>
          <w:color w:val="000000"/>
          <w:kern w:val="0"/>
          <w:sz w:val="24"/>
          <w:szCs w:val="24"/>
          <w:lang w:bidi="ar"/>
        </w:rPr>
      </w:pPr>
    </w:p>
    <w:p>
      <w:pPr>
        <w:widowControl/>
        <w:jc w:val="left"/>
        <w:textAlignment w:val="center"/>
        <w:rPr>
          <w:rFonts w:ascii="Times New Roman" w:hAnsi="Times New Roman" w:eastAsia="仿宋_GB2312" w:cs="Times New Roman"/>
          <w:color w:val="000000" w:themeColor="text1"/>
          <w:kern w:val="0"/>
          <w:sz w:val="24"/>
          <w:szCs w:val="24"/>
          <w:lang w:bidi="ar"/>
          <w14:textFill>
            <w14:solidFill>
              <w14:schemeClr w14:val="tx1"/>
            </w14:solidFill>
          </w14:textFill>
        </w:rPr>
      </w:pPr>
      <w:r>
        <w:rPr>
          <w:rFonts w:ascii="Times New Roman" w:hAnsi="Times New Roman" w:eastAsia="仿宋_GB2312" w:cs="Times New Roman"/>
          <w:b/>
          <w:bCs/>
          <w:color w:val="000000" w:themeColor="text1"/>
          <w:kern w:val="0"/>
          <w:sz w:val="24"/>
          <w:szCs w:val="24"/>
          <w:lang w:bidi="ar"/>
          <w14:textFill>
            <w14:solidFill>
              <w14:schemeClr w14:val="tx1"/>
            </w14:solidFill>
          </w14:textFill>
        </w:rPr>
        <w:t>说明：我单位没有政府性基金收入，也没有使用政府性基金安排的支出，故本表无数据。</w:t>
      </w:r>
    </w:p>
    <w:p>
      <w:pPr>
        <w:widowControl/>
        <w:jc w:val="center"/>
        <w:rPr>
          <w:rFonts w:ascii="Times New Roman" w:hAnsi="Times New Roman" w:eastAsia="方正小标宋_GBK" w:cs="Times New Roman"/>
          <w:color w:val="000000"/>
          <w:kern w:val="0"/>
          <w:sz w:val="36"/>
          <w:szCs w:val="36"/>
        </w:rPr>
      </w:pPr>
    </w:p>
    <w:p>
      <w:pPr>
        <w:widowControl/>
        <w:spacing w:line="400" w:lineRule="exact"/>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w:t>
      </w:r>
      <w:r>
        <w:rPr>
          <w:rFonts w:hint="eastAsia" w:ascii="Times New Roman" w:hAnsi="Times New Roman" w:eastAsia="仿宋_GB2312" w:cs="Times New Roman"/>
          <w:color w:val="000000"/>
          <w:kern w:val="0"/>
          <w:sz w:val="20"/>
          <w:szCs w:val="20"/>
          <w:lang w:val="en-US" w:eastAsia="zh-CN" w:bidi="ar"/>
        </w:rPr>
        <w:t xml:space="preserve">         </w:t>
      </w:r>
      <w:r>
        <w:rPr>
          <w:rFonts w:ascii="Times New Roman" w:hAnsi="Times New Roman" w:eastAsia="仿宋_GB2312" w:cs="Times New Roman"/>
          <w:color w:val="000000"/>
          <w:kern w:val="0"/>
          <w:sz w:val="20"/>
          <w:szCs w:val="20"/>
          <w:lang w:bidi="ar"/>
        </w:rPr>
        <w:t>公开08表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val="en-US" w:eastAsia="zh-CN" w:bidi="ar"/>
        </w:rPr>
        <w:t>怀化市道路运输服务中心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9"/>
        <w:tblW w:w="14217" w:type="dxa"/>
        <w:tblInd w:w="0" w:type="dxa"/>
        <w:tblLayout w:type="fixed"/>
        <w:tblCellMar>
          <w:top w:w="0" w:type="dxa"/>
          <w:left w:w="108" w:type="dxa"/>
          <w:bottom w:w="0" w:type="dxa"/>
          <w:right w:w="108" w:type="dxa"/>
        </w:tblCellMar>
      </w:tblPr>
      <w:tblGrid>
        <w:gridCol w:w="3095"/>
        <w:gridCol w:w="3097"/>
        <w:gridCol w:w="1832"/>
        <w:gridCol w:w="3097"/>
        <w:gridCol w:w="3096"/>
      </w:tblGrid>
      <w:tr>
        <w:tblPrEx>
          <w:tblCellMar>
            <w:top w:w="0" w:type="dxa"/>
            <w:left w:w="108" w:type="dxa"/>
            <w:bottom w:w="0" w:type="dxa"/>
            <w:right w:w="108" w:type="dxa"/>
          </w:tblCellMar>
        </w:tblPrEx>
        <w:trPr>
          <w:trHeight w:val="548" w:hRule="atLeast"/>
        </w:trPr>
        <w:tc>
          <w:tcPr>
            <w:tcW w:w="6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18"/>
                <w:rFonts w:hint="default" w:ascii="Times New Roman" w:hAnsi="Times New Roman" w:eastAsia="仿宋_GB2312" w:cs="Times New Roman"/>
                <w:b/>
                <w:bCs/>
                <w:lang w:bidi="ar"/>
              </w:rPr>
              <w:t>目</w:t>
            </w:r>
          </w:p>
        </w:tc>
        <w:tc>
          <w:tcPr>
            <w:tcW w:w="8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tblPrEx>
          <w:tblCellMar>
            <w:top w:w="0" w:type="dxa"/>
            <w:left w:w="108" w:type="dxa"/>
            <w:bottom w:w="0" w:type="dxa"/>
            <w:right w:w="108" w:type="dxa"/>
          </w:tblCellMar>
        </w:tblPrEx>
        <w:trPr>
          <w:trHeight w:val="312" w:hRule="exact"/>
        </w:trPr>
        <w:tc>
          <w:tcPr>
            <w:tcW w:w="3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3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3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3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tblPrEx>
          <w:tblCellMar>
            <w:top w:w="0" w:type="dxa"/>
            <w:left w:w="108" w:type="dxa"/>
            <w:bottom w:w="0" w:type="dxa"/>
            <w:right w:w="108" w:type="dxa"/>
          </w:tblCellMar>
        </w:tblPrEx>
        <w:trPr>
          <w:trHeight w:val="312" w:hRule="exact"/>
        </w:trPr>
        <w:tc>
          <w:tcPr>
            <w:tcW w:w="3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12" w:hRule="atLeast"/>
        </w:trPr>
        <w:tc>
          <w:tcPr>
            <w:tcW w:w="3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6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tblPrEx>
          <w:tblCellMar>
            <w:top w:w="0" w:type="dxa"/>
            <w:left w:w="108" w:type="dxa"/>
            <w:bottom w:w="0" w:type="dxa"/>
            <w:right w:w="108" w:type="dxa"/>
          </w:tblCellMar>
        </w:tblPrEx>
        <w:trPr>
          <w:trHeight w:val="548" w:hRule="atLeast"/>
        </w:trPr>
        <w:tc>
          <w:tcPr>
            <w:tcW w:w="6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r>
      <w:tr>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bl>
    <w:p>
      <w:pPr>
        <w:widowControl/>
        <w:jc w:val="left"/>
        <w:textAlignment w:val="center"/>
        <w:rPr>
          <w:rFonts w:ascii="Times New Roman" w:hAnsi="Times New Roman" w:eastAsia="宋体" w:cs="Times New Roman"/>
          <w:color w:val="000000"/>
          <w:kern w:val="0"/>
          <w:sz w:val="24"/>
          <w:szCs w:val="24"/>
          <w:lang w:bidi="ar"/>
        </w:rPr>
      </w:pPr>
    </w:p>
    <w:p>
      <w:pPr>
        <w:widowControl/>
        <w:jc w:val="left"/>
        <w:textAlignment w:val="center"/>
        <w:rPr>
          <w:rFonts w:ascii="Times New Roman" w:hAnsi="Times New Roman" w:eastAsia="楷体_GB2312" w:cs="Times New Roman"/>
          <w:color w:val="000000" w:themeColor="text1"/>
          <w:kern w:val="0"/>
          <w:sz w:val="24"/>
          <w:szCs w:val="24"/>
          <w:lang w:bidi="ar"/>
          <w14:textFill>
            <w14:solidFill>
              <w14:schemeClr w14:val="tx1"/>
            </w14:solidFill>
          </w14:textFill>
        </w:rPr>
      </w:pPr>
      <w:r>
        <w:rPr>
          <w:rFonts w:ascii="Times New Roman" w:hAnsi="Times New Roman" w:eastAsia="楷体_GB2312" w:cs="Times New Roman"/>
          <w:b/>
          <w:bCs/>
          <w:color w:val="000000" w:themeColor="text1"/>
          <w:kern w:val="0"/>
          <w:sz w:val="24"/>
          <w:szCs w:val="24"/>
          <w:lang w:bidi="ar"/>
          <w14:textFill>
            <w14:solidFill>
              <w14:schemeClr w14:val="tx1"/>
            </w14:solidFill>
          </w14:textFill>
        </w:rPr>
        <w:t>说明：我单位没有使用国有资本经营预算安排的支出，故本表无数据。</w:t>
      </w:r>
    </w:p>
    <w:p>
      <w:pPr>
        <w:widowControl/>
        <w:jc w:val="center"/>
        <w:rPr>
          <w:rFonts w:ascii="Times New Roman" w:hAnsi="Times New Roman" w:eastAsia="方正小标宋_GBK" w:cs="Times New Roman"/>
          <w:color w:val="000000"/>
          <w:kern w:val="0"/>
          <w:sz w:val="36"/>
          <w:szCs w:val="36"/>
        </w:rPr>
      </w:pPr>
    </w:p>
    <w:p>
      <w:pPr>
        <w:pStyle w:val="7"/>
        <w:spacing w:line="400" w:lineRule="exact"/>
        <w:rPr>
          <w:rFonts w:ascii="Times New Roman" w:hAnsi="Times New Roman" w:eastAsia="华文中宋"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val="en-US" w:eastAsia="zh-CN" w:bidi="ar"/>
        </w:rPr>
        <w:t>怀化市道路运输服务中心</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9"/>
        <w:tblW w:w="14544" w:type="dxa"/>
        <w:jc w:val="center"/>
        <w:tblLayout w:type="fixed"/>
        <w:tblCellMar>
          <w:top w:w="0" w:type="dxa"/>
          <w:left w:w="108" w:type="dxa"/>
          <w:bottom w:w="0" w:type="dxa"/>
          <w:right w:w="108" w:type="dxa"/>
        </w:tblCellMar>
      </w:tblPr>
      <w:tblGrid>
        <w:gridCol w:w="935"/>
        <w:gridCol w:w="1229"/>
        <w:gridCol w:w="1086"/>
        <w:gridCol w:w="1188"/>
        <w:gridCol w:w="1425"/>
        <w:gridCol w:w="1373"/>
        <w:gridCol w:w="1050"/>
        <w:gridCol w:w="1166"/>
        <w:gridCol w:w="1166"/>
        <w:gridCol w:w="1166"/>
        <w:gridCol w:w="1358"/>
        <w:gridCol w:w="1402"/>
      </w:tblGrid>
      <w:tr>
        <w:tblPrEx>
          <w:tblCellMar>
            <w:top w:w="0" w:type="dxa"/>
            <w:left w:w="108" w:type="dxa"/>
            <w:bottom w:w="0" w:type="dxa"/>
            <w:right w:w="108" w:type="dxa"/>
          </w:tblCellMar>
        </w:tblPrEx>
        <w:trPr>
          <w:trHeight w:val="606" w:hRule="atLeast"/>
          <w:jc w:val="center"/>
        </w:trPr>
        <w:tc>
          <w:tcPr>
            <w:tcW w:w="72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73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tblPrEx>
          <w:tblCellMar>
            <w:top w:w="0" w:type="dxa"/>
            <w:left w:w="108" w:type="dxa"/>
            <w:bottom w:w="0" w:type="dxa"/>
            <w:right w:w="108" w:type="dxa"/>
          </w:tblCellMar>
        </w:tblPrEx>
        <w:trPr>
          <w:trHeight w:val="495" w:hRule="atLeast"/>
          <w:jc w:val="center"/>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3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tblPrEx>
          <w:tblCellMar>
            <w:top w:w="0" w:type="dxa"/>
            <w:left w:w="108" w:type="dxa"/>
            <w:bottom w:w="0" w:type="dxa"/>
            <w:right w:w="108" w:type="dxa"/>
          </w:tblCellMar>
        </w:tblPrEx>
        <w:trPr>
          <w:trHeight w:val="864"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614"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tblPrEx>
          <w:tblCellMar>
            <w:top w:w="0" w:type="dxa"/>
            <w:left w:w="108" w:type="dxa"/>
            <w:bottom w:w="0" w:type="dxa"/>
            <w:right w:w="108" w:type="dxa"/>
          </w:tblCellMar>
        </w:tblPrEx>
        <w:trPr>
          <w:trHeight w:val="579"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7</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6</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7</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6</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w:t>
            </w:r>
          </w:p>
        </w:tc>
      </w:tr>
    </w:tbl>
    <w:p>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pPr>
        <w:pStyle w:val="13"/>
        <w:rPr>
          <w:rFonts w:ascii="Times New Roman" w:hAnsi="Times New Roman" w:cs="Times New Roman"/>
          <w:sz w:val="72"/>
          <w:szCs w:val="72"/>
        </w:rPr>
      </w:pPr>
    </w:p>
    <w:p>
      <w:pPr>
        <w:pStyle w:val="13"/>
        <w:rPr>
          <w:rFonts w:ascii="Times New Roman" w:hAnsi="Times New Roman" w:cs="Times New Roman"/>
          <w:sz w:val="72"/>
          <w:szCs w:val="72"/>
        </w:rPr>
      </w:pPr>
    </w:p>
    <w:p>
      <w:pPr>
        <w:pStyle w:val="13"/>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eastAsia="方正小标宋_GBK" w:cs="Times New Roman"/>
          <w:sz w:val="72"/>
          <w:szCs w:val="72"/>
        </w:rPr>
      </w:pP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pStyle w:val="13"/>
        <w:overflowPunct w:val="0"/>
        <w:autoSpaceDE/>
        <w:autoSpaceDN/>
        <w:spacing w:line="600" w:lineRule="exact"/>
        <w:ind w:firstLine="640" w:firstLineChars="200"/>
        <w:jc w:val="both"/>
        <w:rPr>
          <w:rFonts w:hint="eastAsia" w:ascii="仿宋_GB2312" w:hAnsi="仿宋" w:eastAsia="仿宋_GB2312" w:cs="仿宋_GB2312"/>
          <w:b w:val="0"/>
          <w:bCs w:val="0"/>
          <w:i w:val="0"/>
          <w:iCs w:val="0"/>
          <w:caps w:val="0"/>
          <w:color w:val="auto"/>
          <w:spacing w:val="0"/>
          <w:sz w:val="32"/>
          <w:szCs w:val="32"/>
          <w:shd w:val="clear" w:color="auto" w:fill="FFFFFF"/>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870.97</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18.31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2.15</w:t>
      </w:r>
      <w:r>
        <w:rPr>
          <w:rFonts w:ascii="Times New Roman" w:hAnsi="Times New Roman" w:eastAsia="仿宋_GB2312" w:cs="Times New Roman"/>
          <w:sz w:val="32"/>
          <w:szCs w:val="32"/>
        </w:rPr>
        <w:t>%，主要是因为</w:t>
      </w:r>
      <w:r>
        <w:rPr>
          <w:rFonts w:hint="eastAsia" w:ascii="仿宋" w:hAnsi="仿宋" w:eastAsia="仿宋" w:cs="仿宋"/>
          <w:sz w:val="32"/>
          <w:szCs w:val="32"/>
          <w:lang w:val="en-US" w:eastAsia="zh-CN"/>
        </w:rPr>
        <w:t>2024年</w:t>
      </w:r>
      <w:r>
        <w:rPr>
          <w:rFonts w:hint="eastAsia" w:ascii="仿宋_GB2312" w:hAnsi="仿宋" w:eastAsia="仿宋_GB2312" w:cs="仿宋_GB2312"/>
          <w:b w:val="0"/>
          <w:bCs w:val="0"/>
          <w:i w:val="0"/>
          <w:iCs w:val="0"/>
          <w:caps w:val="0"/>
          <w:color w:val="auto"/>
          <w:spacing w:val="0"/>
          <w:sz w:val="32"/>
          <w:szCs w:val="32"/>
          <w:shd w:val="clear" w:color="auto" w:fill="FFFFFF"/>
          <w:lang w:val="en-US" w:eastAsia="zh-CN"/>
        </w:rPr>
        <w:t>单位机构改革，增加职工7人，导致经费增长。</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870.97</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870.97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870.97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756.47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86.85</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114.5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13.15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3"/>
        <w:overflowPunct w:val="0"/>
        <w:autoSpaceDE/>
        <w:autoSpaceDN/>
        <w:spacing w:line="600" w:lineRule="exact"/>
        <w:ind w:firstLine="640" w:firstLineChars="200"/>
        <w:jc w:val="both"/>
        <w:rPr>
          <w:rFonts w:hint="eastAsia" w:ascii="仿宋_GB2312" w:hAnsi="仿宋" w:eastAsia="仿宋_GB2312" w:cs="仿宋_GB2312"/>
          <w:b w:val="0"/>
          <w:bCs w:val="0"/>
          <w:i w:val="0"/>
          <w:iCs w:val="0"/>
          <w:caps w:val="0"/>
          <w:color w:val="auto"/>
          <w:spacing w:val="0"/>
          <w:sz w:val="32"/>
          <w:szCs w:val="32"/>
          <w:shd w:val="clear" w:color="auto" w:fill="FFFFFF"/>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870.97</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18.31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2.15</w:t>
      </w:r>
      <w:r>
        <w:rPr>
          <w:rFonts w:ascii="Times New Roman" w:hAnsi="Times New Roman" w:eastAsia="仿宋_GB2312" w:cs="Times New Roman"/>
          <w:sz w:val="32"/>
          <w:szCs w:val="32"/>
        </w:rPr>
        <w:t>%，主要是因为</w:t>
      </w:r>
      <w:r>
        <w:rPr>
          <w:rFonts w:hint="eastAsia" w:ascii="仿宋" w:hAnsi="仿宋" w:eastAsia="仿宋" w:cs="仿宋"/>
          <w:sz w:val="32"/>
          <w:szCs w:val="32"/>
          <w:lang w:val="en-US" w:eastAsia="zh-CN"/>
        </w:rPr>
        <w:t>因2024年</w:t>
      </w:r>
      <w:r>
        <w:rPr>
          <w:rFonts w:hint="eastAsia" w:ascii="仿宋_GB2312" w:hAnsi="仿宋" w:eastAsia="仿宋_GB2312" w:cs="仿宋_GB2312"/>
          <w:b w:val="0"/>
          <w:bCs w:val="0"/>
          <w:i w:val="0"/>
          <w:iCs w:val="0"/>
          <w:caps w:val="0"/>
          <w:color w:val="auto"/>
          <w:spacing w:val="0"/>
          <w:sz w:val="32"/>
          <w:szCs w:val="32"/>
          <w:shd w:val="clear" w:color="auto" w:fill="FFFFFF"/>
          <w:lang w:val="en-US" w:eastAsia="zh-CN"/>
        </w:rPr>
        <w:t>单位机构改革，增加职工7人，导致经费增长。</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870.97</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%，与上年相比，财政拨款支出增长</w:t>
      </w:r>
      <w:r>
        <w:rPr>
          <w:rFonts w:hint="eastAsia" w:ascii="Times New Roman" w:hAnsi="Times New Roman" w:eastAsia="仿宋_GB2312" w:cs="Times New Roman"/>
          <w:sz w:val="32"/>
          <w:szCs w:val="32"/>
          <w:lang w:val="en-US" w:eastAsia="zh-CN"/>
        </w:rPr>
        <w:t>2.15</w:t>
      </w:r>
      <w:r>
        <w:rPr>
          <w:rFonts w:ascii="Times New Roman" w:hAnsi="Times New Roman" w:eastAsia="仿宋_GB2312" w:cs="Times New Roman"/>
          <w:sz w:val="32"/>
          <w:szCs w:val="32"/>
        </w:rPr>
        <w:t>%，主要是因为</w:t>
      </w:r>
      <w:r>
        <w:rPr>
          <w:rFonts w:hint="eastAsia" w:ascii="仿宋" w:hAnsi="仿宋" w:eastAsia="仿宋" w:cs="仿宋"/>
          <w:sz w:val="32"/>
          <w:szCs w:val="32"/>
          <w:lang w:val="en-US" w:eastAsia="zh-CN"/>
        </w:rPr>
        <w:t>因2024年</w:t>
      </w:r>
      <w:r>
        <w:rPr>
          <w:rFonts w:hint="eastAsia" w:ascii="仿宋_GB2312" w:hAnsi="仿宋" w:eastAsia="仿宋_GB2312" w:cs="仿宋_GB2312"/>
          <w:b w:val="0"/>
          <w:bCs w:val="0"/>
          <w:i w:val="0"/>
          <w:iCs w:val="0"/>
          <w:caps w:val="0"/>
          <w:color w:val="auto"/>
          <w:spacing w:val="0"/>
          <w:sz w:val="32"/>
          <w:szCs w:val="32"/>
          <w:shd w:val="clear" w:color="auto" w:fill="FFFFFF"/>
          <w:lang w:val="en-US" w:eastAsia="zh-CN"/>
        </w:rPr>
        <w:t>单位机构改革，增加职工7人，导致经费增长。</w:t>
      </w: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870.97</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w:t>
      </w:r>
      <w:r>
        <w:rPr>
          <w:rFonts w:hint="eastAsia" w:ascii="Times New Roman" w:hAnsi="Times New Roman" w:eastAsia="仿宋_GB2312" w:cs="Times New Roman"/>
          <w:sz w:val="32"/>
          <w:szCs w:val="32"/>
          <w:lang w:val="en-US" w:eastAsia="zh-CN"/>
        </w:rPr>
        <w:t>66.66万元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7.65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卫生健康支出27.56</w:t>
      </w:r>
      <w:r>
        <w:rPr>
          <w:rFonts w:hint="eastAsia" w:ascii="Times New Roman" w:hAnsi="Times New Roman" w:eastAsia="仿宋_GB2312" w:cs="Times New Roman"/>
          <w:sz w:val="32"/>
          <w:szCs w:val="32"/>
          <w:lang w:val="en-US" w:eastAsia="zh-CN"/>
        </w:rPr>
        <w:t>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3.16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；交通运输支出717.69</w:t>
      </w:r>
      <w:r>
        <w:rPr>
          <w:rFonts w:hint="eastAsia" w:ascii="Times New Roman" w:hAnsi="Times New Roman" w:eastAsia="仿宋_GB2312" w:cs="Times New Roman"/>
          <w:sz w:val="32"/>
          <w:szCs w:val="32"/>
          <w:lang w:val="en-US" w:eastAsia="zh-CN"/>
        </w:rPr>
        <w:t>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82.4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；住房保障支出57.07</w:t>
      </w:r>
      <w:r>
        <w:rPr>
          <w:rFonts w:hint="eastAsia" w:ascii="Times New Roman" w:hAnsi="Times New Roman" w:eastAsia="仿宋_GB2312" w:cs="Times New Roman"/>
          <w:sz w:val="32"/>
          <w:szCs w:val="32"/>
          <w:lang w:val="en-US" w:eastAsia="zh-CN"/>
        </w:rPr>
        <w:t>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6.59</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 w:cs="Times New Roman"/>
          <w:i w:val="0"/>
          <w:iCs w:val="0"/>
          <w:caps w:val="0"/>
          <w:color w:val="3D3D3D"/>
          <w:spacing w:val="0"/>
          <w:sz w:val="32"/>
          <w:szCs w:val="32"/>
          <w:shd w:val="clear" w:color="auto" w:fill="FFFFFF"/>
          <w:lang w:val="en-US" w:eastAsia="zh-CN"/>
        </w:rPr>
        <w:t>817.33</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支出决算数为</w:t>
      </w:r>
      <w:r>
        <w:rPr>
          <w:rFonts w:hint="eastAsia" w:ascii="Times New Roman" w:hAnsi="Times New Roman" w:eastAsia="仿宋_GB2312" w:cs="Times New Roman"/>
          <w:color w:val="auto"/>
          <w:sz w:val="32"/>
          <w:szCs w:val="32"/>
          <w:lang w:val="en-US" w:eastAsia="zh-CN"/>
        </w:rPr>
        <w:t>870.97</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（和下面总和对不上）</w:t>
      </w:r>
      <w:r>
        <w:rPr>
          <w:rFonts w:ascii="Times New Roman" w:hAnsi="Times New Roman" w:eastAsia="仿宋_GB2312" w:cs="Times New Roman"/>
          <w:sz w:val="32"/>
          <w:szCs w:val="32"/>
        </w:rPr>
        <w:t>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s="Times New Roman"/>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机关事业单位基本养老保险缴费支出</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color w:val="auto"/>
          <w:sz w:val="32"/>
          <w:szCs w:val="32"/>
          <w:lang w:val="en-US" w:eastAsia="zh-CN"/>
        </w:rPr>
        <w:t>70.07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color w:val="auto"/>
          <w:sz w:val="32"/>
          <w:szCs w:val="32"/>
          <w:lang w:val="en-US" w:eastAsia="zh-CN"/>
        </w:rPr>
        <w:t>66.66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95.13</w:t>
      </w:r>
      <w:r>
        <w:rPr>
          <w:rFonts w:ascii="Times New Roman" w:hAnsi="Times New Roman" w:eastAsia="仿宋_GB2312" w:cs="Times New Roman"/>
          <w:sz w:val="32"/>
          <w:szCs w:val="32"/>
        </w:rPr>
        <w:t>%，决算数小于年初预算数的主要原因是：</w:t>
      </w:r>
      <w:bookmarkStart w:id="3" w:name="OLE_LINK5"/>
      <w:r>
        <w:rPr>
          <w:rFonts w:hint="eastAsia" w:ascii="仿宋_GB2312" w:hAnsi="仿宋" w:eastAsia="仿宋_GB2312" w:cs="仿宋_GB2312"/>
          <w:b w:val="0"/>
          <w:bCs w:val="0"/>
          <w:i w:val="0"/>
          <w:iCs w:val="0"/>
          <w:caps w:val="0"/>
          <w:color w:val="auto"/>
          <w:spacing w:val="0"/>
          <w:sz w:val="32"/>
          <w:szCs w:val="32"/>
          <w:shd w:val="clear" w:color="auto" w:fill="FFFFFF"/>
          <w:lang w:val="en-US" w:eastAsia="zh-CN"/>
        </w:rPr>
        <w:t>2024年单位有2人退休,1人去世，导致经费有剩余。</w:t>
      </w:r>
    </w:p>
    <w:bookmarkEnd w:id="3"/>
    <w:p>
      <w:pPr>
        <w:pStyle w:val="13"/>
        <w:keepNext w:val="0"/>
        <w:keepLines w:val="0"/>
        <w:pageBreakBefore w:val="0"/>
        <w:widowControl w:val="0"/>
        <w:numPr>
          <w:ilvl w:val="0"/>
          <w:numId w:val="0"/>
        </w:numPr>
        <w:kinsoku/>
        <w:wordWrap/>
        <w:overflowPunct/>
        <w:topLinePunct w:val="0"/>
        <w:bidi w:val="0"/>
        <w:snapToGrid/>
        <w:spacing w:line="600" w:lineRule="exact"/>
        <w:ind w:left="630" w:leftChars="0"/>
        <w:textAlignment w:val="auto"/>
        <w:rPr>
          <w:rFonts w:hint="eastAsia" w:ascii="Times New Roman" w:hAnsi="Times New Roman" w:eastAsia="仿宋_GB2312"/>
          <w:sz w:val="32"/>
          <w:szCs w:val="32"/>
        </w:rPr>
      </w:pPr>
      <w:r>
        <w:rPr>
          <w:rFonts w:ascii="Times New Roman" w:hAnsi="Times New Roman" w:eastAsia="仿宋_GB2312" w:cs="Times New Roman"/>
          <w:sz w:val="32"/>
          <w:szCs w:val="32"/>
        </w:rPr>
        <w:t>2、</w:t>
      </w:r>
      <w:r>
        <w:rPr>
          <w:rFonts w:hint="eastAsia" w:ascii="Times New Roman" w:hAnsi="Times New Roman" w:eastAsia="仿宋_GB2312"/>
          <w:sz w:val="32"/>
          <w:szCs w:val="32"/>
          <w:lang w:val="en-US" w:eastAsia="zh-CN"/>
        </w:rPr>
        <w:t>卫生健康支出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行政事业单位医疗支出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行政单位医疗支出</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仿宋_GB2312"/>
          <w:b w:val="0"/>
          <w:bCs w:val="0"/>
          <w:i w:val="0"/>
          <w:iCs w:val="0"/>
          <w:caps w:val="0"/>
          <w:color w:val="auto"/>
          <w:spacing w:val="0"/>
          <w:sz w:val="32"/>
          <w:szCs w:val="32"/>
          <w:shd w:val="clear" w:color="auto" w:fill="FFFFFF"/>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color w:val="auto"/>
          <w:sz w:val="32"/>
          <w:szCs w:val="32"/>
          <w:lang w:val="en-US" w:eastAsia="zh-CN"/>
        </w:rPr>
        <w:t>29.62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color w:val="auto"/>
          <w:sz w:val="32"/>
          <w:szCs w:val="32"/>
          <w:lang w:val="en-US" w:eastAsia="zh-CN"/>
        </w:rPr>
        <w:t>27.56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93.05</w:t>
      </w:r>
      <w:r>
        <w:rPr>
          <w:rFonts w:ascii="Times New Roman" w:hAnsi="Times New Roman" w:eastAsia="仿宋_GB2312" w:cs="Times New Roman"/>
          <w:sz w:val="32"/>
          <w:szCs w:val="32"/>
        </w:rPr>
        <w:t>%，决算数小于年初预算数的主要原因是：</w:t>
      </w:r>
      <w:r>
        <w:rPr>
          <w:rFonts w:hint="eastAsia" w:ascii="仿宋_GB2312" w:hAnsi="仿宋" w:eastAsia="仿宋_GB2312" w:cs="仿宋_GB2312"/>
          <w:b w:val="0"/>
          <w:bCs w:val="0"/>
          <w:i w:val="0"/>
          <w:iCs w:val="0"/>
          <w:caps w:val="0"/>
          <w:color w:val="auto"/>
          <w:spacing w:val="0"/>
          <w:sz w:val="32"/>
          <w:szCs w:val="32"/>
          <w:shd w:val="clear" w:color="auto" w:fill="FFFFFF"/>
          <w:lang w:val="en-US" w:eastAsia="zh-CN"/>
        </w:rPr>
        <w:t>2024年单位有2人退休,1人去世，导致经费有剩余。</w:t>
      </w:r>
    </w:p>
    <w:p>
      <w:pPr>
        <w:pStyle w:val="13"/>
        <w:keepNext w:val="0"/>
        <w:keepLines w:val="0"/>
        <w:pageBreakBefore w:val="0"/>
        <w:widowControl w:val="0"/>
        <w:numPr>
          <w:ilvl w:val="0"/>
          <w:numId w:val="0"/>
        </w:numPr>
        <w:kinsoku/>
        <w:wordWrap/>
        <w:overflowPunct/>
        <w:topLinePunct w:val="0"/>
        <w:bidi w:val="0"/>
        <w:snapToGrid/>
        <w:spacing w:line="600" w:lineRule="exact"/>
        <w:ind w:left="630" w:leftChars="0"/>
        <w:textAlignment w:val="auto"/>
        <w:rPr>
          <w:rFonts w:hint="eastAsia" w:ascii="Times New Roman" w:hAnsi="Times New Roman" w:eastAsia="仿宋_GB2312"/>
          <w:sz w:val="32"/>
          <w:szCs w:val="32"/>
        </w:rPr>
      </w:pPr>
      <w:r>
        <w:rPr>
          <w:rFonts w:hint="eastAsia" w:ascii="仿宋_GB2312" w:hAnsi="仿宋" w:eastAsia="仿宋_GB2312" w:cs="仿宋_GB2312"/>
          <w:b w:val="0"/>
          <w:bCs w:val="0"/>
          <w:i w:val="0"/>
          <w:iCs w:val="0"/>
          <w:caps w:val="0"/>
          <w:color w:val="auto"/>
          <w:spacing w:val="0"/>
          <w:sz w:val="32"/>
          <w:szCs w:val="32"/>
          <w:shd w:val="clear" w:color="auto" w:fill="FFFFFF"/>
          <w:lang w:val="en-US" w:eastAsia="zh-CN"/>
        </w:rPr>
        <w:t>3、</w:t>
      </w:r>
      <w:r>
        <w:rPr>
          <w:rFonts w:hint="eastAsia" w:ascii="Times New Roman" w:hAnsi="Times New Roman" w:eastAsia="仿宋_GB2312"/>
          <w:sz w:val="32"/>
          <w:szCs w:val="32"/>
          <w:lang w:val="en-US" w:eastAsia="zh-CN"/>
        </w:rPr>
        <w:t>交通运输支出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公路水路运输支出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公路运输管理支出</w:t>
      </w:r>
      <w:r>
        <w:rPr>
          <w:rFonts w:hint="eastAsia" w:ascii="Times New Roman" w:hAnsi="Times New Roman" w:eastAsia="仿宋_GB2312"/>
          <w:sz w:val="32"/>
          <w:szCs w:val="32"/>
        </w:rPr>
        <w:t>（项）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color w:val="auto"/>
          <w:sz w:val="32"/>
          <w:szCs w:val="32"/>
          <w:lang w:val="en-US" w:eastAsia="zh-CN"/>
        </w:rPr>
        <w:t>659.21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color w:val="auto"/>
          <w:sz w:val="32"/>
          <w:szCs w:val="32"/>
          <w:lang w:val="en-US" w:eastAsia="zh-CN"/>
        </w:rPr>
        <w:t>717.69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pPr>
        <w:pStyle w:val="13"/>
        <w:keepNext w:val="0"/>
        <w:keepLines w:val="0"/>
        <w:pageBreakBefore w:val="0"/>
        <w:widowControl w:val="0"/>
        <w:numPr>
          <w:ilvl w:val="0"/>
          <w:numId w:val="0"/>
        </w:numPr>
        <w:kinsoku/>
        <w:wordWrap/>
        <w:overflowPunct/>
        <w:topLinePunct w:val="0"/>
        <w:bidi w:val="0"/>
        <w:snapToGrid/>
        <w:spacing w:line="600" w:lineRule="exact"/>
        <w:ind w:left="630" w:leftChars="0"/>
        <w:textAlignment w:val="auto"/>
        <w:rPr>
          <w:rFonts w:hint="eastAsia" w:ascii="Times New Roman" w:hAnsi="Times New Roman" w:eastAsia="仿宋_GB2312"/>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sz w:val="32"/>
          <w:szCs w:val="32"/>
        </w:rPr>
        <w:t>住房公积金（类）住房公积金（款）住房公积金（项）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56.43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57.07</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sz w:val="32"/>
          <w:szCs w:val="32"/>
        </w:rPr>
        <w:t>一般公共服务支出（类）一般公共服务支出（款）</w:t>
      </w:r>
      <w:r>
        <w:rPr>
          <w:rFonts w:hint="eastAsia" w:ascii="Times New Roman" w:hAnsi="Times New Roman" w:eastAsia="仿宋_GB2312"/>
          <w:sz w:val="32"/>
          <w:szCs w:val="32"/>
          <w:lang w:val="en-US" w:eastAsia="zh-CN"/>
        </w:rPr>
        <w:t>办公经费</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756.47</w:t>
      </w:r>
      <w:r>
        <w:rPr>
          <w:rFonts w:ascii="Times New Roman" w:hAnsi="Times New Roman" w:eastAsia="仿宋_GB2312" w:cs="Times New Roman"/>
          <w:sz w:val="32"/>
          <w:szCs w:val="32"/>
        </w:rPr>
        <w:t>万元，其中：</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686.92</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90.81</w:t>
      </w:r>
      <w:r>
        <w:rPr>
          <w:rFonts w:ascii="Times New Roman" w:hAnsi="Times New Roman" w:eastAsia="仿宋_GB2312" w:cs="Times New Roman"/>
          <w:sz w:val="32"/>
          <w:szCs w:val="32"/>
        </w:rPr>
        <w:t>%,主要包括基本工资、津贴补贴、奖金、伙食补助费</w:t>
      </w:r>
      <w:r>
        <w:rPr>
          <w:rFonts w:hint="eastAsia"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lang w:eastAsia="zh-CN"/>
        </w:rPr>
        <w:t>。</w:t>
      </w:r>
    </w:p>
    <w:p>
      <w:pPr>
        <w:pStyle w:val="13"/>
        <w:overflowPunct w:val="0"/>
        <w:autoSpaceDE/>
        <w:autoSpaceDN/>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69.54</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9.19</w:t>
      </w:r>
      <w:r>
        <w:rPr>
          <w:rFonts w:ascii="Times New Roman" w:hAnsi="Times New Roman" w:eastAsia="仿宋_GB2312" w:cs="Times New Roman"/>
          <w:sz w:val="32"/>
          <w:szCs w:val="32"/>
        </w:rPr>
        <w:t>%，主要包括</w:t>
      </w:r>
      <w:r>
        <w:rPr>
          <w:rFonts w:hint="eastAsia" w:ascii="Times New Roman" w:hAnsi="Times New Roman" w:eastAsia="仿宋_GB2312"/>
          <w:sz w:val="32"/>
          <w:szCs w:val="32"/>
        </w:rPr>
        <w:t>办公费、</w:t>
      </w:r>
      <w:r>
        <w:rPr>
          <w:rFonts w:hint="eastAsia" w:ascii="Times New Roman" w:hAnsi="Times New Roman" w:eastAsia="仿宋_GB2312"/>
          <w:sz w:val="32"/>
          <w:szCs w:val="32"/>
          <w:lang w:val="en-US" w:eastAsia="zh-CN"/>
        </w:rPr>
        <w:t>物业管理费</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培训</w:t>
      </w:r>
      <w:r>
        <w:rPr>
          <w:rFonts w:hint="eastAsia" w:ascii="Times New Roman" w:hAnsi="Times New Roman" w:eastAsia="仿宋_GB2312"/>
          <w:sz w:val="32"/>
          <w:szCs w:val="32"/>
        </w:rPr>
        <w:t>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工会经费、维修费</w:t>
      </w:r>
      <w:r>
        <w:rPr>
          <w:rFonts w:hint="eastAsia" w:ascii="Times New Roman" w:hAnsi="Times New Roman" w:eastAsia="仿宋_GB2312"/>
          <w:sz w:val="32"/>
          <w:szCs w:val="32"/>
        </w:rPr>
        <w:t>。</w:t>
      </w:r>
    </w:p>
    <w:p>
      <w:pPr>
        <w:pStyle w:val="13"/>
        <w:numPr>
          <w:ilvl w:val="0"/>
          <w:numId w:val="1"/>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财政拨款“三公”经费支出决算情况说明</w:t>
      </w:r>
    </w:p>
    <w:p>
      <w:pPr>
        <w:pStyle w:val="13"/>
        <w:numPr>
          <w:ilvl w:val="0"/>
          <w:numId w:val="0"/>
        </w:numPr>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1.66</w:t>
      </w:r>
      <w:r>
        <w:rPr>
          <w:rFonts w:ascii="Times New Roman" w:hAnsi="Times New Roman" w:eastAsia="仿宋_GB2312" w:cs="Times New Roman"/>
          <w:sz w:val="32"/>
          <w:szCs w:val="32"/>
        </w:rPr>
        <w:t>万元，决算数</w:t>
      </w:r>
      <w:r>
        <w:rPr>
          <w:rFonts w:hint="eastAsia" w:ascii="Times New Roman" w:hAnsi="Times New Roman" w:eastAsia="仿宋_GB2312" w:cs="Times New Roman"/>
          <w:sz w:val="32"/>
          <w:szCs w:val="32"/>
          <w:lang w:val="en-US" w:eastAsia="zh-CN"/>
        </w:rPr>
        <w:t>等于预算数。</w:t>
      </w: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pPr>
        <w:pStyle w:val="13"/>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pStyle w:val="13"/>
        <w:overflowPunct w:val="0"/>
        <w:autoSpaceDE/>
        <w:autoSpaceDN/>
        <w:spacing w:line="600" w:lineRule="exact"/>
        <w:ind w:firstLine="640" w:firstLineChars="200"/>
        <w:jc w:val="both"/>
        <w:rPr>
          <w:rFonts w:hint="eastAsia" w:ascii="仿宋_GB2312" w:hAnsi="仿宋" w:eastAsia="仿宋_GB2312" w:cs="仿宋_GB2312"/>
          <w:b w:val="0"/>
          <w:bCs w:val="0"/>
          <w:i w:val="0"/>
          <w:iCs w:val="0"/>
          <w:caps w:val="0"/>
          <w:color w:val="auto"/>
          <w:spacing w:val="0"/>
          <w:sz w:val="32"/>
          <w:szCs w:val="32"/>
          <w:shd w:val="clear" w:color="auto" w:fill="FFFFFF"/>
          <w:lang w:val="en-US" w:eastAsia="zh-CN"/>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%；决算数大于上年数的主要原因是因为</w:t>
      </w:r>
      <w:r>
        <w:rPr>
          <w:rFonts w:hint="eastAsia" w:ascii="仿宋" w:hAnsi="仿宋" w:eastAsia="仿宋" w:cs="仿宋"/>
          <w:sz w:val="32"/>
          <w:szCs w:val="32"/>
          <w:lang w:val="en-US" w:eastAsia="zh-CN"/>
        </w:rPr>
        <w:t>2024年</w:t>
      </w:r>
      <w:r>
        <w:rPr>
          <w:rFonts w:hint="eastAsia" w:ascii="仿宋_GB2312" w:hAnsi="仿宋" w:eastAsia="仿宋_GB2312" w:cs="仿宋_GB2312"/>
          <w:b w:val="0"/>
          <w:bCs w:val="0"/>
          <w:i w:val="0"/>
          <w:iCs w:val="0"/>
          <w:caps w:val="0"/>
          <w:color w:val="auto"/>
          <w:spacing w:val="0"/>
          <w:sz w:val="32"/>
          <w:szCs w:val="32"/>
          <w:shd w:val="clear" w:color="auto" w:fill="FFFFFF"/>
          <w:lang w:val="en-US" w:eastAsia="zh-CN"/>
        </w:rPr>
        <w:t>单位机构改革，增加职工7人，导致经费增长。</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olor w:val="auto"/>
          <w:sz w:val="32"/>
          <w:szCs w:val="32"/>
        </w:rPr>
        <w:t>公务用车购置费支出预算为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w:t>
      </w:r>
    </w:p>
    <w:p>
      <w:pPr>
        <w:pStyle w:val="13"/>
        <w:overflowPunct w:val="0"/>
        <w:autoSpaceDE/>
        <w:autoSpaceDN/>
        <w:spacing w:line="600" w:lineRule="exact"/>
        <w:ind w:firstLine="640" w:firstLineChars="200"/>
        <w:jc w:val="both"/>
        <w:rPr>
          <w:rFonts w:hint="eastAsia" w:ascii="仿宋_GB2312" w:hAnsi="仿宋" w:eastAsia="仿宋_GB2312" w:cs="仿宋_GB2312"/>
          <w:b w:val="0"/>
          <w:bCs w:val="0"/>
          <w:i w:val="0"/>
          <w:iCs w:val="0"/>
          <w:caps w:val="0"/>
          <w:color w:val="auto"/>
          <w:spacing w:val="0"/>
          <w:sz w:val="32"/>
          <w:szCs w:val="32"/>
          <w:shd w:val="clear" w:color="auto" w:fill="FFFFFF"/>
          <w:lang w:val="en-US" w:eastAsia="zh-CN"/>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万元，</w:t>
      </w:r>
      <w:r>
        <w:rPr>
          <w:rFonts w:hint="eastAsia" w:ascii="Times New Roman" w:hAnsi="Times New Roman" w:eastAsia="仿宋_GB2312"/>
          <w:color w:val="auto"/>
          <w:sz w:val="32"/>
          <w:szCs w:val="32"/>
        </w:rPr>
        <w:t>完成预算的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ascii="Times New Roman" w:hAnsi="Times New Roman" w:eastAsia="仿宋_GB2312" w:cs="Times New Roman"/>
          <w:sz w:val="32"/>
          <w:szCs w:val="32"/>
        </w:rPr>
        <w:t>决算数大于上年数的主要原因是因为</w:t>
      </w:r>
      <w:r>
        <w:rPr>
          <w:rFonts w:hint="eastAsia" w:ascii="仿宋" w:hAnsi="仿宋" w:eastAsia="仿宋" w:cs="仿宋"/>
          <w:sz w:val="32"/>
          <w:szCs w:val="32"/>
          <w:lang w:val="en-US" w:eastAsia="zh-CN"/>
        </w:rPr>
        <w:t>2024年</w:t>
      </w:r>
      <w:r>
        <w:rPr>
          <w:rFonts w:hint="eastAsia" w:ascii="仿宋_GB2312" w:hAnsi="仿宋" w:eastAsia="仿宋_GB2312" w:cs="仿宋_GB2312"/>
          <w:b w:val="0"/>
          <w:bCs w:val="0"/>
          <w:i w:val="0"/>
          <w:iCs w:val="0"/>
          <w:caps w:val="0"/>
          <w:color w:val="auto"/>
          <w:spacing w:val="0"/>
          <w:sz w:val="32"/>
          <w:szCs w:val="32"/>
          <w:shd w:val="clear" w:color="auto" w:fill="FFFFFF"/>
          <w:lang w:val="en-US" w:eastAsia="zh-CN"/>
        </w:rPr>
        <w:t>单位机构改革，增加职工7人，导致经费增长。</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辆。</w:t>
      </w:r>
    </w:p>
    <w:p>
      <w:pPr>
        <w:pStyle w:val="13"/>
        <w:overflowPunct w:val="0"/>
        <w:autoSpaceDE/>
        <w:autoSpaceDN/>
        <w:spacing w:line="600" w:lineRule="exact"/>
        <w:ind w:firstLine="640" w:firstLineChars="200"/>
        <w:jc w:val="both"/>
        <w:rPr>
          <w:rFonts w:hint="eastAsia" w:ascii="仿宋_GB2312" w:hAnsi="仿宋" w:eastAsia="仿宋_GB2312" w:cs="仿宋_GB2312"/>
          <w:b w:val="0"/>
          <w:bCs w:val="0"/>
          <w:i w:val="0"/>
          <w:iCs w:val="0"/>
          <w:caps w:val="0"/>
          <w:color w:val="auto"/>
          <w:spacing w:val="0"/>
          <w:sz w:val="32"/>
          <w:szCs w:val="32"/>
          <w:shd w:val="clear" w:color="auto" w:fill="FFFFFF"/>
          <w:lang w:val="en-US" w:eastAsia="zh-CN"/>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0.81</w:t>
      </w:r>
      <w:r>
        <w:rPr>
          <w:rFonts w:ascii="Times New Roman" w:hAnsi="Times New Roman" w:eastAsia="仿宋_GB2312" w:cs="Times New Roman"/>
          <w:sz w:val="32"/>
          <w:szCs w:val="32"/>
        </w:rPr>
        <w:t>万元，决算数大于上年数的主要原因是</w:t>
      </w:r>
      <w:r>
        <w:rPr>
          <w:rFonts w:hint="eastAsia" w:ascii="仿宋" w:hAnsi="仿宋" w:eastAsia="仿宋" w:cs="仿宋"/>
          <w:sz w:val="32"/>
          <w:szCs w:val="32"/>
          <w:lang w:val="en-US" w:eastAsia="zh-CN"/>
        </w:rPr>
        <w:t>2024年</w:t>
      </w:r>
      <w:r>
        <w:rPr>
          <w:rFonts w:hint="eastAsia" w:ascii="仿宋_GB2312" w:hAnsi="仿宋" w:eastAsia="仿宋_GB2312" w:cs="仿宋_GB2312"/>
          <w:b w:val="0"/>
          <w:bCs w:val="0"/>
          <w:i w:val="0"/>
          <w:iCs w:val="0"/>
          <w:caps w:val="0"/>
          <w:color w:val="auto"/>
          <w:spacing w:val="0"/>
          <w:sz w:val="32"/>
          <w:szCs w:val="32"/>
          <w:shd w:val="clear" w:color="auto" w:fill="FFFFFF"/>
          <w:lang w:val="en-US" w:eastAsia="zh-CN"/>
        </w:rPr>
        <w:t>单位机构改革，增加职工7人，导致经费增长。</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2024年度</w:t>
      </w:r>
      <w:r>
        <w:rPr>
          <w:rFonts w:hint="eastAsia" w:ascii="Times New Roman" w:hAnsi="Times New Roman" w:eastAsia="仿宋_GB2312"/>
          <w:sz w:val="32"/>
          <w:szCs w:val="32"/>
        </w:rPr>
        <w:t>全年共接待来访团组</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个</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来宾</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接待湖南省运管局及各县市区道服中心</w:t>
      </w:r>
      <w:r>
        <w:rPr>
          <w:rFonts w:hint="eastAsia" w:ascii="Times New Roman" w:hAnsi="Times New Roman" w:eastAsia="仿宋_GB2312"/>
          <w:sz w:val="32"/>
          <w:szCs w:val="32"/>
        </w:rPr>
        <w:t>发生的接待支出。</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3"/>
        <w:overflowPunct w:val="0"/>
        <w:autoSpaceDE/>
        <w:autoSpaceDN/>
        <w:spacing w:line="600" w:lineRule="exact"/>
        <w:ind w:firstLine="640" w:firstLineChars="200"/>
        <w:jc w:val="both"/>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2024年本单位无政府性基金收支。</w:t>
      </w:r>
    </w:p>
    <w:p>
      <w:pPr>
        <w:pStyle w:val="13"/>
        <w:overflowPunct w:val="0"/>
        <w:autoSpaceDE/>
        <w:autoSpaceDN/>
        <w:spacing w:line="600" w:lineRule="exact"/>
        <w:ind w:firstLine="640" w:firstLineChars="200"/>
        <w:jc w:val="both"/>
        <w:rPr>
          <w:rFonts w:hint="eastAsia" w:ascii="Times New Roman" w:hAnsi="Times New Roman" w:cs="Times New Roman"/>
          <w:bCs/>
          <w:sz w:val="32"/>
          <w:szCs w:val="32"/>
          <w:lang w:val="en-US" w:eastAsia="zh-CN"/>
        </w:rPr>
      </w:pPr>
      <w:r>
        <w:rPr>
          <w:rFonts w:hint="eastAsia" w:ascii="Times New Roman" w:hAnsi="Times New Roman" w:cs="Times New Roman"/>
          <w:bCs/>
          <w:sz w:val="32"/>
          <w:szCs w:val="32"/>
          <w:lang w:val="en-US" w:eastAsia="zh-CN"/>
        </w:rPr>
        <w:t>九、国有资本经营预算收入支出决算情况说明</w:t>
      </w:r>
    </w:p>
    <w:p>
      <w:pPr>
        <w:pStyle w:val="13"/>
        <w:overflowPunct w:val="0"/>
        <w:autoSpaceDE/>
        <w:autoSpaceDN/>
        <w:spacing w:line="600" w:lineRule="exact"/>
        <w:ind w:firstLine="640" w:firstLineChars="200"/>
        <w:jc w:val="both"/>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2024年本单位国有资本经营预算财政拨款收入0万元，支出0万元。</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cstheme="minorBidi"/>
          <w:color w:val="auto"/>
          <w:kern w:val="2"/>
          <w:sz w:val="32"/>
          <w:szCs w:val="32"/>
          <w:lang w:val="en-US" w:eastAsia="zh-CN" w:bidi="ar-SA"/>
        </w:rPr>
        <w:t>2024年本单位无机关运行经费支出。</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408" w:lineRule="atLeast"/>
        <w:ind w:left="0" w:right="0" w:firstLine="960" w:firstLineChars="300"/>
        <w:jc w:val="both"/>
        <w:rPr>
          <w:rFonts w:hint="default"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2024年本单位开支会议费0.48万元，用于召开2024年全省道路运输服务工作会议，人数62人。内容为表彰2023年度工作，对2024年度工作进行安排。</w:t>
      </w:r>
    </w:p>
    <w:p>
      <w:pPr>
        <w:pStyle w:val="13"/>
        <w:keepNext w:val="0"/>
        <w:keepLines w:val="0"/>
        <w:pageBreakBefore w:val="0"/>
        <w:widowControl w:val="0"/>
        <w:tabs>
          <w:tab w:val="left" w:pos="8190"/>
        </w:tabs>
        <w:kinsoku/>
        <w:wordWrap/>
        <w:overflowPunct/>
        <w:topLinePunct w:val="0"/>
        <w:bidi w:val="0"/>
        <w:snapToGrid/>
        <w:spacing w:line="600" w:lineRule="exact"/>
        <w:ind w:left="958" w:leftChars="304" w:hanging="320" w:hangingChars="1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2024年本部门开支培训费0万元，年初预算0万元。</w:t>
      </w:r>
    </w:p>
    <w:p>
      <w:pPr>
        <w:pStyle w:val="13"/>
        <w:keepNext w:val="0"/>
        <w:keepLines w:val="0"/>
        <w:pageBreakBefore w:val="0"/>
        <w:widowControl w:val="0"/>
        <w:tabs>
          <w:tab w:val="left" w:pos="8190"/>
        </w:tabs>
        <w:kinsoku/>
        <w:wordWrap/>
        <w:overflowPunct/>
        <w:topLinePunct w:val="0"/>
        <w:bidi w:val="0"/>
        <w:snapToGrid/>
        <w:spacing w:line="600" w:lineRule="exact"/>
        <w:ind w:left="958" w:leftChars="304" w:hanging="320" w:hangingChars="100"/>
        <w:textAlignment w:val="auto"/>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olor w:val="auto"/>
          <w:sz w:val="32"/>
          <w:szCs w:val="32"/>
          <w:lang w:val="en-US" w:eastAsia="zh-CN"/>
        </w:rPr>
        <w:t>202</w:t>
      </w:r>
      <w:r>
        <w:rPr>
          <w:rFonts w:hint="default" w:ascii="Times New Roman" w:hAnsi="Times New Roman" w:eastAsia="仿宋_GB2312"/>
          <w:color w:val="auto"/>
          <w:sz w:val="32"/>
          <w:szCs w:val="32"/>
          <w:lang w:val="en" w:eastAsia="zh-CN"/>
        </w:rPr>
        <w:t>4</w:t>
      </w:r>
      <w:r>
        <w:rPr>
          <w:rFonts w:hint="eastAsia" w:ascii="Times New Roman" w:hAnsi="Times New Roman" w:eastAsia="仿宋_GB2312"/>
          <w:color w:val="auto"/>
          <w:sz w:val="32"/>
          <w:szCs w:val="32"/>
          <w:lang w:val="en-US" w:eastAsia="zh-CN"/>
        </w:rPr>
        <w:t>年本部门无</w:t>
      </w:r>
      <w:r>
        <w:rPr>
          <w:rFonts w:hint="eastAsia" w:ascii="Times New Roman" w:hAnsi="Times New Roman" w:eastAsia="仿宋_GB2312"/>
          <w:color w:val="auto"/>
          <w:sz w:val="32"/>
          <w:szCs w:val="32"/>
        </w:rPr>
        <w:t>节庆、晚会、论坛、赛事活动</w:t>
      </w:r>
      <w:r>
        <w:rPr>
          <w:rFonts w:hint="eastAsia" w:ascii="Times New Roman" w:hAnsi="Times New Roman" w:eastAsia="仿宋_GB2312"/>
          <w:color w:val="auto"/>
          <w:sz w:val="32"/>
          <w:szCs w:val="32"/>
          <w:lang w:eastAsia="zh-CN"/>
        </w:rPr>
        <w:t>开支</w:t>
      </w:r>
      <w:r>
        <w:rPr>
          <w:rFonts w:hint="eastAsia" w:ascii="Times New Roman" w:hAnsi="Times New Roman" w:eastAsia="仿宋_GB2312"/>
          <w:color w:val="auto"/>
          <w:sz w:val="32"/>
          <w:szCs w:val="32"/>
        </w:rPr>
        <w:t>。</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pPr>
        <w:pStyle w:val="13"/>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2024年本单位无政府采购支出。</w:t>
      </w:r>
    </w:p>
    <w:p>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pPr>
        <w:pStyle w:val="13"/>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辆，全部为机要通信用车；单位价值50万元以上通用设备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kern w:val="0"/>
          <w:sz w:val="32"/>
          <w:szCs w:val="32"/>
        </w:rPr>
        <w:t>一是绩效自评开展情况。组织对2024年度本单位整体支出开展绩效自评，涉及项目</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870.97</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870.97</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w:t>
      </w:r>
    </w:p>
    <w:p>
      <w:pPr>
        <w:overflowPunct w:val="0"/>
        <w:spacing w:line="600" w:lineRule="exact"/>
        <w:ind w:firstLine="640" w:firstLineChars="200"/>
        <w:rPr>
          <w:rFonts w:hint="eastAsia" w:ascii="Times New Roman" w:hAnsi="Times New Roman" w:eastAsia="仿宋_GB2312" w:cs="Times New Roman"/>
          <w:kern w:val="0"/>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kern w:val="0"/>
          <w:sz w:val="32"/>
          <w:szCs w:val="32"/>
        </w:rPr>
        <w:t>一是绩效自评结果。2024年度本单位整体支出全年预算数</w:t>
      </w:r>
      <w:r>
        <w:rPr>
          <w:rFonts w:hint="eastAsia" w:ascii="Times New Roman" w:hAnsi="Times New Roman" w:eastAsia="仿宋_GB2312" w:cs="Times New Roman"/>
          <w:kern w:val="0"/>
          <w:sz w:val="32"/>
          <w:szCs w:val="32"/>
          <w:lang w:val="en-US" w:eastAsia="zh-CN"/>
        </w:rPr>
        <w:t>817.33</w:t>
      </w:r>
      <w:r>
        <w:rPr>
          <w:rFonts w:ascii="Times New Roman" w:hAnsi="Times New Roman" w:eastAsia="仿宋_GB2312" w:cs="Times New Roman"/>
          <w:kern w:val="0"/>
          <w:sz w:val="32"/>
          <w:szCs w:val="32"/>
        </w:rPr>
        <w:t>万元，执行数</w:t>
      </w:r>
      <w:r>
        <w:rPr>
          <w:rFonts w:hint="eastAsia" w:ascii="Times New Roman" w:hAnsi="Times New Roman" w:eastAsia="仿宋_GB2312" w:cs="Times New Roman"/>
          <w:kern w:val="0"/>
          <w:sz w:val="32"/>
          <w:szCs w:val="32"/>
          <w:lang w:val="en-US" w:eastAsia="zh-CN"/>
        </w:rPr>
        <w:t>870.97</w:t>
      </w:r>
      <w:r>
        <w:rPr>
          <w:rFonts w:ascii="Times New Roman" w:hAnsi="Times New Roman" w:eastAsia="仿宋_GB2312" w:cs="Times New Roman"/>
          <w:kern w:val="0"/>
          <w:sz w:val="32"/>
          <w:szCs w:val="32"/>
        </w:rPr>
        <w:t>万元，完成预算的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kern w:val="0"/>
          <w:sz w:val="32"/>
          <w:szCs w:val="32"/>
          <w:lang w:val="en-US" w:eastAsia="zh-CN"/>
        </w:rPr>
        <w:t>98</w:t>
      </w:r>
      <w:r>
        <w:rPr>
          <w:rFonts w:ascii="Times New Roman" w:hAnsi="Times New Roman" w:eastAsia="仿宋_GB2312" w:cs="Times New Roman"/>
          <w:kern w:val="0"/>
          <w:sz w:val="32"/>
          <w:szCs w:val="32"/>
        </w:rPr>
        <w:t>分，评价等级为“</w:t>
      </w:r>
      <w:r>
        <w:rPr>
          <w:rFonts w:hint="eastAsia" w:ascii="Times New Roman" w:hAnsi="Times New Roman" w:eastAsia="仿宋_GB2312" w:cs="Times New Roman"/>
          <w:kern w:val="0"/>
          <w:sz w:val="32"/>
          <w:szCs w:val="32"/>
          <w:lang w:val="en-US" w:eastAsia="zh-CN"/>
        </w:rPr>
        <w:t>优秀</w:t>
      </w:r>
      <w:r>
        <w:rPr>
          <w:rFonts w:ascii="Times New Roman" w:hAnsi="Times New Roman" w:eastAsia="仿宋_GB2312" w:cs="Times New Roman"/>
          <w:kern w:val="0"/>
          <w:sz w:val="32"/>
          <w:szCs w:val="32"/>
        </w:rPr>
        <w:t>”。绩效目标完成情况：一是</w:t>
      </w:r>
      <w:r>
        <w:rPr>
          <w:rFonts w:hint="eastAsia" w:ascii="Times New Roman" w:hAnsi="Times New Roman" w:eastAsia="仿宋_GB2312" w:cs="Times New Roman"/>
          <w:kern w:val="0"/>
          <w:sz w:val="32"/>
          <w:szCs w:val="32"/>
          <w:lang w:val="en-US" w:eastAsia="zh-CN"/>
        </w:rPr>
        <w:t>强化服务保障，提升群众出行体验</w:t>
      </w:r>
      <w:r>
        <w:rPr>
          <w:rFonts w:ascii="Times New Roman" w:hAnsi="Times New Roman" w:eastAsia="仿宋_GB2312" w:cs="Times New Roman"/>
          <w:kern w:val="0"/>
          <w:sz w:val="32"/>
          <w:szCs w:val="32"/>
        </w:rPr>
        <w:t>；二是</w:t>
      </w:r>
      <w:r>
        <w:rPr>
          <w:rFonts w:hint="default" w:ascii="Times New Roman" w:hAnsi="Times New Roman" w:eastAsia="仿宋_GB2312" w:cs="Times New Roman"/>
          <w:kern w:val="0"/>
          <w:sz w:val="32"/>
          <w:szCs w:val="32"/>
          <w:lang w:val="en-US" w:eastAsia="zh-CN"/>
        </w:rPr>
        <w:t>坚守安全底线，确保行业平稳运行</w:t>
      </w:r>
      <w:r>
        <w:rPr>
          <w:rFonts w:hint="eastAsia" w:ascii="Times New Roman" w:hAnsi="Times New Roman" w:eastAsia="仿宋_GB2312" w:cs="Times New Roman"/>
          <w:kern w:val="0"/>
          <w:sz w:val="32"/>
          <w:szCs w:val="32"/>
          <w:lang w:val="en-US" w:eastAsia="zh-CN"/>
        </w:rPr>
        <w:t>；三是</w:t>
      </w:r>
      <w:r>
        <w:rPr>
          <w:rFonts w:hint="eastAsia" w:ascii="Times New Roman" w:hAnsi="Times New Roman" w:eastAsia="仿宋_GB2312" w:cs="Times New Roman"/>
          <w:kern w:val="0"/>
          <w:sz w:val="32"/>
          <w:szCs w:val="32"/>
          <w:lang w:eastAsia="zh-CN"/>
        </w:rPr>
        <w:t>强化能力建设，</w:t>
      </w:r>
      <w:r>
        <w:rPr>
          <w:rFonts w:hint="eastAsia" w:ascii="Times New Roman" w:hAnsi="Times New Roman" w:eastAsia="仿宋_GB2312" w:cs="Times New Roman"/>
          <w:kern w:val="0"/>
          <w:sz w:val="32"/>
          <w:szCs w:val="32"/>
        </w:rPr>
        <w:t>提升治理水平</w:t>
      </w:r>
      <w:r>
        <w:rPr>
          <w:rFonts w:hint="eastAsia" w:ascii="Times New Roman" w:hAnsi="Times New Roman" w:eastAsia="仿宋_GB2312" w:cs="Times New Roman"/>
          <w:kern w:val="0"/>
          <w:sz w:val="32"/>
          <w:szCs w:val="32"/>
          <w:lang w:val="en-US" w:eastAsia="zh-CN"/>
        </w:rPr>
        <w:t>;四是</w:t>
      </w:r>
      <w:r>
        <w:rPr>
          <w:rFonts w:hint="eastAsia" w:ascii="Times New Roman" w:hAnsi="Times New Roman" w:eastAsia="仿宋_GB2312" w:cs="Times New Roman"/>
          <w:kern w:val="0"/>
          <w:sz w:val="32"/>
          <w:szCs w:val="32"/>
          <w:lang w:eastAsia="zh-CN"/>
        </w:rPr>
        <w:t>坚持人民至上，服务保障</w:t>
      </w:r>
      <w:r>
        <w:rPr>
          <w:rFonts w:hint="eastAsia" w:ascii="Times New Roman" w:hAnsi="Times New Roman" w:eastAsia="仿宋_GB2312" w:cs="Times New Roman"/>
          <w:kern w:val="0"/>
          <w:sz w:val="32"/>
          <w:szCs w:val="32"/>
        </w:rPr>
        <w:t>民生</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五是党建引领发展</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振兴示范先行。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kern w:val="0"/>
          <w:sz w:val="32"/>
          <w:szCs w:val="32"/>
          <w:lang w:val="en-US" w:eastAsia="zh-CN"/>
        </w:rPr>
      </w:pPr>
      <w:r>
        <w:rPr>
          <w:rFonts w:ascii="Times New Roman" w:hAnsi="Times New Roman" w:eastAsia="仿宋_GB2312" w:cs="Times New Roman"/>
          <w:sz w:val="32"/>
          <w:szCs w:val="32"/>
        </w:rPr>
        <w:t>发现的主要问题及原因：</w:t>
      </w:r>
      <w:r>
        <w:rPr>
          <w:rFonts w:hint="eastAsia" w:ascii="Times New Roman" w:hAnsi="Times New Roman" w:eastAsia="仿宋_GB2312" w:cs="Times New Roman"/>
          <w:kern w:val="0"/>
          <w:sz w:val="32"/>
          <w:szCs w:val="32"/>
          <w:lang w:val="en-US" w:eastAsia="zh-CN"/>
        </w:rPr>
        <w:t>一是安全维稳面临压力；二是部门职责需进一步厘清；三是公路货物周转量指标难以提高；四是巡游出租车、网约车行业管理难度大。下一步改进措施：一是</w:t>
      </w:r>
      <w:r>
        <w:rPr>
          <w:rFonts w:hint="default" w:ascii="Times New Roman" w:hAnsi="Times New Roman" w:eastAsia="仿宋_GB2312" w:cs="Times New Roman"/>
          <w:kern w:val="0"/>
          <w:sz w:val="32"/>
          <w:szCs w:val="32"/>
          <w:lang w:val="en-US" w:eastAsia="zh-CN"/>
        </w:rPr>
        <w:t>聚焦安全</w:t>
      </w:r>
      <w:r>
        <w:rPr>
          <w:rFonts w:hint="eastAsia" w:ascii="Times New Roman" w:hAnsi="Times New Roman" w:eastAsia="仿宋_GB2312" w:cs="Times New Roman"/>
          <w:kern w:val="0"/>
          <w:sz w:val="32"/>
          <w:szCs w:val="32"/>
          <w:lang w:val="en-US" w:eastAsia="zh-CN"/>
        </w:rPr>
        <w:t>生产</w:t>
      </w:r>
      <w:r>
        <w:rPr>
          <w:rFonts w:hint="default" w:ascii="Times New Roman" w:hAnsi="Times New Roman" w:eastAsia="仿宋_GB2312" w:cs="Times New Roman"/>
          <w:kern w:val="0"/>
          <w:sz w:val="32"/>
          <w:szCs w:val="32"/>
          <w:lang w:val="en-US" w:eastAsia="zh-CN"/>
        </w:rPr>
        <w:t>，织密监管网络</w:t>
      </w:r>
      <w:r>
        <w:rPr>
          <w:rFonts w:hint="eastAsia" w:ascii="Times New Roman" w:hAnsi="Times New Roman" w:eastAsia="仿宋_GB2312" w:cs="Times New Roman"/>
          <w:kern w:val="0"/>
          <w:sz w:val="32"/>
          <w:szCs w:val="32"/>
          <w:lang w:val="en-US" w:eastAsia="zh-CN"/>
        </w:rPr>
        <w:t>；二是聚焦</w:t>
      </w:r>
      <w:r>
        <w:rPr>
          <w:rFonts w:hint="default" w:ascii="Times New Roman" w:hAnsi="Times New Roman" w:eastAsia="仿宋_GB2312" w:cs="Times New Roman"/>
          <w:kern w:val="0"/>
          <w:sz w:val="32"/>
          <w:szCs w:val="32"/>
          <w:lang w:val="en-US" w:eastAsia="zh-CN"/>
        </w:rPr>
        <w:t>优化服务，</w:t>
      </w:r>
      <w:r>
        <w:rPr>
          <w:rFonts w:hint="eastAsia" w:ascii="Times New Roman" w:hAnsi="Times New Roman" w:eastAsia="仿宋_GB2312" w:cs="Times New Roman"/>
          <w:kern w:val="0"/>
          <w:sz w:val="32"/>
          <w:szCs w:val="32"/>
          <w:lang w:val="en-US" w:eastAsia="zh-CN"/>
        </w:rPr>
        <w:t>着力改善民生；三是聚焦中心工作</w:t>
      </w:r>
      <w:r>
        <w:rPr>
          <w:rFonts w:hint="default" w:ascii="Times New Roman" w:hAnsi="Times New Roman" w:eastAsia="仿宋_GB2312" w:cs="Times New Roman"/>
          <w:kern w:val="0"/>
          <w:sz w:val="32"/>
          <w:szCs w:val="32"/>
          <w:lang w:val="en-US" w:eastAsia="zh-CN"/>
        </w:rPr>
        <w:t>，提升</w:t>
      </w:r>
      <w:r>
        <w:rPr>
          <w:rFonts w:hint="eastAsia" w:ascii="Times New Roman" w:hAnsi="Times New Roman" w:eastAsia="仿宋_GB2312" w:cs="Times New Roman"/>
          <w:kern w:val="0"/>
          <w:sz w:val="32"/>
          <w:szCs w:val="32"/>
          <w:lang w:val="en-US" w:eastAsia="zh-CN"/>
        </w:rPr>
        <w:t>治理水平；四是聚焦党建引领，强化队伍建设。</w:t>
      </w:r>
    </w:p>
    <w:p>
      <w:pPr>
        <w:pStyle w:val="19"/>
        <w:numPr>
          <w:ilvl w:val="0"/>
          <w:numId w:val="0"/>
        </w:numPr>
        <w:spacing w:line="360" w:lineRule="auto"/>
        <w:rPr>
          <w:rFonts w:hint="default" w:ascii="仿宋" w:hAnsi="仿宋" w:eastAsia="仿宋" w:cs="仿宋"/>
          <w:sz w:val="32"/>
          <w:szCs w:val="32"/>
          <w:lang w:val="en-US" w:eastAsia="zh-CN"/>
        </w:rPr>
      </w:pPr>
      <w:r>
        <w:rPr>
          <w:rFonts w:ascii="Times New Roman" w:hAnsi="Times New Roman" w:eastAsia="楷体_GB2312" w:cs="Times New Roman"/>
          <w:b/>
          <w:bCs/>
          <w:color w:val="auto"/>
          <w:kern w:val="2"/>
          <w:sz w:val="32"/>
          <w:szCs w:val="32"/>
        </w:rPr>
        <w:t>（三）评价结果应用情况。</w:t>
      </w:r>
      <w:r>
        <w:rPr>
          <w:rFonts w:hint="eastAsia" w:ascii="仿宋" w:hAnsi="仿宋" w:eastAsia="仿宋" w:cs="仿宋"/>
          <w:sz w:val="30"/>
          <w:szCs w:val="30"/>
        </w:rPr>
        <w:t>本年在账务系统和资产系统对固定资产进行了新增，并按月对在用及有净值的资产按规定进行了折旧，并保证资产系统和账务系统核对相符。新增资产严格按规定配置，制定资产制度，办公室管理实物，财务建账建卡，配置处置按财政规定程序办理。</w:t>
      </w:r>
      <w:r>
        <w:rPr>
          <w:rFonts w:hint="eastAsia" w:ascii="仿宋" w:hAnsi="仿宋" w:eastAsia="仿宋" w:cs="仿宋"/>
          <w:sz w:val="32"/>
          <w:szCs w:val="32"/>
          <w:lang w:val="en-US" w:eastAsia="zh-CN"/>
        </w:rPr>
        <w:t>在推进财政业务专项工作中，我们严格规范财政财务和跟踪督导机制，建立起一套完善的申报审批监督工作制度，形成了严格、高效、科学的运行机制，但仍存在项目经费保障力度不够的情况。</w:t>
      </w:r>
      <w:bookmarkStart w:id="4" w:name="OLE_LINK1"/>
      <w:r>
        <w:rPr>
          <w:rFonts w:hint="eastAsia" w:ascii="仿宋" w:hAnsi="仿宋" w:eastAsia="仿宋" w:cs="仿宋"/>
          <w:sz w:val="32"/>
          <w:szCs w:val="32"/>
          <w:lang w:val="en-US" w:eastAsia="zh-CN"/>
        </w:rPr>
        <w:t xml:space="preserve"> 建议财政加大财政业务专项资金的年度预算力度，以确保财政工作持续有效开展。</w:t>
      </w:r>
    </w:p>
    <w:bookmarkEnd w:id="4"/>
    <w:p>
      <w:pPr>
        <w:pStyle w:val="19"/>
        <w:numPr>
          <w:ilvl w:val="0"/>
          <w:numId w:val="0"/>
        </w:numPr>
        <w:spacing w:line="360" w:lineRule="auto"/>
        <w:ind w:firstLine="640" w:firstLineChars="200"/>
        <w:rPr>
          <w:rFonts w:hint="eastAsia" w:ascii="仿宋" w:hAnsi="仿宋" w:eastAsia="仿宋" w:cs="仿宋"/>
          <w:sz w:val="32"/>
          <w:szCs w:val="32"/>
          <w:lang w:val="en-US" w:eastAsia="zh-CN"/>
        </w:rPr>
      </w:pPr>
    </w:p>
    <w:p>
      <w:pPr>
        <w:ind w:firstLine="600" w:firstLineChars="200"/>
        <w:rPr>
          <w:rFonts w:hint="eastAsia" w:ascii="仿宋" w:hAnsi="仿宋" w:eastAsia="仿宋" w:cs="仿宋"/>
          <w:sz w:val="30"/>
          <w:szCs w:val="30"/>
        </w:rPr>
      </w:pPr>
    </w:p>
    <w:p>
      <w:pPr>
        <w:pStyle w:val="13"/>
        <w:overflowPunct w:val="0"/>
        <w:autoSpaceDE/>
        <w:autoSpaceDN/>
        <w:spacing w:line="600" w:lineRule="exact"/>
        <w:ind w:firstLine="1440" w:firstLineChars="200"/>
        <w:jc w:val="both"/>
        <w:rPr>
          <w:rFonts w:ascii="Times New Roman" w:hAnsi="Times New Roman" w:eastAsia="仿宋_GB2312" w:cs="Times New Roman"/>
          <w:color w:val="auto"/>
          <w:sz w:val="72"/>
          <w:szCs w:val="72"/>
        </w:rPr>
      </w:pPr>
    </w:p>
    <w:p>
      <w:pPr>
        <w:pStyle w:val="13"/>
        <w:jc w:val="both"/>
        <w:rPr>
          <w:rFonts w:ascii="Times New Roman" w:hAnsi="Times New Roman" w:cs="Times New Roman"/>
          <w:sz w:val="72"/>
          <w:szCs w:val="72"/>
        </w:rPr>
      </w:pPr>
    </w:p>
    <w:p>
      <w:pPr>
        <w:pStyle w:val="13"/>
        <w:jc w:val="both"/>
        <w:rPr>
          <w:rFonts w:ascii="Times New Roman" w:hAnsi="Times New Roman" w:cs="Times New Roman"/>
          <w:sz w:val="72"/>
          <w:szCs w:val="72"/>
        </w:rPr>
      </w:pPr>
    </w:p>
    <w:p>
      <w:pPr>
        <w:pStyle w:val="13"/>
        <w:jc w:val="both"/>
        <w:rPr>
          <w:rFonts w:ascii="Times New Roman" w:hAnsi="Times New Roman" w:cs="Times New Roman"/>
          <w:sz w:val="72"/>
          <w:szCs w:val="72"/>
        </w:rPr>
      </w:pPr>
    </w:p>
    <w:p>
      <w:pPr>
        <w:pStyle w:val="13"/>
        <w:jc w:val="both"/>
        <w:rPr>
          <w:rFonts w:ascii="Times New Roman" w:hAnsi="Times New Roman" w:cs="Times New Roman"/>
          <w:sz w:val="72"/>
          <w:szCs w:val="72"/>
        </w:rPr>
      </w:pPr>
    </w:p>
    <w:p>
      <w:pPr>
        <w:pStyle w:val="13"/>
        <w:jc w:val="both"/>
        <w:rPr>
          <w:rFonts w:ascii="Times New Roman" w:hAnsi="Times New Roman" w:cs="Times New Roman"/>
          <w:sz w:val="72"/>
          <w:szCs w:val="72"/>
        </w:rPr>
      </w:pPr>
    </w:p>
    <w:p>
      <w:pPr>
        <w:pStyle w:val="13"/>
        <w:jc w:val="both"/>
        <w:rPr>
          <w:rFonts w:ascii="Times New Roman" w:hAnsi="Times New Roman" w:cs="Times New Roman"/>
          <w:sz w:val="72"/>
          <w:szCs w:val="72"/>
        </w:rPr>
      </w:pPr>
    </w:p>
    <w:p>
      <w:pPr>
        <w:pStyle w:val="13"/>
        <w:jc w:val="both"/>
        <w:rPr>
          <w:rFonts w:ascii="Times New Roman" w:hAnsi="Times New Roman" w:cs="Times New Roman"/>
          <w:sz w:val="72"/>
          <w:szCs w:val="72"/>
        </w:rPr>
      </w:pP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pPr>
        <w:widowControl/>
        <w:jc w:val="left"/>
        <w:rPr>
          <w:rFonts w:ascii="Times New Roman" w:hAnsi="Times New Roman" w:cs="Times New Roman"/>
          <w:color w:val="000000"/>
          <w:kern w:val="0"/>
          <w:sz w:val="32"/>
          <w:szCs w:val="32"/>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一、机关运行经费：</w:t>
      </w:r>
      <w:r>
        <w:rPr>
          <w:rFonts w:hint="eastAsia" w:ascii="仿宋_GB2312" w:hAnsi="Times New Roman" w:eastAsia="仿宋_GB2312" w:cs="Times New Roman"/>
          <w:kern w:val="2"/>
          <w:sz w:val="32"/>
          <w:szCs w:val="32"/>
          <w:lang w:val="en-US" w:eastAsia="zh-CN" w:bidi="ar-SA"/>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408" w:lineRule="atLeast"/>
        <w:ind w:right="0" w:firstLine="640" w:firstLineChars="20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二、“三公”经费</w:t>
      </w:r>
      <w:r>
        <w:rPr>
          <w:rFonts w:hint="eastAsia" w:ascii="仿宋_GB2312" w:hAnsi="Times New Roman" w:eastAsia="仿宋_GB2312" w:cs="Times New Roman"/>
          <w:kern w:val="2"/>
          <w:sz w:val="32"/>
          <w:szCs w:val="32"/>
          <w:lang w:val="en-US" w:eastAsia="zh-CN" w:bidi="ar-SA"/>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3"/>
        <w:jc w:val="center"/>
        <w:rPr>
          <w:rFonts w:hint="eastAsia" w:ascii="仿宋_GB2312" w:hAnsi="Times New Roman" w:eastAsia="仿宋_GB2312" w:cs="Times New Roman"/>
          <w:kern w:val="2"/>
          <w:sz w:val="32"/>
          <w:szCs w:val="32"/>
          <w:lang w:val="en-US" w:eastAsia="zh-CN" w:bidi="ar-SA"/>
        </w:rPr>
      </w:pPr>
    </w:p>
    <w:p>
      <w:pPr>
        <w:pStyle w:val="13"/>
        <w:jc w:val="both"/>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both"/>
        <w:rPr>
          <w:rFonts w:ascii="Times New Roman" w:hAnsi="Times New Roman" w:cs="Times New Roman"/>
          <w:sz w:val="72"/>
          <w:szCs w:val="72"/>
        </w:rPr>
      </w:pP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pPr>
        <w:rPr>
          <w:rFonts w:ascii="Times New Roman" w:hAnsi="Times New Roman" w:cs="Times New Roman"/>
          <w:sz w:val="72"/>
          <w:szCs w:val="72"/>
        </w:rPr>
      </w:pPr>
    </w:p>
    <w:p>
      <w:pPr>
        <w:pStyle w:val="13"/>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w:t>
      </w:r>
      <w:r>
        <w:rPr>
          <w:rFonts w:hint="eastAsia" w:ascii="Times New Roman" w:hAnsi="Times New Roman" w:eastAsia="仿宋_GB2312" w:cs="Times New Roman"/>
          <w:sz w:val="32"/>
          <w:szCs w:val="32"/>
          <w:lang w:val="en-US" w:eastAsia="zh-CN"/>
        </w:rPr>
        <w:t>怀化市道路运输服务中心</w:t>
      </w:r>
      <w:r>
        <w:rPr>
          <w:rFonts w:ascii="Times New Roman" w:hAnsi="Times New Roman" w:eastAsia="仿宋_GB2312" w:cs="Times New Roman"/>
          <w:sz w:val="32"/>
          <w:szCs w:val="32"/>
        </w:rPr>
        <w:t>整体支出绩效自评报告</w:t>
      </w:r>
    </w:p>
    <w:p>
      <w:pPr>
        <w:pStyle w:val="13"/>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auto"/>
          <w:sz w:val="32"/>
          <w:szCs w:val="32"/>
          <w:lang w:eastAsia="zh-CN"/>
        </w:rPr>
        <w:t>二、</w:t>
      </w:r>
      <w:r>
        <w:rPr>
          <w:rFonts w:ascii="Times New Roman" w:hAnsi="Times New Roman" w:eastAsia="仿宋_GB2312" w:cs="Times New Roman"/>
          <w:sz w:val="32"/>
          <w:szCs w:val="32"/>
        </w:rPr>
        <w:t>2024年度</w:t>
      </w:r>
      <w:r>
        <w:rPr>
          <w:rFonts w:hint="eastAsia" w:ascii="Times New Roman" w:hAnsi="Times New Roman" w:eastAsia="仿宋_GB2312" w:cs="Times New Roman"/>
          <w:sz w:val="32"/>
          <w:szCs w:val="32"/>
          <w:lang w:val="en-US" w:eastAsia="zh-CN"/>
        </w:rPr>
        <w:t>怀化市道路运输服务中心</w:t>
      </w:r>
      <w:r>
        <w:rPr>
          <w:rFonts w:hint="eastAsia" w:ascii="Times New Roman" w:hAnsi="Times New Roman" w:eastAsia="仿宋_GB2312" w:cs="Times New Roman"/>
          <w:sz w:val="32"/>
          <w:szCs w:val="32"/>
          <w:lang w:eastAsia="zh-CN"/>
        </w:rPr>
        <w:t>项目</w:t>
      </w:r>
      <w:r>
        <w:rPr>
          <w:rFonts w:ascii="Times New Roman" w:hAnsi="Times New Roman" w:eastAsia="仿宋_GB2312" w:cs="Times New Roman"/>
          <w:sz w:val="32"/>
          <w:szCs w:val="32"/>
        </w:rPr>
        <w:t>支出绩效自评报告</w:t>
      </w:r>
    </w:p>
    <w:p>
      <w:pPr>
        <w:pStyle w:val="13"/>
        <w:spacing w:line="600" w:lineRule="exact"/>
        <w:ind w:firstLine="640" w:firstLineChars="200"/>
        <w:rPr>
          <w:rFonts w:ascii="Times New Roman" w:hAnsi="Times New Roman" w:eastAsia="仿宋_GB2312" w:cs="Times New Roman"/>
          <w:sz w:val="32"/>
          <w:szCs w:val="32"/>
        </w:rPr>
      </w:pPr>
      <w:bookmarkStart w:id="5" w:name="_GoBack"/>
      <w:bookmarkEnd w:id="5"/>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69CEF6"/>
    <w:multiLevelType w:val="singleLevel"/>
    <w:tmpl w:val="F969CE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DE1BE7"/>
    <w:rsid w:val="00E00C7A"/>
    <w:rsid w:val="00E37D6C"/>
    <w:rsid w:val="00E55B68"/>
    <w:rsid w:val="00E561AE"/>
    <w:rsid w:val="00E67BE6"/>
    <w:rsid w:val="00E8683C"/>
    <w:rsid w:val="00EA2B72"/>
    <w:rsid w:val="00F74360"/>
    <w:rsid w:val="00FB462F"/>
    <w:rsid w:val="00FE16FA"/>
    <w:rsid w:val="00FE328A"/>
    <w:rsid w:val="00FE6269"/>
    <w:rsid w:val="00FF5CD6"/>
    <w:rsid w:val="0179546C"/>
    <w:rsid w:val="02140D77"/>
    <w:rsid w:val="044E2BE0"/>
    <w:rsid w:val="05E95D09"/>
    <w:rsid w:val="08DB6A0C"/>
    <w:rsid w:val="08E37A2F"/>
    <w:rsid w:val="0A6322D4"/>
    <w:rsid w:val="0D9064D6"/>
    <w:rsid w:val="0F607C6B"/>
    <w:rsid w:val="0FDF5034"/>
    <w:rsid w:val="10CE38BD"/>
    <w:rsid w:val="113E3FDC"/>
    <w:rsid w:val="128A572B"/>
    <w:rsid w:val="12AA7117"/>
    <w:rsid w:val="1457163D"/>
    <w:rsid w:val="145A112D"/>
    <w:rsid w:val="14A15067"/>
    <w:rsid w:val="16312EF1"/>
    <w:rsid w:val="16D478E0"/>
    <w:rsid w:val="195E521C"/>
    <w:rsid w:val="1B46240B"/>
    <w:rsid w:val="1D0D1432"/>
    <w:rsid w:val="1D97DEFF"/>
    <w:rsid w:val="1DFF72E5"/>
    <w:rsid w:val="1E9B481C"/>
    <w:rsid w:val="1EFC6F07"/>
    <w:rsid w:val="209E23A2"/>
    <w:rsid w:val="20AF05D5"/>
    <w:rsid w:val="221768AF"/>
    <w:rsid w:val="23757D31"/>
    <w:rsid w:val="24101F8A"/>
    <w:rsid w:val="241A61E3"/>
    <w:rsid w:val="2472601F"/>
    <w:rsid w:val="24CD14A7"/>
    <w:rsid w:val="25535E50"/>
    <w:rsid w:val="25F435D2"/>
    <w:rsid w:val="2B406E77"/>
    <w:rsid w:val="2BDD6474"/>
    <w:rsid w:val="2FDF85B8"/>
    <w:rsid w:val="2FFFEE04"/>
    <w:rsid w:val="30D77936"/>
    <w:rsid w:val="3175714F"/>
    <w:rsid w:val="32026C34"/>
    <w:rsid w:val="34DF85B0"/>
    <w:rsid w:val="36160F00"/>
    <w:rsid w:val="363C023B"/>
    <w:rsid w:val="36626566"/>
    <w:rsid w:val="36A7013B"/>
    <w:rsid w:val="36EC3A0F"/>
    <w:rsid w:val="370A6758"/>
    <w:rsid w:val="38E075A3"/>
    <w:rsid w:val="3A6D4E67"/>
    <w:rsid w:val="3B3836C7"/>
    <w:rsid w:val="3B484121"/>
    <w:rsid w:val="3B8F36BC"/>
    <w:rsid w:val="3C0C2E19"/>
    <w:rsid w:val="3F20694C"/>
    <w:rsid w:val="3FA70E1B"/>
    <w:rsid w:val="401732FD"/>
    <w:rsid w:val="40A86BF9"/>
    <w:rsid w:val="452D3B70"/>
    <w:rsid w:val="491FF225"/>
    <w:rsid w:val="49C20131"/>
    <w:rsid w:val="4A9D7BC0"/>
    <w:rsid w:val="4AB5489B"/>
    <w:rsid w:val="4AB64608"/>
    <w:rsid w:val="4E375A60"/>
    <w:rsid w:val="4F8E7901"/>
    <w:rsid w:val="4FFD214C"/>
    <w:rsid w:val="50F32112"/>
    <w:rsid w:val="53E45D42"/>
    <w:rsid w:val="5777D4F5"/>
    <w:rsid w:val="57D83E10"/>
    <w:rsid w:val="58164938"/>
    <w:rsid w:val="58457EF8"/>
    <w:rsid w:val="589D0BB5"/>
    <w:rsid w:val="59DD8326"/>
    <w:rsid w:val="5BBC5CE6"/>
    <w:rsid w:val="5CE943C9"/>
    <w:rsid w:val="5DBC1ADE"/>
    <w:rsid w:val="5DEF592A"/>
    <w:rsid w:val="5FA9680D"/>
    <w:rsid w:val="5FC6BB1E"/>
    <w:rsid w:val="5FF720F1"/>
    <w:rsid w:val="60B65BF6"/>
    <w:rsid w:val="6252656D"/>
    <w:rsid w:val="62886432"/>
    <w:rsid w:val="63097573"/>
    <w:rsid w:val="6554084E"/>
    <w:rsid w:val="67317098"/>
    <w:rsid w:val="675B4543"/>
    <w:rsid w:val="67FF5C0B"/>
    <w:rsid w:val="68BE495C"/>
    <w:rsid w:val="69392234"/>
    <w:rsid w:val="6B933A67"/>
    <w:rsid w:val="6CEF05D0"/>
    <w:rsid w:val="6D325918"/>
    <w:rsid w:val="6DEEDAAA"/>
    <w:rsid w:val="6EFC0924"/>
    <w:rsid w:val="6FB74722"/>
    <w:rsid w:val="6FEF8B7E"/>
    <w:rsid w:val="7130216F"/>
    <w:rsid w:val="714D068C"/>
    <w:rsid w:val="71A6591B"/>
    <w:rsid w:val="723B701D"/>
    <w:rsid w:val="72907369"/>
    <w:rsid w:val="737D59BA"/>
    <w:rsid w:val="74A76BEC"/>
    <w:rsid w:val="75A03D67"/>
    <w:rsid w:val="760A0A74"/>
    <w:rsid w:val="77C37683"/>
    <w:rsid w:val="782347DB"/>
    <w:rsid w:val="789D458E"/>
    <w:rsid w:val="78EE303B"/>
    <w:rsid w:val="79D19834"/>
    <w:rsid w:val="79FF515B"/>
    <w:rsid w:val="7A1940E8"/>
    <w:rsid w:val="7BBF4D5C"/>
    <w:rsid w:val="7BC61286"/>
    <w:rsid w:val="7DDC2475"/>
    <w:rsid w:val="7E9E1962"/>
    <w:rsid w:val="7E9F11B4"/>
    <w:rsid w:val="7F37EC1E"/>
    <w:rsid w:val="7F7DCD9D"/>
    <w:rsid w:val="7F970A6F"/>
    <w:rsid w:val="7FBD5515"/>
    <w:rsid w:val="7FC1FFF3"/>
    <w:rsid w:val="7FC69637"/>
    <w:rsid w:val="7FDF8620"/>
    <w:rsid w:val="7FE8C8F7"/>
    <w:rsid w:val="7FFB242F"/>
    <w:rsid w:val="7FFDB408"/>
    <w:rsid w:val="7FFE4EEB"/>
    <w:rsid w:val="95FB2B98"/>
    <w:rsid w:val="9A639BC2"/>
    <w:rsid w:val="9DF15970"/>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unhideWhenUsed/>
    <w:qFormat/>
    <w:uiPriority w:val="99"/>
    <w:pPr>
      <w:widowControl/>
      <w:spacing w:after="120"/>
      <w:ind w:left="420" w:leftChars="200"/>
      <w:jc w:val="left"/>
    </w:pPr>
    <w:rPr>
      <w:rFonts w:ascii="宋体" w:hAnsi="宋体" w:eastAsia="宋体" w:cs="宋体"/>
      <w:kern w:val="0"/>
      <w:sz w:val="24"/>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2"/>
    <w:semiHidden/>
    <w:qFormat/>
    <w:uiPriority w:val="0"/>
    <w:pPr>
      <w:snapToGrid w:val="0"/>
      <w:jc w:val="left"/>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paragraph" w:styleId="19">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2085</Words>
  <Characters>2428</Characters>
  <Lines>69</Lines>
  <Paragraphs>19</Paragraphs>
  <TotalTime>1</TotalTime>
  <ScaleCrop>false</ScaleCrop>
  <LinksUpToDate>false</LinksUpToDate>
  <CharactersWithSpaces>2853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2025-08-19T02:17:00Z</dcterms:created>
  <dc:creator>李航 null</dc:creator>
  <cp:lastModifiedBy>kylin</cp:lastModifiedBy>
  <cp:lastPrinted>2025-09-19T01:10:00Z</cp:lastPrinted>
  <dcterms:modified xsi:type="dcterms:W3CDTF">2025-09-24T17:22:55Z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B2ED791211A74839B02A7F1B672B9226_13</vt:lpwstr>
  </property>
  <property fmtid="{D5CDD505-2E9C-101B-9397-08002B2CF9AE}" pid="4" name="KSOTemplateDocerSaveRecord">
    <vt:lpwstr>eyJoZGlkIjoiOWI0MmI3MWVkYTM0Mzg1M2Q1ZGRjN2RlZTBhZjY2ZWQiLCJ1c2VySWQiOiIxMzYxNDA1Mzk3In0=</vt:lpwstr>
  </property>
</Properties>
</file>