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3"/>
        <w:jc w:val="both"/>
        <w:rPr>
          <w:sz w:val="56"/>
          <w:szCs w:val="56"/>
        </w:rPr>
      </w:pPr>
      <w:r>
        <w:rPr>
          <w:sz w:val="56"/>
        </w:rPr>
        <w:pict>
          <v:shape id="_x0000_s1026" o:spid="_x0000_s1026" o:spt="202" type="#_x0000_t202" style="position:absolute;left:0pt;margin-left:-18.6pt;margin-top:-23.4pt;height:40.75pt;width:119.95pt;z-index:251659264;mso-width-relative:page;mso-height-relative:page;" fillcolor="#FFFFFF" filled="t" stroked="f" coordsize="21600,21600" o:gfxdata="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">
            <v:path/>
            <v:fill on="t" focussize="0,0"/>
            <v:stroke on="f" weight="0.5pt" joinstyle="miter"/>
            <v:imagedata o:title=""/>
            <o:lock v:ext="edit"/>
            <v:textbox>
              <w:txbxContent>
                <w:p>
                  <w:pPr>
                    <w:rPr>
                      <w:rFonts w:ascii="楷体" w:hAnsi="楷体" w:eastAsia="楷体" w:cs="楷体"/>
                      <w:sz w:val="30"/>
                      <w:szCs w:val="30"/>
                    </w:rPr>
                  </w:pPr>
                </w:p>
              </w:txbxContent>
            </v:textbox>
          </v:shape>
        </w:pict>
      </w:r>
    </w:p>
    <w:p>
      <w:pPr>
        <w:pStyle w:val="13"/>
        <w:jc w:val="center"/>
        <w:rPr>
          <w:sz w:val="56"/>
          <w:szCs w:val="56"/>
        </w:rPr>
      </w:pPr>
    </w:p>
    <w:p>
      <w:pPr>
        <w:pStyle w:val="13"/>
        <w:jc w:val="center"/>
        <w:rPr>
          <w:sz w:val="84"/>
          <w:szCs w:val="84"/>
        </w:rPr>
      </w:pPr>
    </w:p>
    <w:p>
      <w:pPr>
        <w:pStyle w:val="13"/>
        <w:jc w:val="center"/>
        <w:rPr>
          <w:sz w:val="84"/>
          <w:szCs w:val="84"/>
        </w:rPr>
      </w:pPr>
    </w:p>
    <w:p>
      <w:pPr>
        <w:pStyle w:val="13"/>
        <w:jc w:val="center"/>
        <w:rPr>
          <w:rFonts w:ascii="方正小标宋_GBK" w:hAnsi="方正小标宋_GBK" w:eastAsia="方正小标宋_GBK" w:cs="方正小标宋_GBK"/>
          <w:sz w:val="52"/>
          <w:szCs w:val="52"/>
        </w:rPr>
      </w:pPr>
      <w:r>
        <w:rPr>
          <w:rFonts w:hint="eastAsia" w:ascii="方正小标宋_GBK" w:hAnsi="方正小标宋_GBK" w:eastAsia="方正小标宋_GBK" w:cs="方正小标宋_GBK"/>
          <w:sz w:val="52"/>
          <w:szCs w:val="52"/>
        </w:rPr>
        <w:t>2023年度</w:t>
      </w:r>
    </w:p>
    <w:p>
      <w:pPr>
        <w:pStyle w:val="13"/>
        <w:jc w:val="center"/>
        <w:rPr>
          <w:rFonts w:ascii="方正小标宋_GBK" w:hAnsi="方正小标宋_GBK" w:eastAsia="方正小标宋_GBK" w:cs="方正小标宋_GBK"/>
          <w:sz w:val="52"/>
          <w:szCs w:val="52"/>
        </w:rPr>
      </w:pPr>
      <w:r>
        <w:rPr>
          <w:rFonts w:hint="eastAsia" w:ascii="方正小标宋_GBK" w:hAnsi="方正小标宋_GBK" w:eastAsia="方正小标宋_GBK" w:cs="方正小标宋_GBK"/>
          <w:sz w:val="52"/>
          <w:szCs w:val="52"/>
        </w:rPr>
        <w:t>怀化市交通运输从业资格考试中心</w:t>
      </w:r>
    </w:p>
    <w:p>
      <w:pPr>
        <w:pStyle w:val="13"/>
        <w:jc w:val="center"/>
        <w:rPr>
          <w:rFonts w:ascii="方正小标宋_GBK" w:hAnsi="方正小标宋_GBK" w:eastAsia="方正小标宋_GBK" w:cs="方正小标宋_GBK"/>
          <w:sz w:val="52"/>
          <w:szCs w:val="52"/>
        </w:rPr>
      </w:pPr>
      <w:r>
        <w:rPr>
          <w:rFonts w:hint="eastAsia" w:ascii="方正小标宋_GBK" w:hAnsi="方正小标宋_GBK" w:eastAsia="方正小标宋_GBK" w:cs="方正小标宋_GBK"/>
          <w:sz w:val="52"/>
          <w:szCs w:val="52"/>
        </w:rPr>
        <w:t>部门决算</w:t>
      </w:r>
    </w:p>
    <w:p>
      <w:pPr>
        <w:pStyle w:val="13"/>
        <w:jc w:val="center"/>
        <w:rPr>
          <w:rFonts w:ascii="方正小标宋_GBK" w:hAnsi="方正小标宋_GBK" w:eastAsia="方正小标宋_GBK" w:cs="方正小标宋_GBK"/>
          <w:sz w:val="56"/>
          <w:szCs w:val="56"/>
        </w:rPr>
      </w:pPr>
    </w:p>
    <w:p>
      <w:pPr>
        <w:pStyle w:val="13"/>
        <w:jc w:val="center"/>
        <w:rPr>
          <w:sz w:val="56"/>
          <w:szCs w:val="56"/>
        </w:rPr>
      </w:pPr>
    </w:p>
    <w:p>
      <w:pPr>
        <w:pStyle w:val="13"/>
        <w:jc w:val="center"/>
        <w:rPr>
          <w:sz w:val="56"/>
          <w:szCs w:val="56"/>
        </w:rPr>
      </w:pPr>
    </w:p>
    <w:p>
      <w:pPr>
        <w:pStyle w:val="13"/>
        <w:jc w:val="center"/>
        <w:rPr>
          <w:sz w:val="56"/>
          <w:szCs w:val="56"/>
        </w:rPr>
      </w:pPr>
    </w:p>
    <w:p>
      <w:pPr>
        <w:pStyle w:val="13"/>
        <w:jc w:val="center"/>
        <w:rPr>
          <w:sz w:val="32"/>
          <w:szCs w:val="32"/>
        </w:rPr>
      </w:pPr>
    </w:p>
    <w:p>
      <w:pPr>
        <w:pStyle w:val="13"/>
        <w:jc w:val="center"/>
        <w:rPr>
          <w:sz w:val="32"/>
          <w:szCs w:val="32"/>
        </w:rPr>
      </w:pPr>
    </w:p>
    <w:p>
      <w:pPr>
        <w:pStyle w:val="13"/>
        <w:jc w:val="center"/>
        <w:rPr>
          <w:sz w:val="32"/>
          <w:szCs w:val="32"/>
        </w:rPr>
      </w:pPr>
    </w:p>
    <w:p>
      <w:pPr>
        <w:pStyle w:val="13"/>
        <w:jc w:val="center"/>
        <w:rPr>
          <w:sz w:val="32"/>
          <w:szCs w:val="32"/>
        </w:rPr>
      </w:pPr>
    </w:p>
    <w:p>
      <w:pPr>
        <w:pStyle w:val="13"/>
        <w:jc w:val="both"/>
        <w:rPr>
          <w:sz w:val="32"/>
          <w:szCs w:val="32"/>
        </w:rPr>
      </w:pPr>
    </w:p>
    <w:p>
      <w:pPr>
        <w:pStyle w:val="13"/>
        <w:spacing w:line="500" w:lineRule="exact"/>
        <w:jc w:val="center"/>
        <w:rPr>
          <w:b/>
          <w:sz w:val="36"/>
          <w:szCs w:val="28"/>
        </w:rPr>
      </w:pPr>
      <w:r>
        <w:rPr>
          <w:rFonts w:hint="eastAsia"/>
          <w:b/>
          <w:sz w:val="36"/>
          <w:szCs w:val="28"/>
        </w:rPr>
        <w:t>目录</w:t>
      </w:r>
    </w:p>
    <w:p>
      <w:pPr>
        <w:pStyle w:val="13"/>
        <w:spacing w:line="500" w:lineRule="exact"/>
        <w:rPr>
          <w:rFonts w:hAnsi="黑体"/>
          <w:bCs/>
          <w:sz w:val="28"/>
          <w:szCs w:val="28"/>
        </w:rPr>
      </w:pPr>
      <w:r>
        <w:rPr>
          <w:rFonts w:hint="eastAsia" w:hAnsi="黑体"/>
          <w:bCs/>
          <w:sz w:val="28"/>
          <w:szCs w:val="28"/>
        </w:rPr>
        <w:t>第一部分 怀化市交通运输从业资格考试中心概况</w:t>
      </w:r>
    </w:p>
    <w:p>
      <w:pPr>
        <w:pStyle w:val="13"/>
        <w:spacing w:line="500" w:lineRule="exact"/>
        <w:ind w:firstLine="700" w:firstLineChars="250"/>
        <w:rPr>
          <w:rFonts w:ascii="仿宋" w:hAnsi="仿宋" w:eastAsia="仿宋" w:cs="仿宋_GB2312"/>
          <w:sz w:val="28"/>
          <w:szCs w:val="28"/>
        </w:rPr>
      </w:pPr>
      <w:r>
        <w:rPr>
          <w:rFonts w:hint="eastAsia" w:ascii="仿宋" w:hAnsi="仿宋" w:eastAsia="仿宋" w:cs="仿宋_GB2312"/>
          <w:sz w:val="28"/>
          <w:szCs w:val="28"/>
        </w:rPr>
        <w:t>一、部门职责</w:t>
      </w:r>
    </w:p>
    <w:p>
      <w:pPr>
        <w:pStyle w:val="13"/>
        <w:spacing w:line="500" w:lineRule="exact"/>
        <w:ind w:firstLine="700" w:firstLineChars="250"/>
        <w:rPr>
          <w:rFonts w:ascii="仿宋" w:hAnsi="仿宋" w:eastAsia="仿宋" w:cs="仿宋_GB2312"/>
          <w:sz w:val="28"/>
          <w:szCs w:val="28"/>
        </w:rPr>
      </w:pPr>
      <w:r>
        <w:rPr>
          <w:rFonts w:hint="eastAsia" w:ascii="仿宋" w:hAnsi="仿宋" w:eastAsia="仿宋" w:cs="仿宋_GB2312"/>
          <w:sz w:val="28"/>
          <w:szCs w:val="28"/>
        </w:rPr>
        <w:t>二、机构设置</w:t>
      </w:r>
    </w:p>
    <w:p>
      <w:pPr>
        <w:pStyle w:val="13"/>
        <w:spacing w:line="500" w:lineRule="exact"/>
        <w:rPr>
          <w:rFonts w:hAnsi="黑体"/>
          <w:bCs/>
          <w:sz w:val="28"/>
          <w:szCs w:val="28"/>
        </w:rPr>
      </w:pPr>
      <w:r>
        <w:rPr>
          <w:rFonts w:hint="eastAsia" w:hAnsi="黑体"/>
          <w:bCs/>
          <w:sz w:val="28"/>
          <w:szCs w:val="28"/>
        </w:rPr>
        <w:t>第二部分 部门决算表</w:t>
      </w:r>
    </w:p>
    <w:p>
      <w:pPr>
        <w:pStyle w:val="13"/>
        <w:spacing w:line="500" w:lineRule="exact"/>
        <w:ind w:firstLine="700" w:firstLineChars="250"/>
        <w:rPr>
          <w:rFonts w:ascii="仿宋" w:hAnsi="仿宋" w:eastAsia="仿宋" w:cs="仿宋_GB2312"/>
          <w:sz w:val="28"/>
          <w:szCs w:val="28"/>
        </w:rPr>
      </w:pPr>
      <w:r>
        <w:rPr>
          <w:rFonts w:hint="eastAsia" w:ascii="仿宋" w:hAnsi="仿宋" w:eastAsia="仿宋" w:cs="仿宋_GB2312"/>
          <w:sz w:val="28"/>
          <w:szCs w:val="28"/>
        </w:rPr>
        <w:t>一、收入支出决算总表</w:t>
      </w:r>
    </w:p>
    <w:p>
      <w:pPr>
        <w:pStyle w:val="13"/>
        <w:spacing w:line="500" w:lineRule="exact"/>
        <w:ind w:firstLine="700" w:firstLineChars="250"/>
        <w:rPr>
          <w:rFonts w:ascii="仿宋" w:hAnsi="仿宋" w:eastAsia="仿宋" w:cs="仿宋_GB2312"/>
          <w:sz w:val="28"/>
          <w:szCs w:val="28"/>
        </w:rPr>
      </w:pPr>
      <w:r>
        <w:rPr>
          <w:rFonts w:hint="eastAsia" w:ascii="仿宋" w:hAnsi="仿宋" w:eastAsia="仿宋" w:cs="仿宋_GB2312"/>
          <w:sz w:val="28"/>
          <w:szCs w:val="28"/>
        </w:rPr>
        <w:t>二、收入决算表</w:t>
      </w:r>
    </w:p>
    <w:p>
      <w:pPr>
        <w:pStyle w:val="13"/>
        <w:spacing w:line="500" w:lineRule="exact"/>
        <w:ind w:firstLine="700" w:firstLineChars="250"/>
        <w:rPr>
          <w:rFonts w:ascii="仿宋" w:hAnsi="仿宋" w:eastAsia="仿宋" w:cs="仿宋_GB2312"/>
          <w:sz w:val="28"/>
          <w:szCs w:val="28"/>
        </w:rPr>
      </w:pPr>
      <w:r>
        <w:rPr>
          <w:rFonts w:hint="eastAsia" w:ascii="仿宋" w:hAnsi="仿宋" w:eastAsia="仿宋" w:cs="仿宋_GB2312"/>
          <w:sz w:val="28"/>
          <w:szCs w:val="28"/>
        </w:rPr>
        <w:t>三、支出决算表</w:t>
      </w:r>
    </w:p>
    <w:p>
      <w:pPr>
        <w:pStyle w:val="13"/>
        <w:spacing w:line="500" w:lineRule="exact"/>
        <w:ind w:firstLine="700" w:firstLineChars="250"/>
        <w:rPr>
          <w:rFonts w:ascii="仿宋" w:hAnsi="仿宋" w:eastAsia="仿宋" w:cs="仿宋_GB2312"/>
          <w:sz w:val="28"/>
          <w:szCs w:val="28"/>
        </w:rPr>
      </w:pPr>
      <w:r>
        <w:rPr>
          <w:rFonts w:hint="eastAsia" w:ascii="仿宋" w:hAnsi="仿宋" w:eastAsia="仿宋" w:cs="仿宋_GB2312"/>
          <w:sz w:val="28"/>
          <w:szCs w:val="28"/>
        </w:rPr>
        <w:t>四、财政拨款收入支出决算总表</w:t>
      </w:r>
    </w:p>
    <w:p>
      <w:pPr>
        <w:pStyle w:val="13"/>
        <w:spacing w:line="500" w:lineRule="exact"/>
        <w:ind w:firstLine="700" w:firstLineChars="250"/>
        <w:rPr>
          <w:rFonts w:ascii="仿宋" w:hAnsi="仿宋" w:eastAsia="仿宋" w:cs="仿宋_GB2312"/>
          <w:sz w:val="28"/>
          <w:szCs w:val="28"/>
        </w:rPr>
      </w:pPr>
      <w:r>
        <w:rPr>
          <w:rFonts w:hint="eastAsia" w:ascii="仿宋" w:hAnsi="仿宋" w:eastAsia="仿宋" w:cs="仿宋_GB2312"/>
          <w:sz w:val="28"/>
          <w:szCs w:val="28"/>
        </w:rPr>
        <w:t>五、一般公共预算财政拨款支出决算表</w:t>
      </w:r>
    </w:p>
    <w:p>
      <w:pPr>
        <w:pStyle w:val="13"/>
        <w:spacing w:line="500" w:lineRule="exact"/>
        <w:ind w:firstLine="700" w:firstLineChars="250"/>
        <w:rPr>
          <w:rFonts w:ascii="仿宋" w:hAnsi="仿宋" w:eastAsia="仿宋" w:cs="仿宋_GB2312"/>
          <w:sz w:val="28"/>
          <w:szCs w:val="28"/>
        </w:rPr>
      </w:pPr>
      <w:r>
        <w:rPr>
          <w:rFonts w:hint="eastAsia" w:ascii="仿宋" w:hAnsi="仿宋" w:eastAsia="仿宋" w:cs="仿宋_GB2312"/>
          <w:sz w:val="28"/>
          <w:szCs w:val="28"/>
        </w:rPr>
        <w:t>六、一般公共预算财政拨款基本支出决算明细表</w:t>
      </w:r>
    </w:p>
    <w:p>
      <w:pPr>
        <w:pStyle w:val="13"/>
        <w:spacing w:line="500" w:lineRule="exact"/>
        <w:ind w:firstLine="700" w:firstLineChars="250"/>
        <w:rPr>
          <w:rFonts w:ascii="仿宋" w:hAnsi="仿宋" w:eastAsia="仿宋" w:cs="仿宋_GB2312"/>
          <w:sz w:val="28"/>
          <w:szCs w:val="28"/>
        </w:rPr>
      </w:pPr>
      <w:r>
        <w:rPr>
          <w:rFonts w:hint="eastAsia" w:ascii="仿宋" w:hAnsi="仿宋" w:eastAsia="仿宋" w:cs="仿宋_GB2312"/>
          <w:sz w:val="28"/>
          <w:szCs w:val="28"/>
        </w:rPr>
        <w:t>七、政府性基金预算财政拨款收入支出决算表</w:t>
      </w:r>
    </w:p>
    <w:p>
      <w:pPr>
        <w:pStyle w:val="13"/>
        <w:spacing w:line="500" w:lineRule="exact"/>
        <w:ind w:firstLine="700" w:firstLineChars="250"/>
        <w:rPr>
          <w:rFonts w:ascii="仿宋" w:hAnsi="仿宋" w:eastAsia="仿宋" w:cs="仿宋_GB2312"/>
          <w:sz w:val="28"/>
          <w:szCs w:val="28"/>
        </w:rPr>
      </w:pPr>
      <w:r>
        <w:rPr>
          <w:rFonts w:hint="eastAsia" w:ascii="仿宋" w:hAnsi="仿宋" w:eastAsia="仿宋" w:cs="仿宋_GB2312"/>
          <w:sz w:val="28"/>
          <w:szCs w:val="28"/>
        </w:rPr>
        <w:t>八、国有资本经营预算财政拨款支出决算表</w:t>
      </w:r>
    </w:p>
    <w:p>
      <w:pPr>
        <w:pStyle w:val="13"/>
        <w:spacing w:line="500" w:lineRule="exact"/>
        <w:ind w:firstLine="700" w:firstLineChars="250"/>
        <w:rPr>
          <w:rFonts w:ascii="仿宋" w:hAnsi="仿宋" w:eastAsia="仿宋" w:cs="仿宋_GB2312"/>
          <w:sz w:val="28"/>
          <w:szCs w:val="28"/>
        </w:rPr>
      </w:pPr>
      <w:r>
        <w:rPr>
          <w:rFonts w:hint="eastAsia" w:ascii="仿宋" w:hAnsi="仿宋" w:eastAsia="仿宋" w:cs="仿宋_GB2312"/>
          <w:sz w:val="28"/>
          <w:szCs w:val="28"/>
        </w:rPr>
        <w:t>九、财政拨款“三公”经费支出决算表</w:t>
      </w:r>
    </w:p>
    <w:p>
      <w:pPr>
        <w:pStyle w:val="13"/>
        <w:spacing w:line="500" w:lineRule="exact"/>
        <w:rPr>
          <w:rFonts w:hAnsi="黑体"/>
          <w:bCs/>
          <w:sz w:val="28"/>
          <w:szCs w:val="28"/>
        </w:rPr>
      </w:pPr>
      <w:r>
        <w:rPr>
          <w:rFonts w:hint="eastAsia" w:hAnsi="黑体"/>
          <w:bCs/>
          <w:sz w:val="28"/>
          <w:szCs w:val="28"/>
        </w:rPr>
        <w:t>第三部分 部门决算情况说明</w:t>
      </w:r>
    </w:p>
    <w:p>
      <w:pPr>
        <w:pStyle w:val="13"/>
        <w:spacing w:line="500" w:lineRule="exact"/>
        <w:ind w:firstLine="700" w:firstLineChars="250"/>
        <w:rPr>
          <w:rFonts w:ascii="仿宋" w:hAnsi="仿宋" w:eastAsia="仿宋" w:cs="仿宋_GB2312"/>
          <w:sz w:val="28"/>
          <w:szCs w:val="28"/>
        </w:rPr>
      </w:pPr>
      <w:r>
        <w:rPr>
          <w:rFonts w:hint="eastAsia" w:ascii="仿宋" w:hAnsi="仿宋" w:eastAsia="仿宋" w:cs="仿宋_GB2312"/>
          <w:sz w:val="28"/>
          <w:szCs w:val="28"/>
        </w:rPr>
        <w:t>一、收入支出决算总体情况说明</w:t>
      </w:r>
    </w:p>
    <w:p>
      <w:pPr>
        <w:spacing w:line="500" w:lineRule="exact"/>
        <w:ind w:firstLine="700" w:firstLineChars="250"/>
        <w:jc w:val="left"/>
        <w:rPr>
          <w:rFonts w:ascii="仿宋" w:hAnsi="仿宋" w:eastAsia="仿宋" w:cs="仿宋_GB2312"/>
          <w:sz w:val="28"/>
          <w:szCs w:val="28"/>
        </w:rPr>
      </w:pPr>
      <w:r>
        <w:rPr>
          <w:rFonts w:hint="eastAsia" w:ascii="仿宋" w:hAnsi="仿宋" w:eastAsia="仿宋" w:cs="仿宋_GB2312"/>
          <w:sz w:val="28"/>
          <w:szCs w:val="28"/>
        </w:rPr>
        <w:t>二、收入决算情况说明</w:t>
      </w:r>
    </w:p>
    <w:p>
      <w:pPr>
        <w:autoSpaceDE w:val="0"/>
        <w:autoSpaceDN w:val="0"/>
        <w:adjustRightInd w:val="0"/>
        <w:spacing w:line="500" w:lineRule="exact"/>
        <w:ind w:firstLine="700" w:firstLineChars="250"/>
        <w:jc w:val="left"/>
        <w:rPr>
          <w:rFonts w:ascii="仿宋" w:hAnsi="仿宋" w:eastAsia="仿宋" w:cs="仿宋_GB2312"/>
          <w:color w:val="000000"/>
          <w:kern w:val="0"/>
          <w:sz w:val="28"/>
          <w:szCs w:val="28"/>
        </w:rPr>
      </w:pPr>
      <w:r>
        <w:rPr>
          <w:rFonts w:hint="eastAsia" w:ascii="仿宋" w:hAnsi="仿宋" w:eastAsia="仿宋" w:cs="仿宋_GB2312"/>
          <w:color w:val="000000"/>
          <w:kern w:val="0"/>
          <w:sz w:val="28"/>
          <w:szCs w:val="28"/>
        </w:rPr>
        <w:t>三、支出决算情况说明</w:t>
      </w:r>
    </w:p>
    <w:p>
      <w:pPr>
        <w:autoSpaceDE w:val="0"/>
        <w:autoSpaceDN w:val="0"/>
        <w:adjustRightInd w:val="0"/>
        <w:spacing w:line="500" w:lineRule="exact"/>
        <w:ind w:firstLine="700" w:firstLineChars="250"/>
        <w:jc w:val="left"/>
        <w:rPr>
          <w:rFonts w:ascii="仿宋" w:hAnsi="仿宋" w:eastAsia="仿宋" w:cs="仿宋_GB2312"/>
          <w:color w:val="000000"/>
          <w:kern w:val="0"/>
          <w:sz w:val="28"/>
          <w:szCs w:val="28"/>
        </w:rPr>
      </w:pPr>
      <w:r>
        <w:rPr>
          <w:rFonts w:hint="eastAsia" w:ascii="仿宋" w:hAnsi="仿宋" w:eastAsia="仿宋" w:cs="仿宋_GB2312"/>
          <w:color w:val="000000"/>
          <w:kern w:val="0"/>
          <w:sz w:val="28"/>
          <w:szCs w:val="28"/>
        </w:rPr>
        <w:t>四、财政拨款收入支出决算总体情况说明</w:t>
      </w:r>
    </w:p>
    <w:p>
      <w:pPr>
        <w:autoSpaceDE w:val="0"/>
        <w:autoSpaceDN w:val="0"/>
        <w:adjustRightInd w:val="0"/>
        <w:spacing w:line="500" w:lineRule="exact"/>
        <w:ind w:firstLine="700" w:firstLineChars="250"/>
        <w:jc w:val="left"/>
        <w:rPr>
          <w:rFonts w:ascii="仿宋" w:hAnsi="仿宋" w:eastAsia="仿宋" w:cs="仿宋_GB2312"/>
          <w:color w:val="000000"/>
          <w:kern w:val="0"/>
          <w:sz w:val="28"/>
          <w:szCs w:val="28"/>
        </w:rPr>
      </w:pPr>
      <w:r>
        <w:rPr>
          <w:rFonts w:hint="eastAsia" w:ascii="仿宋" w:hAnsi="仿宋" w:eastAsia="仿宋" w:cs="仿宋_GB2312"/>
          <w:color w:val="000000"/>
          <w:kern w:val="0"/>
          <w:sz w:val="28"/>
          <w:szCs w:val="28"/>
        </w:rPr>
        <w:t>五、一般公共预算财政拨款支出决算情况说明</w:t>
      </w:r>
    </w:p>
    <w:p>
      <w:pPr>
        <w:autoSpaceDE w:val="0"/>
        <w:autoSpaceDN w:val="0"/>
        <w:adjustRightInd w:val="0"/>
        <w:spacing w:line="500" w:lineRule="exact"/>
        <w:ind w:firstLine="700" w:firstLineChars="250"/>
        <w:jc w:val="left"/>
        <w:rPr>
          <w:rFonts w:ascii="仿宋" w:hAnsi="仿宋" w:eastAsia="仿宋" w:cs="仿宋_GB2312"/>
          <w:color w:val="000000"/>
          <w:kern w:val="0"/>
          <w:sz w:val="28"/>
          <w:szCs w:val="28"/>
        </w:rPr>
      </w:pPr>
      <w:r>
        <w:rPr>
          <w:rFonts w:hint="eastAsia" w:ascii="仿宋" w:hAnsi="仿宋" w:eastAsia="仿宋" w:cs="仿宋_GB2312"/>
          <w:color w:val="000000"/>
          <w:kern w:val="0"/>
          <w:sz w:val="28"/>
          <w:szCs w:val="28"/>
        </w:rPr>
        <w:t>六、一般公共预算财政拨款基本支出决算情况说明</w:t>
      </w:r>
    </w:p>
    <w:p>
      <w:pPr>
        <w:autoSpaceDE w:val="0"/>
        <w:autoSpaceDN w:val="0"/>
        <w:adjustRightInd w:val="0"/>
        <w:spacing w:line="500" w:lineRule="exact"/>
        <w:ind w:firstLine="700" w:firstLineChars="250"/>
        <w:jc w:val="left"/>
        <w:rPr>
          <w:rFonts w:ascii="仿宋" w:hAnsi="仿宋" w:eastAsia="仿宋" w:cs="仿宋_GB2312"/>
          <w:color w:val="000000"/>
          <w:kern w:val="0"/>
          <w:sz w:val="28"/>
          <w:szCs w:val="28"/>
        </w:rPr>
      </w:pPr>
      <w:r>
        <w:rPr>
          <w:rFonts w:hint="eastAsia" w:ascii="仿宋" w:hAnsi="仿宋" w:eastAsia="仿宋" w:cs="仿宋_GB2312"/>
          <w:color w:val="000000"/>
          <w:kern w:val="0"/>
          <w:sz w:val="28"/>
          <w:szCs w:val="28"/>
        </w:rPr>
        <w:t>七、财政拨款三公经费支出决算情况说明</w:t>
      </w:r>
    </w:p>
    <w:p>
      <w:pPr>
        <w:autoSpaceDE w:val="0"/>
        <w:autoSpaceDN w:val="0"/>
        <w:adjustRightInd w:val="0"/>
        <w:spacing w:line="500" w:lineRule="exact"/>
        <w:ind w:firstLine="700" w:firstLineChars="250"/>
        <w:jc w:val="left"/>
        <w:rPr>
          <w:rFonts w:hint="eastAsia" w:ascii="仿宋" w:hAnsi="仿宋" w:eastAsia="仿宋" w:cs="仿宋_GB2312"/>
          <w:color w:val="000000"/>
          <w:kern w:val="0"/>
          <w:sz w:val="28"/>
          <w:szCs w:val="28"/>
        </w:rPr>
      </w:pPr>
      <w:r>
        <w:rPr>
          <w:rFonts w:hint="eastAsia" w:ascii="仿宋" w:hAnsi="仿宋" w:eastAsia="仿宋" w:cs="仿宋_GB2312"/>
          <w:color w:val="000000"/>
          <w:kern w:val="0"/>
          <w:sz w:val="28"/>
          <w:szCs w:val="28"/>
        </w:rPr>
        <w:t>八、政府性基金预算收入支出决算情况</w:t>
      </w:r>
    </w:p>
    <w:p>
      <w:pPr>
        <w:autoSpaceDE w:val="0"/>
        <w:autoSpaceDN w:val="0"/>
        <w:adjustRightInd w:val="0"/>
        <w:spacing w:line="470" w:lineRule="exact"/>
        <w:ind w:firstLine="700" w:firstLineChars="250"/>
        <w:jc w:val="left"/>
        <w:rPr>
          <w:rFonts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九、国有资本经营预算财政拨款收入支出决算情况说明</w:t>
      </w:r>
    </w:p>
    <w:p>
      <w:pPr>
        <w:autoSpaceDE w:val="0"/>
        <w:autoSpaceDN w:val="0"/>
        <w:adjustRightInd w:val="0"/>
        <w:spacing w:line="470" w:lineRule="exact"/>
        <w:ind w:firstLine="700" w:firstLineChars="250"/>
        <w:jc w:val="left"/>
        <w:rPr>
          <w:rFonts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十、关于机关运行经费支出说明</w:t>
      </w:r>
    </w:p>
    <w:p>
      <w:pPr>
        <w:autoSpaceDE w:val="0"/>
        <w:autoSpaceDN w:val="0"/>
        <w:adjustRightInd w:val="0"/>
        <w:spacing w:line="470" w:lineRule="exact"/>
        <w:ind w:firstLine="700" w:firstLineChars="250"/>
        <w:jc w:val="left"/>
        <w:rPr>
          <w:rFonts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十一、一般性支出情况说明</w:t>
      </w:r>
    </w:p>
    <w:p>
      <w:pPr>
        <w:autoSpaceDE w:val="0"/>
        <w:autoSpaceDN w:val="0"/>
        <w:adjustRightInd w:val="0"/>
        <w:spacing w:line="470" w:lineRule="exact"/>
        <w:ind w:firstLine="700" w:firstLineChars="250"/>
        <w:jc w:val="left"/>
        <w:rPr>
          <w:rFonts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十二、关于政府采购支出说明</w:t>
      </w:r>
    </w:p>
    <w:p>
      <w:pPr>
        <w:pStyle w:val="13"/>
        <w:spacing w:line="470" w:lineRule="exact"/>
        <w:ind w:firstLine="700" w:firstLineChars="250"/>
        <w:rPr>
          <w:rFonts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十三、关于国有资产占用情况说明</w:t>
      </w:r>
    </w:p>
    <w:p>
      <w:pPr>
        <w:pStyle w:val="13"/>
        <w:spacing w:line="470" w:lineRule="exact"/>
        <w:ind w:firstLine="700" w:firstLineChars="250"/>
        <w:rPr>
          <w:rFonts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十四、关于</w:t>
      </w:r>
      <w:r>
        <w:rPr>
          <w:rFonts w:ascii="Times New Roman" w:hAnsi="Times New Roman" w:eastAsia="仿宋_GB2312" w:cs="Times New Roman"/>
          <w:color w:val="auto"/>
          <w:sz w:val="28"/>
          <w:szCs w:val="28"/>
        </w:rPr>
        <w:t>2023</w:t>
      </w:r>
      <w:r>
        <w:rPr>
          <w:rFonts w:hint="eastAsia" w:ascii="仿宋_GB2312" w:hAnsi="仿宋_GB2312" w:eastAsia="仿宋_GB2312" w:cs="仿宋_GB2312"/>
          <w:color w:val="auto"/>
          <w:sz w:val="28"/>
          <w:szCs w:val="28"/>
        </w:rPr>
        <w:t>年度预算绩效情况的说明</w:t>
      </w:r>
    </w:p>
    <w:p>
      <w:pPr>
        <w:pStyle w:val="13"/>
        <w:spacing w:line="500" w:lineRule="exact"/>
        <w:rPr>
          <w:rFonts w:hAnsi="黑体"/>
          <w:bCs/>
          <w:sz w:val="28"/>
          <w:szCs w:val="28"/>
        </w:rPr>
      </w:pPr>
      <w:r>
        <w:rPr>
          <w:rFonts w:hint="eastAsia" w:hAnsi="黑体"/>
          <w:bCs/>
          <w:sz w:val="28"/>
          <w:szCs w:val="28"/>
        </w:rPr>
        <w:t>第四部分 名词解释</w:t>
      </w:r>
    </w:p>
    <w:p>
      <w:pPr>
        <w:pStyle w:val="13"/>
        <w:spacing w:line="500" w:lineRule="exact"/>
        <w:rPr>
          <w:rFonts w:hAnsi="黑体"/>
          <w:bCs/>
          <w:sz w:val="28"/>
          <w:szCs w:val="28"/>
        </w:rPr>
      </w:pPr>
      <w:r>
        <w:rPr>
          <w:rFonts w:hint="eastAsia" w:hAnsi="黑体"/>
          <w:bCs/>
          <w:sz w:val="28"/>
          <w:szCs w:val="28"/>
        </w:rPr>
        <w:t>第五部分 附件</w:t>
      </w:r>
    </w:p>
    <w:p>
      <w:pPr>
        <w:pStyle w:val="13"/>
        <w:spacing w:line="500" w:lineRule="exact"/>
        <w:rPr>
          <w:rFonts w:hAnsi="黑体"/>
          <w:bCs/>
          <w:sz w:val="28"/>
          <w:szCs w:val="28"/>
        </w:rPr>
      </w:pPr>
    </w:p>
    <w:p>
      <w:pPr>
        <w:jc w:val="center"/>
        <w:rPr>
          <w:sz w:val="72"/>
          <w:szCs w:val="72"/>
        </w:rPr>
      </w:pPr>
    </w:p>
    <w:p>
      <w:pPr>
        <w:jc w:val="center"/>
        <w:rPr>
          <w:sz w:val="72"/>
          <w:szCs w:val="72"/>
        </w:rPr>
      </w:pPr>
    </w:p>
    <w:p>
      <w:pPr>
        <w:jc w:val="center"/>
        <w:rPr>
          <w:sz w:val="72"/>
          <w:szCs w:val="72"/>
        </w:rPr>
      </w:pPr>
    </w:p>
    <w:p>
      <w:pPr>
        <w:jc w:val="center"/>
        <w:rPr>
          <w:sz w:val="72"/>
          <w:szCs w:val="72"/>
        </w:rPr>
      </w:pPr>
    </w:p>
    <w:p>
      <w:pPr>
        <w:pStyle w:val="2"/>
      </w:pPr>
    </w:p>
    <w:p>
      <w:pPr>
        <w:pStyle w:val="3"/>
        <w:ind w:firstLine="480"/>
      </w:pPr>
    </w:p>
    <w:p/>
    <w:p>
      <w:pPr>
        <w:pStyle w:val="2"/>
      </w:pPr>
    </w:p>
    <w:p>
      <w:pPr>
        <w:pStyle w:val="3"/>
        <w:ind w:firstLine="480"/>
      </w:pPr>
    </w:p>
    <w:p/>
    <w:p>
      <w:pPr>
        <w:pStyle w:val="2"/>
      </w:pPr>
    </w:p>
    <w:p>
      <w:pPr>
        <w:pStyle w:val="3"/>
        <w:ind w:firstLine="480"/>
      </w:pPr>
    </w:p>
    <w:p/>
    <w:p>
      <w:pPr>
        <w:pStyle w:val="2"/>
      </w:pPr>
    </w:p>
    <w:p>
      <w:pPr>
        <w:pStyle w:val="3"/>
        <w:ind w:firstLine="480"/>
      </w:pPr>
    </w:p>
    <w:p/>
    <w:p>
      <w:pPr>
        <w:pStyle w:val="2"/>
      </w:pPr>
    </w:p>
    <w:p>
      <w:pPr>
        <w:pStyle w:val="3"/>
        <w:ind w:firstLine="480"/>
      </w:pPr>
    </w:p>
    <w:p/>
    <w:p>
      <w:pPr>
        <w:pStyle w:val="2"/>
      </w:pPr>
    </w:p>
    <w:p>
      <w:pPr>
        <w:pStyle w:val="3"/>
        <w:ind w:firstLine="480"/>
      </w:pPr>
    </w:p>
    <w:p/>
    <w:p>
      <w:pPr>
        <w:pStyle w:val="2"/>
      </w:pPr>
    </w:p>
    <w:p>
      <w:pPr>
        <w:pStyle w:val="3"/>
        <w:ind w:firstLine="480"/>
      </w:pPr>
    </w:p>
    <w:p/>
    <w:p>
      <w:pPr>
        <w:pStyle w:val="2"/>
      </w:pPr>
    </w:p>
    <w:p>
      <w:pPr>
        <w:pStyle w:val="3"/>
        <w:ind w:firstLine="480"/>
      </w:pPr>
    </w:p>
    <w:p/>
    <w:p>
      <w:pPr>
        <w:pStyle w:val="2"/>
      </w:pPr>
    </w:p>
    <w:p>
      <w:pPr>
        <w:pStyle w:val="3"/>
        <w:ind w:firstLine="480"/>
      </w:pPr>
    </w:p>
    <w:p/>
    <w:p>
      <w:pPr>
        <w:rPr>
          <w:rFonts w:ascii="方正小标宋_GBK" w:hAnsi="方正小标宋_GBK" w:eastAsia="方正小标宋_GBK" w:cs="方正小标宋_GBK"/>
          <w:sz w:val="72"/>
          <w:szCs w:val="72"/>
        </w:rPr>
      </w:pPr>
    </w:p>
    <w:p>
      <w:pPr>
        <w:pStyle w:val="2"/>
      </w:pPr>
    </w:p>
    <w:p/>
    <w:p>
      <w:pPr>
        <w:pStyle w:val="2"/>
      </w:pPr>
    </w:p>
    <w:p>
      <w:pPr>
        <w:pStyle w:val="13"/>
        <w:jc w:val="center"/>
        <w:rPr>
          <w:rFonts w:ascii="方正小标宋_GBK" w:hAnsi="方正小标宋_GBK" w:eastAsia="方正小标宋_GBK" w:cs="方正小标宋_GBK"/>
          <w:sz w:val="48"/>
          <w:szCs w:val="48"/>
        </w:rPr>
      </w:pPr>
      <w:r>
        <w:rPr>
          <w:rFonts w:hint="eastAsia" w:ascii="方正小标宋_GBK" w:eastAsia="方正小标宋_GBK"/>
          <w:color w:val="3D3D3D"/>
          <w:sz w:val="48"/>
          <w:szCs w:val="48"/>
          <w:shd w:val="clear" w:color="auto" w:fill="FFFFFF"/>
        </w:rPr>
        <w:t>第一部分</w:t>
      </w:r>
      <w:r>
        <w:rPr>
          <w:rFonts w:hint="eastAsia" w:ascii="方正小标宋_GBK" w:hAnsi="方正小标宋_GBK" w:eastAsia="方正小标宋_GBK" w:cs="方正小标宋_GBK"/>
          <w:sz w:val="48"/>
          <w:szCs w:val="48"/>
        </w:rPr>
        <w:t xml:space="preserve"> </w:t>
      </w:r>
    </w:p>
    <w:p>
      <w:pPr>
        <w:pStyle w:val="13"/>
        <w:jc w:val="center"/>
        <w:rPr>
          <w:rFonts w:ascii="方正小标宋_GBK" w:hAnsi="方正小标宋_GBK" w:eastAsia="方正小标宋_GBK" w:cs="方正小标宋_GBK"/>
          <w:sz w:val="48"/>
          <w:szCs w:val="48"/>
        </w:rPr>
      </w:pPr>
    </w:p>
    <w:p>
      <w:pPr>
        <w:pStyle w:val="13"/>
        <w:jc w:val="center"/>
        <w:rPr>
          <w:rFonts w:ascii="方正小标宋_GBK" w:hAnsi="方正小标宋_GBK" w:eastAsia="方正小标宋_GBK" w:cs="方正小标宋_GBK"/>
          <w:sz w:val="48"/>
          <w:szCs w:val="48"/>
        </w:rPr>
      </w:pPr>
      <w:r>
        <w:rPr>
          <w:rFonts w:hint="eastAsia" w:ascii="方正小标宋_GBK" w:eastAsia="方正小标宋_GBK"/>
          <w:color w:val="3D3D3D"/>
          <w:sz w:val="48"/>
          <w:szCs w:val="48"/>
          <w:shd w:val="clear" w:color="auto" w:fill="FFFFFF"/>
        </w:rPr>
        <w:t>怀化市交通运输从业资格考试中心</w:t>
      </w:r>
      <w:r>
        <w:rPr>
          <w:rFonts w:hint="eastAsia" w:ascii="方正小标宋_GBK" w:hAnsi="方正小标宋_GBK" w:eastAsia="方正小标宋_GBK" w:cs="方正小标宋_GBK"/>
          <w:sz w:val="48"/>
          <w:szCs w:val="48"/>
        </w:rPr>
        <w:t>概况</w:t>
      </w:r>
    </w:p>
    <w:p>
      <w:pPr>
        <w:jc w:val="center"/>
        <w:rPr>
          <w:rFonts w:ascii="方正小标宋_GBK" w:hAnsi="方正小标宋_GBK" w:eastAsia="方正小标宋_GBK" w:cs="方正小标宋_GBK"/>
          <w:sz w:val="48"/>
          <w:szCs w:val="48"/>
        </w:rPr>
      </w:pPr>
    </w:p>
    <w:p>
      <w:pPr>
        <w:jc w:val="center"/>
        <w:rPr>
          <w:rFonts w:ascii="方正小标宋_GBK" w:hAnsi="方正小标宋_GBK" w:eastAsia="方正小标宋_GBK" w:cs="方正小标宋_GBK"/>
          <w:sz w:val="72"/>
          <w:szCs w:val="72"/>
        </w:rPr>
      </w:pPr>
    </w:p>
    <w:p>
      <w:pPr>
        <w:jc w:val="center"/>
        <w:rPr>
          <w:sz w:val="72"/>
          <w:szCs w:val="72"/>
        </w:rPr>
      </w:pPr>
    </w:p>
    <w:p>
      <w:pPr>
        <w:jc w:val="both"/>
        <w:rPr>
          <w:sz w:val="72"/>
          <w:szCs w:val="72"/>
        </w:rPr>
      </w:pPr>
    </w:p>
    <w:p>
      <w:pPr>
        <w:pStyle w:val="2"/>
      </w:pPr>
    </w:p>
    <w:p>
      <w:pPr>
        <w:pStyle w:val="14"/>
        <w:numPr>
          <w:numId w:val="0"/>
        </w:numPr>
        <w:ind w:leftChars="0"/>
        <w:jc w:val="left"/>
        <w:rPr>
          <w:rFonts w:ascii="黑体" w:hAnsi="黑体" w:eastAsia="黑体" w:cs="黑体"/>
          <w:sz w:val="32"/>
          <w:szCs w:val="32"/>
        </w:rPr>
      </w:pPr>
    </w:p>
    <w:p>
      <w:pPr>
        <w:pStyle w:val="14"/>
        <w:numPr>
          <w:numId w:val="0"/>
        </w:numPr>
        <w:ind w:leftChars="0"/>
        <w:jc w:val="left"/>
        <w:rPr>
          <w:rFonts w:ascii="黑体" w:hAnsi="黑体" w:eastAsia="黑体" w:cs="黑体"/>
          <w:sz w:val="32"/>
          <w:szCs w:val="32"/>
        </w:rPr>
      </w:pPr>
    </w:p>
    <w:p>
      <w:pPr>
        <w:pStyle w:val="14"/>
        <w:numPr>
          <w:ilvl w:val="0"/>
          <w:numId w:val="1"/>
        </w:numPr>
        <w:ind w:firstLineChars="0"/>
        <w:jc w:val="left"/>
        <w:rPr>
          <w:rFonts w:ascii="黑体" w:hAnsi="黑体" w:eastAsia="黑体" w:cs="黑体"/>
          <w:sz w:val="32"/>
          <w:szCs w:val="32"/>
        </w:rPr>
      </w:pPr>
      <w:r>
        <w:rPr>
          <w:rFonts w:hint="eastAsia" w:ascii="黑体" w:hAnsi="黑体" w:eastAsia="黑体" w:cs="黑体"/>
          <w:sz w:val="32"/>
          <w:szCs w:val="32"/>
        </w:rPr>
        <w:t>部门职责</w:t>
      </w:r>
    </w:p>
    <w:p>
      <w:pPr>
        <w:widowControl/>
        <w:spacing w:line="600" w:lineRule="exact"/>
        <w:ind w:firstLine="640" w:firstLineChars="200"/>
        <w:rPr>
          <w:rFonts w:ascii="仿宋" w:hAnsi="仿宋" w:eastAsia="仿宋"/>
          <w:color w:val="3D3D3D"/>
          <w:sz w:val="32"/>
          <w:szCs w:val="32"/>
          <w:shd w:val="clear" w:color="auto" w:fill="FFFFFF"/>
        </w:rPr>
      </w:pPr>
      <w:r>
        <w:rPr>
          <w:rFonts w:hint="eastAsia" w:ascii="仿宋" w:hAnsi="仿宋" w:eastAsia="仿宋"/>
          <w:color w:val="3D3D3D"/>
          <w:sz w:val="32"/>
          <w:szCs w:val="32"/>
          <w:shd w:val="clear" w:color="auto" w:fill="FFFFFF"/>
        </w:rPr>
        <w:t>主要承担交通运输系统岗位培训、行业职业技能和从业资格培训考试，旧机动车交易规范服务等事务性职责。</w:t>
      </w:r>
    </w:p>
    <w:p>
      <w:pPr>
        <w:widowControl/>
        <w:spacing w:line="600" w:lineRule="exact"/>
        <w:rPr>
          <w:rFonts w:ascii="黑体" w:hAnsi="黑体" w:eastAsia="黑体" w:cs="黑体"/>
          <w:bCs/>
          <w:kern w:val="0"/>
          <w:sz w:val="32"/>
          <w:szCs w:val="32"/>
        </w:rPr>
      </w:pPr>
      <w:r>
        <w:rPr>
          <w:rFonts w:hint="eastAsia" w:ascii="黑体" w:hAnsi="黑体" w:eastAsia="黑体" w:cs="黑体"/>
          <w:bCs/>
          <w:kern w:val="0"/>
          <w:sz w:val="32"/>
          <w:szCs w:val="32"/>
        </w:rPr>
        <w:t>二、机构设置及决算单位构成</w:t>
      </w:r>
    </w:p>
    <w:p>
      <w:pPr>
        <w:widowControl/>
        <w:shd w:val="clear" w:color="auto" w:fill="FFFFFF"/>
        <w:spacing w:line="450" w:lineRule="atLeast"/>
        <w:ind w:firstLine="640"/>
        <w:jc w:val="left"/>
        <w:rPr>
          <w:rFonts w:ascii="仿宋" w:hAnsi="仿宋" w:eastAsia="仿宋" w:cs="宋体"/>
          <w:color w:val="3D3D3D"/>
          <w:kern w:val="0"/>
          <w:sz w:val="24"/>
          <w:szCs w:val="24"/>
        </w:rPr>
      </w:pPr>
      <w:r>
        <w:rPr>
          <w:rFonts w:hint="eastAsia" w:ascii="仿宋" w:hAnsi="仿宋" w:eastAsia="仿宋" w:cs="宋体"/>
          <w:b/>
          <w:color w:val="3D3D3D"/>
          <w:kern w:val="0"/>
          <w:sz w:val="32"/>
          <w:szCs w:val="32"/>
        </w:rPr>
        <w:t>（一）内设机构设置。</w:t>
      </w:r>
      <w:r>
        <w:rPr>
          <w:rFonts w:hint="eastAsia" w:ascii="仿宋" w:hAnsi="仿宋" w:eastAsia="仿宋" w:cs="宋体"/>
          <w:color w:val="3D3D3D"/>
          <w:kern w:val="0"/>
          <w:sz w:val="32"/>
          <w:szCs w:val="32"/>
        </w:rPr>
        <w:t>怀化市交通运输从业资格考试中心作为怀化市交通运输局的二级部门预算单位，编办未批复内设科室。</w:t>
      </w:r>
    </w:p>
    <w:p>
      <w:pPr>
        <w:widowControl/>
        <w:shd w:val="clear" w:color="auto" w:fill="FFFFFF"/>
        <w:spacing w:line="600" w:lineRule="atLeast"/>
        <w:ind w:firstLine="640"/>
        <w:rPr>
          <w:rFonts w:ascii="仿宋" w:hAnsi="仿宋" w:eastAsia="仿宋" w:cs="宋体"/>
          <w:color w:val="3D3D3D"/>
          <w:kern w:val="0"/>
          <w:szCs w:val="21"/>
        </w:rPr>
      </w:pPr>
      <w:r>
        <w:rPr>
          <w:rFonts w:hint="eastAsia" w:ascii="仿宋" w:hAnsi="仿宋" w:eastAsia="仿宋" w:cs="宋体"/>
          <w:b/>
          <w:color w:val="3D3D3D"/>
          <w:kern w:val="0"/>
          <w:sz w:val="32"/>
          <w:szCs w:val="32"/>
        </w:rPr>
        <w:t>（二）决算单位构成。</w:t>
      </w:r>
      <w:r>
        <w:rPr>
          <w:rFonts w:hint="eastAsia" w:ascii="仿宋" w:hAnsi="仿宋" w:eastAsia="仿宋" w:cs="宋体"/>
          <w:color w:val="3D3D3D"/>
          <w:kern w:val="0"/>
          <w:sz w:val="32"/>
          <w:szCs w:val="32"/>
        </w:rPr>
        <w:t>怀化市交通运输从业资格考试中心</w:t>
      </w:r>
      <w:r>
        <w:rPr>
          <w:rFonts w:hint="eastAsia" w:ascii="仿宋" w:hAnsi="仿宋" w:eastAsia="仿宋" w:cs="Times New Roman"/>
          <w:color w:val="3D3D3D"/>
          <w:kern w:val="0"/>
          <w:sz w:val="32"/>
          <w:szCs w:val="32"/>
        </w:rPr>
        <w:t>2023</w:t>
      </w:r>
      <w:r>
        <w:rPr>
          <w:rFonts w:hint="eastAsia" w:ascii="仿宋" w:hAnsi="仿宋" w:eastAsia="仿宋" w:cs="宋体"/>
          <w:color w:val="3D3D3D"/>
          <w:kern w:val="0"/>
          <w:sz w:val="32"/>
          <w:szCs w:val="32"/>
        </w:rPr>
        <w:t>年</w:t>
      </w:r>
      <w:r>
        <w:rPr>
          <w:rFonts w:hint="eastAsia" w:ascii="仿宋" w:hAnsi="仿宋" w:eastAsia="仿宋" w:cs="宋体"/>
          <w:color w:val="auto"/>
          <w:kern w:val="0"/>
          <w:sz w:val="32"/>
          <w:szCs w:val="32"/>
        </w:rPr>
        <w:t>部门决算公开单位构成包括：怀化市交通运输从业资格考试中心</w:t>
      </w:r>
      <w:r>
        <w:rPr>
          <w:rFonts w:hint="eastAsia" w:ascii="仿宋" w:hAnsi="仿宋" w:eastAsia="仿宋" w:cs="宋体"/>
          <w:color w:val="auto"/>
          <w:kern w:val="0"/>
          <w:sz w:val="32"/>
          <w:szCs w:val="32"/>
          <w:lang w:eastAsia="zh-CN"/>
        </w:rPr>
        <w:t>本级</w:t>
      </w:r>
      <w:r>
        <w:rPr>
          <w:rFonts w:hint="eastAsia" w:ascii="仿宋" w:hAnsi="仿宋" w:eastAsia="仿宋" w:cs="宋体"/>
          <w:color w:val="auto"/>
          <w:kern w:val="0"/>
          <w:sz w:val="32"/>
          <w:szCs w:val="32"/>
        </w:rPr>
        <w:t>。</w:t>
      </w:r>
    </w:p>
    <w:p>
      <w:pPr>
        <w:jc w:val="left"/>
        <w:rPr>
          <w:rFonts w:ascii="仿宋_GB2312" w:eastAsia="仿宋_GB2312" w:hAnsiTheme="minorEastAsia"/>
          <w:sz w:val="28"/>
          <w:szCs w:val="32"/>
        </w:rPr>
      </w:pPr>
    </w:p>
    <w:p>
      <w:pPr>
        <w:jc w:val="center"/>
        <w:rPr>
          <w:rFonts w:ascii="黑体" w:hAnsi="黑体" w:eastAsia="黑体"/>
          <w:sz w:val="28"/>
          <w:szCs w:val="28"/>
        </w:rPr>
      </w:pPr>
    </w:p>
    <w:p>
      <w:pPr>
        <w:jc w:val="center"/>
        <w:rPr>
          <w:rFonts w:ascii="黑体" w:hAnsi="黑体" w:eastAsia="黑体"/>
          <w:sz w:val="28"/>
          <w:szCs w:val="28"/>
        </w:rPr>
      </w:pPr>
    </w:p>
    <w:p>
      <w:pPr>
        <w:jc w:val="center"/>
        <w:rPr>
          <w:rFonts w:ascii="黑体" w:hAnsi="黑体" w:eastAsia="黑体"/>
          <w:sz w:val="28"/>
          <w:szCs w:val="28"/>
        </w:rPr>
      </w:pPr>
    </w:p>
    <w:p>
      <w:pPr>
        <w:jc w:val="center"/>
        <w:rPr>
          <w:rFonts w:ascii="黑体" w:hAnsi="黑体" w:eastAsia="黑体"/>
          <w:sz w:val="28"/>
          <w:szCs w:val="28"/>
        </w:rPr>
      </w:pPr>
    </w:p>
    <w:p>
      <w:pPr>
        <w:jc w:val="center"/>
        <w:rPr>
          <w:rFonts w:ascii="黑体" w:hAnsi="黑体" w:eastAsia="黑体"/>
          <w:sz w:val="28"/>
          <w:szCs w:val="28"/>
        </w:rPr>
      </w:pPr>
    </w:p>
    <w:p>
      <w:pPr>
        <w:pStyle w:val="13"/>
        <w:jc w:val="both"/>
        <w:rPr>
          <w:rFonts w:ascii="方正小标宋_GBK" w:hAnsi="方正小标宋_GBK" w:eastAsia="方正小标宋_GBK" w:cs="方正小标宋_GBK"/>
          <w:sz w:val="84"/>
          <w:szCs w:val="84"/>
        </w:rPr>
      </w:pPr>
    </w:p>
    <w:p>
      <w:pPr>
        <w:pStyle w:val="13"/>
        <w:jc w:val="center"/>
        <w:rPr>
          <w:rFonts w:hint="eastAsia" w:ascii="方正小标宋_GBK" w:hAnsi="方正小标宋_GBK" w:eastAsia="方正小标宋_GBK" w:cs="方正小标宋_GBK"/>
          <w:sz w:val="52"/>
          <w:szCs w:val="52"/>
        </w:rPr>
      </w:pPr>
    </w:p>
    <w:p>
      <w:pPr>
        <w:pStyle w:val="13"/>
        <w:jc w:val="center"/>
        <w:rPr>
          <w:rFonts w:hint="eastAsia" w:ascii="方正小标宋_GBK" w:hAnsi="方正小标宋_GBK" w:eastAsia="方正小标宋_GBK" w:cs="方正小标宋_GBK"/>
          <w:sz w:val="52"/>
          <w:szCs w:val="52"/>
        </w:rPr>
      </w:pPr>
    </w:p>
    <w:p>
      <w:pPr>
        <w:pStyle w:val="13"/>
        <w:jc w:val="center"/>
        <w:rPr>
          <w:rFonts w:hint="eastAsia" w:ascii="方正小标宋_GBK" w:hAnsi="方正小标宋_GBK" w:eastAsia="方正小标宋_GBK" w:cs="方正小标宋_GBK"/>
          <w:sz w:val="52"/>
          <w:szCs w:val="52"/>
        </w:rPr>
      </w:pPr>
    </w:p>
    <w:p>
      <w:pPr>
        <w:pStyle w:val="13"/>
        <w:jc w:val="center"/>
        <w:rPr>
          <w:rFonts w:hint="eastAsia" w:ascii="方正小标宋_GBK" w:hAnsi="方正小标宋_GBK" w:eastAsia="方正小标宋_GBK" w:cs="方正小标宋_GBK"/>
          <w:sz w:val="52"/>
          <w:szCs w:val="52"/>
        </w:rPr>
      </w:pPr>
    </w:p>
    <w:p>
      <w:pPr>
        <w:pStyle w:val="13"/>
        <w:jc w:val="center"/>
        <w:rPr>
          <w:rFonts w:hint="eastAsia" w:ascii="方正小标宋_GBK" w:hAnsi="方正小标宋_GBK" w:eastAsia="方正小标宋_GBK" w:cs="方正小标宋_GBK"/>
          <w:sz w:val="52"/>
          <w:szCs w:val="52"/>
        </w:rPr>
      </w:pPr>
    </w:p>
    <w:p>
      <w:pPr>
        <w:pStyle w:val="13"/>
        <w:jc w:val="center"/>
        <w:rPr>
          <w:rFonts w:ascii="方正小标宋_GBK" w:hAnsi="方正小标宋_GBK" w:eastAsia="方正小标宋_GBK" w:cs="方正小标宋_GBK"/>
          <w:sz w:val="52"/>
          <w:szCs w:val="52"/>
        </w:rPr>
      </w:pPr>
      <w:r>
        <w:rPr>
          <w:rFonts w:hint="eastAsia" w:ascii="方正小标宋_GBK" w:hAnsi="方正小标宋_GBK" w:eastAsia="方正小标宋_GBK" w:cs="方正小标宋_GBK"/>
          <w:sz w:val="52"/>
          <w:szCs w:val="52"/>
        </w:rPr>
        <w:t>第二部分</w:t>
      </w:r>
    </w:p>
    <w:p>
      <w:pPr>
        <w:pStyle w:val="13"/>
        <w:jc w:val="center"/>
        <w:rPr>
          <w:rFonts w:ascii="方正小标宋_GBK" w:hAnsi="方正小标宋_GBK" w:eastAsia="方正小标宋_GBK" w:cs="方正小标宋_GBK"/>
          <w:sz w:val="52"/>
          <w:szCs w:val="52"/>
        </w:rPr>
      </w:pPr>
    </w:p>
    <w:p>
      <w:pPr>
        <w:pStyle w:val="13"/>
        <w:jc w:val="center"/>
        <w:rPr>
          <w:rFonts w:ascii="方正小标宋_GBK" w:hAnsi="方正小标宋_GBK" w:eastAsia="方正小标宋_GBK" w:cs="方正小标宋_GBK"/>
          <w:sz w:val="52"/>
          <w:szCs w:val="52"/>
        </w:rPr>
      </w:pPr>
      <w:r>
        <w:rPr>
          <w:rFonts w:hint="eastAsia" w:ascii="方正小标宋_GBK" w:hAnsi="方正小标宋_GBK" w:eastAsia="方正小标宋_GBK" w:cs="方正小标宋_GBK"/>
          <w:sz w:val="52"/>
          <w:szCs w:val="52"/>
        </w:rPr>
        <w:t>部门决算表</w:t>
      </w:r>
    </w:p>
    <w:p>
      <w:pPr>
        <w:jc w:val="center"/>
      </w:pPr>
      <w:r>
        <w:rPr>
          <w:rFonts w:hint="eastAsia"/>
          <w:sz w:val="52"/>
          <w:szCs w:val="52"/>
        </w:rPr>
        <w:t>（见附件）</w:t>
      </w:r>
    </w:p>
    <w:p>
      <w:pPr>
        <w:ind w:firstLine="640" w:firstLineChars="200"/>
        <w:jc w:val="left"/>
        <w:rPr>
          <w:rFonts w:ascii="仿宋" w:hAnsi="仿宋" w:eastAsia="仿宋"/>
          <w:color w:val="auto"/>
          <w:sz w:val="32"/>
          <w:szCs w:val="32"/>
        </w:rPr>
      </w:pPr>
      <w:r>
        <w:rPr>
          <w:rFonts w:hint="eastAsia" w:ascii="仿宋" w:hAnsi="仿宋" w:eastAsia="仿宋"/>
          <w:color w:val="3D3D3D"/>
          <w:sz w:val="32"/>
          <w:szCs w:val="32"/>
          <w:shd w:val="clear" w:color="auto" w:fill="FFFFFF"/>
        </w:rPr>
        <w:t>共</w:t>
      </w:r>
      <w:r>
        <w:rPr>
          <w:rFonts w:ascii="仿宋" w:hAnsi="仿宋" w:eastAsia="仿宋" w:cs="Times New Roman"/>
          <w:color w:val="3D3D3D"/>
          <w:sz w:val="32"/>
          <w:szCs w:val="32"/>
          <w:shd w:val="clear" w:color="auto" w:fill="FFFFFF"/>
        </w:rPr>
        <w:t>9</w:t>
      </w:r>
      <w:r>
        <w:rPr>
          <w:rFonts w:hint="eastAsia" w:ascii="仿宋" w:hAnsi="仿宋" w:eastAsia="仿宋"/>
          <w:color w:val="3D3D3D"/>
          <w:sz w:val="32"/>
          <w:szCs w:val="32"/>
          <w:shd w:val="clear" w:color="auto" w:fill="FFFFFF"/>
        </w:rPr>
        <w:t>张决算表，即《收入支出决算总表》《收入决算表》《支出决算表》《财政拨款收入支出决算总表》《一般公共预算财政拨款支出决算表》《一般公共预算财政拨款基本支出决算表》《政府性基金预算财政拨款收入支出决算表》《国有资本经营预算财政拨款支出决算表</w:t>
      </w:r>
      <w:r>
        <w:rPr>
          <w:rFonts w:hint="eastAsia" w:ascii="仿宋" w:hAnsi="仿宋" w:eastAsia="仿宋"/>
          <w:color w:val="auto"/>
          <w:sz w:val="32"/>
          <w:szCs w:val="32"/>
          <w:shd w:val="clear" w:color="auto" w:fill="FFFFFF"/>
        </w:rPr>
        <w:t>》《财政拨款“三公”经费支出决算表》。</w:t>
      </w:r>
    </w:p>
    <w:p>
      <w:pPr>
        <w:jc w:val="center"/>
        <w:rPr>
          <w:sz w:val="72"/>
          <w:szCs w:val="72"/>
        </w:rPr>
      </w:pPr>
    </w:p>
    <w:p>
      <w:pPr>
        <w:pStyle w:val="13"/>
        <w:rPr>
          <w:sz w:val="72"/>
          <w:szCs w:val="72"/>
        </w:rPr>
      </w:pPr>
      <w:bookmarkStart w:id="0" w:name="RANGE!A1:I22"/>
      <w:bookmarkEnd w:id="0"/>
    </w:p>
    <w:p>
      <w:pPr>
        <w:pStyle w:val="13"/>
        <w:rPr>
          <w:sz w:val="72"/>
          <w:szCs w:val="72"/>
        </w:rPr>
      </w:pPr>
    </w:p>
    <w:p>
      <w:pPr>
        <w:pStyle w:val="13"/>
        <w:rPr>
          <w:sz w:val="72"/>
          <w:szCs w:val="72"/>
        </w:rPr>
      </w:pPr>
    </w:p>
    <w:p>
      <w:pPr>
        <w:pStyle w:val="13"/>
        <w:rPr>
          <w:sz w:val="72"/>
          <w:szCs w:val="72"/>
        </w:rPr>
      </w:pPr>
    </w:p>
    <w:p>
      <w:pPr>
        <w:pStyle w:val="13"/>
        <w:jc w:val="center"/>
        <w:rPr>
          <w:sz w:val="72"/>
          <w:szCs w:val="72"/>
        </w:rPr>
      </w:pPr>
    </w:p>
    <w:p>
      <w:pPr>
        <w:pStyle w:val="13"/>
        <w:jc w:val="center"/>
        <w:rPr>
          <w:sz w:val="72"/>
          <w:szCs w:val="72"/>
        </w:rPr>
      </w:pPr>
    </w:p>
    <w:p>
      <w:pPr>
        <w:pStyle w:val="13"/>
        <w:jc w:val="center"/>
        <w:rPr>
          <w:sz w:val="72"/>
          <w:szCs w:val="72"/>
        </w:rPr>
      </w:pPr>
    </w:p>
    <w:p>
      <w:pPr>
        <w:pStyle w:val="13"/>
        <w:jc w:val="center"/>
        <w:rPr>
          <w:sz w:val="72"/>
          <w:szCs w:val="72"/>
        </w:rPr>
      </w:pPr>
    </w:p>
    <w:p>
      <w:pPr>
        <w:pStyle w:val="13"/>
        <w:jc w:val="center"/>
        <w:rPr>
          <w:sz w:val="72"/>
          <w:szCs w:val="72"/>
        </w:rPr>
      </w:pPr>
    </w:p>
    <w:p>
      <w:pPr>
        <w:pStyle w:val="13"/>
        <w:jc w:val="center"/>
        <w:rPr>
          <w:sz w:val="72"/>
          <w:szCs w:val="72"/>
        </w:rPr>
      </w:pPr>
    </w:p>
    <w:p>
      <w:pPr>
        <w:pStyle w:val="13"/>
        <w:jc w:val="center"/>
        <w:rPr>
          <w:rFonts w:ascii="方正小标宋_GBK" w:hAnsi="方正小标宋_GBK" w:eastAsia="方正小标宋_GBK" w:cs="方正小标宋_GBK"/>
          <w:sz w:val="72"/>
          <w:szCs w:val="72"/>
        </w:rPr>
      </w:pPr>
    </w:p>
    <w:p>
      <w:pPr>
        <w:pStyle w:val="13"/>
        <w:jc w:val="center"/>
        <w:rPr>
          <w:rFonts w:ascii="方正小标宋_GBK" w:hAnsi="方正小标宋_GBK" w:eastAsia="方正小标宋_GBK" w:cs="方正小标宋_GBK"/>
          <w:sz w:val="52"/>
          <w:szCs w:val="52"/>
        </w:rPr>
      </w:pPr>
      <w:r>
        <w:rPr>
          <w:rFonts w:hint="eastAsia" w:ascii="方正小标宋_GBK" w:hAnsi="方正小标宋_GBK" w:eastAsia="方正小标宋_GBK" w:cs="方正小标宋_GBK"/>
          <w:sz w:val="52"/>
          <w:szCs w:val="52"/>
        </w:rPr>
        <w:t>第三部分</w:t>
      </w:r>
    </w:p>
    <w:p>
      <w:pPr>
        <w:pStyle w:val="13"/>
        <w:jc w:val="center"/>
        <w:rPr>
          <w:rFonts w:ascii="方正小标宋_GBK" w:hAnsi="方正小标宋_GBK" w:eastAsia="方正小标宋_GBK" w:cs="方正小标宋_GBK"/>
          <w:sz w:val="52"/>
          <w:szCs w:val="52"/>
        </w:rPr>
      </w:pPr>
    </w:p>
    <w:p>
      <w:pPr>
        <w:pStyle w:val="13"/>
        <w:jc w:val="center"/>
        <w:rPr>
          <w:rFonts w:ascii="方正小标宋_GBK" w:hAnsi="方正小标宋_GBK" w:eastAsia="方正小标宋_GBK" w:cs="方正小标宋_GBK"/>
          <w:sz w:val="52"/>
          <w:szCs w:val="52"/>
        </w:rPr>
      </w:pPr>
      <w:r>
        <w:rPr>
          <w:rFonts w:hint="eastAsia" w:ascii="方正小标宋_GBK" w:hAnsi="方正小标宋_GBK" w:eastAsia="方正小标宋_GBK" w:cs="方正小标宋_GBK"/>
          <w:sz w:val="52"/>
          <w:szCs w:val="52"/>
        </w:rPr>
        <w:t>2023年度部门决算情况说明</w:t>
      </w:r>
    </w:p>
    <w:p>
      <w:pPr>
        <w:pStyle w:val="13"/>
        <w:jc w:val="center"/>
        <w:rPr>
          <w:rFonts w:ascii="方正小标宋_GBK" w:hAnsi="方正小标宋_GBK" w:eastAsia="方正小标宋_GBK" w:cs="方正小标宋_GBK"/>
          <w:sz w:val="52"/>
          <w:szCs w:val="52"/>
        </w:rPr>
      </w:pPr>
    </w:p>
    <w:p>
      <w:pPr>
        <w:pStyle w:val="13"/>
        <w:jc w:val="center"/>
        <w:rPr>
          <w:rFonts w:ascii="方正小标宋_GBK" w:hAnsi="方正小标宋_GBK" w:eastAsia="方正小标宋_GBK" w:cs="方正小标宋_GBK"/>
          <w:sz w:val="52"/>
          <w:szCs w:val="52"/>
        </w:rPr>
      </w:pPr>
    </w:p>
    <w:p>
      <w:pPr>
        <w:pStyle w:val="13"/>
        <w:jc w:val="center"/>
        <w:rPr>
          <w:rFonts w:ascii="方正小标宋_GBK" w:hAnsi="方正小标宋_GBK" w:eastAsia="方正小标宋_GBK" w:cs="方正小标宋_GBK"/>
          <w:sz w:val="52"/>
          <w:szCs w:val="52"/>
        </w:rPr>
      </w:pPr>
    </w:p>
    <w:p>
      <w:pPr>
        <w:pStyle w:val="13"/>
        <w:jc w:val="both"/>
        <w:rPr>
          <w:rFonts w:ascii="方正小标宋_GBK" w:hAnsi="方正小标宋_GBK" w:eastAsia="方正小标宋_GBK" w:cs="方正小标宋_GBK"/>
          <w:sz w:val="52"/>
          <w:szCs w:val="52"/>
        </w:rPr>
      </w:pPr>
    </w:p>
    <w:p>
      <w:pPr>
        <w:pStyle w:val="13"/>
        <w:spacing w:line="600" w:lineRule="exact"/>
        <w:ind w:firstLine="640" w:firstLineChars="200"/>
        <w:rPr>
          <w:rFonts w:hAnsi="黑体"/>
          <w:bCs/>
          <w:sz w:val="32"/>
          <w:szCs w:val="32"/>
        </w:rPr>
      </w:pPr>
      <w:r>
        <w:rPr>
          <w:rFonts w:hint="eastAsia" w:hAnsi="黑体"/>
          <w:bCs/>
          <w:sz w:val="32"/>
          <w:szCs w:val="32"/>
        </w:rPr>
        <w:t>一、收入支出决算总体情况说明</w:t>
      </w:r>
    </w:p>
    <w:p>
      <w:pPr>
        <w:pStyle w:val="13"/>
        <w:spacing w:line="600" w:lineRule="exact"/>
        <w:ind w:firstLine="640" w:firstLineChars="200"/>
        <w:rPr>
          <w:rFonts w:ascii="仿宋" w:hAnsi="仿宋" w:eastAsia="仿宋"/>
          <w:sz w:val="32"/>
          <w:szCs w:val="32"/>
        </w:rPr>
      </w:pPr>
      <w:r>
        <w:rPr>
          <w:rFonts w:hint="eastAsia" w:ascii="仿宋" w:hAnsi="仿宋" w:eastAsia="仿宋"/>
          <w:sz w:val="32"/>
          <w:szCs w:val="32"/>
        </w:rPr>
        <w:t>2023年度收、支总计494.73万元。与上年相比，增加201.98万元，增长68.99%，主要是因为非税收入增加，</w:t>
      </w:r>
      <w:r>
        <w:rPr>
          <w:rFonts w:hint="eastAsia" w:ascii="仿宋" w:hAnsi="仿宋" w:eastAsia="仿宋"/>
          <w:color w:val="auto"/>
          <w:sz w:val="32"/>
          <w:szCs w:val="32"/>
          <w:lang w:val="en-US" w:eastAsia="zh-CN"/>
        </w:rPr>
        <w:t>2023年含</w:t>
      </w:r>
      <w:r>
        <w:rPr>
          <w:rFonts w:hint="eastAsia" w:ascii="仿宋" w:hAnsi="仿宋" w:eastAsia="仿宋"/>
          <w:color w:val="auto"/>
          <w:sz w:val="32"/>
          <w:szCs w:val="32"/>
        </w:rPr>
        <w:t>退</w:t>
      </w:r>
      <w:r>
        <w:rPr>
          <w:rFonts w:hint="eastAsia" w:ascii="仿宋" w:hAnsi="仿宋" w:eastAsia="仿宋"/>
          <w:sz w:val="32"/>
          <w:szCs w:val="32"/>
        </w:rPr>
        <w:t>回以前年度社保缴费。</w:t>
      </w:r>
    </w:p>
    <w:p>
      <w:pPr>
        <w:pStyle w:val="13"/>
        <w:spacing w:line="600" w:lineRule="exact"/>
        <w:ind w:firstLine="640" w:firstLineChars="200"/>
        <w:rPr>
          <w:rFonts w:hAnsi="黑体"/>
          <w:bCs/>
          <w:sz w:val="32"/>
          <w:szCs w:val="32"/>
        </w:rPr>
      </w:pPr>
      <w:r>
        <w:rPr>
          <w:rFonts w:hint="eastAsia" w:hAnsi="黑体"/>
          <w:bCs/>
          <w:sz w:val="32"/>
          <w:szCs w:val="32"/>
        </w:rPr>
        <w:t>二、收入决算情况说明</w:t>
      </w:r>
    </w:p>
    <w:p>
      <w:pPr>
        <w:pStyle w:val="13"/>
        <w:spacing w:line="600" w:lineRule="exact"/>
        <w:ind w:firstLine="640" w:firstLineChars="200"/>
        <w:rPr>
          <w:rFonts w:ascii="仿宋" w:hAnsi="仿宋" w:eastAsia="仿宋"/>
          <w:sz w:val="32"/>
          <w:szCs w:val="32"/>
        </w:rPr>
      </w:pPr>
      <w:r>
        <w:rPr>
          <w:rFonts w:hint="eastAsia" w:ascii="仿宋" w:hAnsi="仿宋" w:eastAsia="仿宋"/>
          <w:sz w:val="32"/>
          <w:szCs w:val="32"/>
        </w:rPr>
        <w:t>2023年度收入合计494.73万元，其中：财政拨款收入354.44万元，占71.64%；其他收入140.29万元，占28.36%。</w:t>
      </w:r>
    </w:p>
    <w:p>
      <w:pPr>
        <w:pStyle w:val="13"/>
        <w:spacing w:line="600" w:lineRule="exact"/>
        <w:ind w:firstLine="640" w:firstLineChars="200"/>
        <w:rPr>
          <w:rFonts w:hAnsi="黑体"/>
          <w:bCs/>
          <w:sz w:val="32"/>
          <w:szCs w:val="32"/>
        </w:rPr>
      </w:pPr>
      <w:r>
        <w:rPr>
          <w:rFonts w:hint="eastAsia" w:hAnsi="黑体"/>
          <w:bCs/>
          <w:sz w:val="32"/>
          <w:szCs w:val="32"/>
        </w:rPr>
        <w:t>三、支出决算情况说明</w:t>
      </w:r>
    </w:p>
    <w:p>
      <w:pPr>
        <w:pStyle w:val="13"/>
        <w:spacing w:line="600" w:lineRule="exact"/>
        <w:ind w:firstLine="640" w:firstLineChars="200"/>
        <w:rPr>
          <w:rFonts w:ascii="仿宋" w:hAnsi="仿宋" w:eastAsia="仿宋"/>
          <w:sz w:val="32"/>
          <w:szCs w:val="32"/>
        </w:rPr>
      </w:pPr>
      <w:r>
        <w:rPr>
          <w:rFonts w:hint="eastAsia" w:ascii="仿宋" w:hAnsi="仿宋" w:eastAsia="仿宋"/>
          <w:sz w:val="32"/>
          <w:szCs w:val="32"/>
        </w:rPr>
        <w:t>2023年度支出合计494.73万元，其中：基本支出494.73万元，占100%。</w:t>
      </w:r>
    </w:p>
    <w:p>
      <w:pPr>
        <w:pStyle w:val="13"/>
        <w:spacing w:line="600" w:lineRule="exact"/>
        <w:ind w:firstLine="640" w:firstLineChars="200"/>
        <w:rPr>
          <w:rFonts w:hAnsi="黑体"/>
          <w:bCs/>
          <w:sz w:val="32"/>
          <w:szCs w:val="32"/>
        </w:rPr>
      </w:pPr>
      <w:r>
        <w:rPr>
          <w:rFonts w:hint="eastAsia" w:hAnsi="黑体"/>
          <w:bCs/>
          <w:sz w:val="32"/>
          <w:szCs w:val="32"/>
        </w:rPr>
        <w:t>四、财政拨款收入支出决算总体情况说明</w:t>
      </w:r>
    </w:p>
    <w:p>
      <w:pPr>
        <w:pStyle w:val="13"/>
        <w:spacing w:line="600" w:lineRule="exact"/>
        <w:rPr>
          <w:rFonts w:ascii="仿宋" w:hAnsi="仿宋" w:eastAsia="仿宋"/>
          <w:sz w:val="32"/>
          <w:szCs w:val="32"/>
        </w:rPr>
      </w:pPr>
      <w:r>
        <w:rPr>
          <w:rFonts w:hint="eastAsia" w:ascii="Times New Roman" w:hAnsi="Times New Roman" w:eastAsia="仿宋_GB2312"/>
          <w:sz w:val="32"/>
          <w:szCs w:val="32"/>
        </w:rPr>
        <w:t xml:space="preserve">   </w:t>
      </w:r>
      <w:r>
        <w:rPr>
          <w:rFonts w:hint="eastAsia" w:ascii="仿宋" w:hAnsi="仿宋" w:eastAsia="仿宋"/>
          <w:sz w:val="32"/>
          <w:szCs w:val="32"/>
        </w:rPr>
        <w:t xml:space="preserve"> 2023年度财政拨款收、支总计354.44万元，与上年相比，增加201.98万元,增长21.07%，主要是因为非税收入增加。</w:t>
      </w:r>
    </w:p>
    <w:p>
      <w:pPr>
        <w:pStyle w:val="13"/>
        <w:spacing w:line="600" w:lineRule="exact"/>
        <w:ind w:firstLine="640" w:firstLineChars="200"/>
        <w:rPr>
          <w:rFonts w:hAnsi="黑体"/>
          <w:bCs/>
          <w:sz w:val="32"/>
          <w:szCs w:val="32"/>
        </w:rPr>
      </w:pPr>
      <w:r>
        <w:rPr>
          <w:rFonts w:hint="eastAsia" w:hAnsi="黑体"/>
          <w:bCs/>
          <w:sz w:val="32"/>
          <w:szCs w:val="32"/>
        </w:rPr>
        <w:t>五、一般公共预算财政拨款支出决算情况说明</w:t>
      </w:r>
    </w:p>
    <w:p>
      <w:pPr>
        <w:pStyle w:val="13"/>
        <w:spacing w:line="600" w:lineRule="exact"/>
        <w:ind w:firstLine="640" w:firstLineChars="200"/>
        <w:rPr>
          <w:rFonts w:ascii="楷体" w:hAnsi="楷体" w:eastAsia="楷体" w:cs="楷体"/>
          <w:bCs/>
          <w:sz w:val="32"/>
          <w:szCs w:val="32"/>
        </w:rPr>
      </w:pPr>
      <w:r>
        <w:rPr>
          <w:rFonts w:hint="eastAsia" w:ascii="楷体" w:hAnsi="楷体" w:eastAsia="楷体" w:cs="楷体"/>
          <w:bCs/>
          <w:sz w:val="32"/>
          <w:szCs w:val="32"/>
        </w:rPr>
        <w:t>（一）一般公共预算财政拨款支出决算总体情况</w:t>
      </w:r>
    </w:p>
    <w:p>
      <w:pPr>
        <w:pStyle w:val="13"/>
        <w:spacing w:line="600" w:lineRule="exact"/>
        <w:ind w:firstLine="800" w:firstLineChars="250"/>
        <w:rPr>
          <w:rFonts w:ascii="仿宋" w:hAnsi="仿宋" w:eastAsia="仿宋"/>
          <w:sz w:val="32"/>
          <w:szCs w:val="32"/>
        </w:rPr>
      </w:pPr>
      <w:r>
        <w:rPr>
          <w:rFonts w:hint="eastAsia" w:ascii="仿宋" w:hAnsi="仿宋" w:eastAsia="仿宋"/>
          <w:sz w:val="32"/>
          <w:szCs w:val="32"/>
        </w:rPr>
        <w:t>2023年度财政拨款支出354.44万元，占本年支出合计的71.64%，与上年相比，财政拨款支出增加61.69万元，增长21.07%，主要是因为非税收入增加，补足以前年度未缴足社会保障经费及未发放到位工资。</w:t>
      </w:r>
    </w:p>
    <w:p>
      <w:pPr>
        <w:pStyle w:val="13"/>
        <w:spacing w:line="600" w:lineRule="exact"/>
        <w:ind w:firstLine="480" w:firstLineChars="150"/>
        <w:rPr>
          <w:rFonts w:ascii="楷体" w:hAnsi="楷体" w:eastAsia="楷体" w:cs="楷体"/>
          <w:bCs/>
          <w:sz w:val="32"/>
          <w:szCs w:val="32"/>
        </w:rPr>
      </w:pPr>
      <w:r>
        <w:rPr>
          <w:rFonts w:hint="eastAsia" w:ascii="楷体" w:hAnsi="楷体" w:eastAsia="楷体" w:cs="楷体"/>
          <w:bCs/>
          <w:sz w:val="32"/>
          <w:szCs w:val="32"/>
        </w:rPr>
        <w:t>（二）一般公共预算财政拨款支出决算结构情况</w:t>
      </w:r>
    </w:p>
    <w:p>
      <w:pPr>
        <w:pStyle w:val="13"/>
        <w:spacing w:line="600" w:lineRule="exact"/>
        <w:ind w:firstLine="640" w:firstLineChars="200"/>
        <w:rPr>
          <w:rFonts w:ascii="仿宋" w:hAnsi="仿宋" w:eastAsia="仿宋"/>
          <w:sz w:val="32"/>
          <w:szCs w:val="32"/>
        </w:rPr>
      </w:pPr>
      <w:r>
        <w:rPr>
          <w:rFonts w:hint="eastAsia" w:ascii="仿宋" w:hAnsi="仿宋" w:eastAsia="仿宋"/>
          <w:sz w:val="32"/>
          <w:szCs w:val="32"/>
        </w:rPr>
        <w:t>2023年度财政拨款支出354.44万元，主要用于以下方面：社会保障和就业支出34.26万元，占9.7%；交通运输支出320.18万元，占90.3%。</w:t>
      </w:r>
    </w:p>
    <w:p>
      <w:pPr>
        <w:pStyle w:val="13"/>
        <w:spacing w:line="600" w:lineRule="exact"/>
        <w:ind w:firstLine="640" w:firstLineChars="200"/>
        <w:rPr>
          <w:rFonts w:ascii="楷体" w:hAnsi="楷体" w:eastAsia="楷体" w:cs="楷体"/>
          <w:bCs/>
          <w:sz w:val="32"/>
          <w:szCs w:val="32"/>
        </w:rPr>
      </w:pPr>
      <w:r>
        <w:rPr>
          <w:rFonts w:hint="eastAsia" w:ascii="楷体" w:hAnsi="楷体" w:eastAsia="楷体" w:cs="楷体"/>
          <w:bCs/>
          <w:sz w:val="32"/>
          <w:szCs w:val="32"/>
        </w:rPr>
        <w:t>（三）一般公共预算财政拨款支出决算具体情况</w:t>
      </w:r>
    </w:p>
    <w:p>
      <w:pPr>
        <w:pStyle w:val="13"/>
        <w:spacing w:line="600" w:lineRule="exact"/>
        <w:ind w:firstLine="800" w:firstLineChars="250"/>
        <w:rPr>
          <w:rFonts w:ascii="仿宋" w:hAnsi="仿宋" w:eastAsia="仿宋"/>
          <w:sz w:val="32"/>
          <w:szCs w:val="32"/>
        </w:rPr>
      </w:pPr>
      <w:r>
        <w:rPr>
          <w:rFonts w:hint="eastAsia" w:ascii="仿宋" w:hAnsi="仿宋" w:eastAsia="仿宋"/>
          <w:sz w:val="32"/>
          <w:szCs w:val="32"/>
        </w:rPr>
        <w:t>2023年度财政拨款支出年初预算数为421.89万元，支出决算数为354.44万元，完成年初预算的84%，其中：</w:t>
      </w:r>
    </w:p>
    <w:p>
      <w:pPr>
        <w:pStyle w:val="13"/>
        <w:spacing w:line="600" w:lineRule="exact"/>
        <w:ind w:firstLine="800" w:firstLineChars="250"/>
        <w:rPr>
          <w:rFonts w:ascii="仿宋" w:hAnsi="仿宋" w:eastAsia="仿宋"/>
          <w:sz w:val="32"/>
          <w:szCs w:val="32"/>
        </w:rPr>
      </w:pPr>
      <w:r>
        <w:rPr>
          <w:rFonts w:hint="eastAsia" w:ascii="仿宋" w:hAnsi="仿宋" w:eastAsia="仿宋"/>
          <w:sz w:val="32"/>
          <w:szCs w:val="32"/>
        </w:rPr>
        <w:t>1、社会保障和就业支出（类）行政事业单位养老支出（款）其他行政事业单位养老支出（项）。</w:t>
      </w:r>
    </w:p>
    <w:p>
      <w:pPr>
        <w:pStyle w:val="13"/>
        <w:spacing w:line="600" w:lineRule="exact"/>
        <w:ind w:firstLine="800" w:firstLineChars="250"/>
        <w:rPr>
          <w:rFonts w:ascii="仿宋" w:hAnsi="仿宋" w:eastAsia="仿宋"/>
          <w:sz w:val="32"/>
          <w:szCs w:val="32"/>
        </w:rPr>
      </w:pPr>
      <w:r>
        <w:rPr>
          <w:rFonts w:hint="eastAsia" w:ascii="仿宋" w:hAnsi="仿宋" w:eastAsia="仿宋"/>
          <w:sz w:val="32"/>
          <w:szCs w:val="32"/>
        </w:rPr>
        <w:t>年初预算为0万元，支出决算为34.26万元，决算数大于年初预算数的主要原因是：年初预算未将社会保障和就业支出单列出来，而是合并在交通运输支出内。</w:t>
      </w:r>
    </w:p>
    <w:p>
      <w:pPr>
        <w:pStyle w:val="13"/>
        <w:spacing w:line="600" w:lineRule="exact"/>
        <w:ind w:firstLine="800" w:firstLineChars="250"/>
        <w:rPr>
          <w:rFonts w:ascii="仿宋" w:hAnsi="仿宋" w:eastAsia="仿宋"/>
          <w:sz w:val="32"/>
          <w:szCs w:val="32"/>
        </w:rPr>
      </w:pPr>
      <w:r>
        <w:rPr>
          <w:rFonts w:hint="eastAsia" w:ascii="仿宋" w:hAnsi="仿宋" w:eastAsia="仿宋"/>
          <w:sz w:val="32"/>
          <w:szCs w:val="32"/>
        </w:rPr>
        <w:t>2、交通运输支出（类）公路水路运输（款）行政运行（项）。</w:t>
      </w:r>
    </w:p>
    <w:p>
      <w:pPr>
        <w:pStyle w:val="13"/>
        <w:spacing w:line="600" w:lineRule="exact"/>
        <w:ind w:firstLine="800" w:firstLineChars="250"/>
        <w:rPr>
          <w:rFonts w:ascii="仿宋" w:hAnsi="仿宋" w:eastAsia="仿宋"/>
          <w:sz w:val="32"/>
          <w:szCs w:val="32"/>
        </w:rPr>
      </w:pPr>
      <w:r>
        <w:rPr>
          <w:rFonts w:hint="eastAsia" w:ascii="仿宋" w:hAnsi="仿宋" w:eastAsia="仿宋"/>
          <w:sz w:val="32"/>
          <w:szCs w:val="32"/>
        </w:rPr>
        <w:t>年初预算为421.89万元，支出决算为320.18万元，完成年初预算的75.89%，决算数小于年初预算数的主要原因是：社会保障和就业支出单列出来；未能完成年初非税征收计划。</w:t>
      </w:r>
    </w:p>
    <w:p>
      <w:pPr>
        <w:pStyle w:val="13"/>
        <w:spacing w:line="600" w:lineRule="exact"/>
        <w:ind w:firstLine="640" w:firstLineChars="200"/>
        <w:rPr>
          <w:rFonts w:hAnsi="黑体"/>
          <w:bCs/>
          <w:sz w:val="32"/>
          <w:szCs w:val="32"/>
        </w:rPr>
      </w:pPr>
      <w:r>
        <w:rPr>
          <w:rFonts w:hint="eastAsia" w:hAnsi="黑体"/>
          <w:bCs/>
          <w:sz w:val="32"/>
          <w:szCs w:val="32"/>
        </w:rPr>
        <w:t>六、一般公共预算财政拨款基本支出决算情况说明</w:t>
      </w:r>
    </w:p>
    <w:p>
      <w:pPr>
        <w:pStyle w:val="13"/>
        <w:spacing w:line="600" w:lineRule="exact"/>
        <w:ind w:firstLine="640" w:firstLineChars="200"/>
        <w:rPr>
          <w:rFonts w:ascii="仿宋" w:hAnsi="仿宋" w:eastAsia="仿宋"/>
          <w:sz w:val="32"/>
          <w:szCs w:val="32"/>
        </w:rPr>
      </w:pPr>
      <w:r>
        <w:rPr>
          <w:rFonts w:hint="eastAsia" w:ascii="仿宋" w:hAnsi="仿宋" w:eastAsia="仿宋"/>
          <w:sz w:val="32"/>
          <w:szCs w:val="32"/>
        </w:rPr>
        <w:t>2023年度财政拨款基本支出354.44万元，其中：</w:t>
      </w:r>
    </w:p>
    <w:p>
      <w:pPr>
        <w:pStyle w:val="13"/>
        <w:spacing w:line="600" w:lineRule="exact"/>
        <w:ind w:firstLine="640" w:firstLineChars="200"/>
        <w:rPr>
          <w:rFonts w:ascii="仿宋" w:hAnsi="仿宋" w:eastAsia="仿宋" w:cs="楷体"/>
          <w:b/>
          <w:bCs/>
          <w:i/>
          <w:color w:val="auto"/>
          <w:sz w:val="32"/>
          <w:szCs w:val="32"/>
        </w:rPr>
      </w:pPr>
      <w:r>
        <w:rPr>
          <w:rFonts w:hint="eastAsia" w:ascii="仿宋" w:hAnsi="仿宋" w:eastAsia="仿宋"/>
          <w:b/>
          <w:bCs/>
          <w:sz w:val="32"/>
          <w:szCs w:val="32"/>
        </w:rPr>
        <w:t>人员经费</w:t>
      </w:r>
      <w:r>
        <w:rPr>
          <w:rFonts w:hint="eastAsia" w:ascii="仿宋" w:hAnsi="仿宋" w:eastAsia="仿宋"/>
          <w:sz w:val="32"/>
          <w:szCs w:val="32"/>
        </w:rPr>
        <w:t>351.8万元，占基本支出的99.26%,主要包括基本工资、津贴补贴、奖金、绩效工资、机关事业单位基本养老保险缴费、生活补助、奖励金、其他对个人和家庭的补助。</w:t>
      </w:r>
    </w:p>
    <w:p>
      <w:pPr>
        <w:pStyle w:val="13"/>
        <w:spacing w:line="600" w:lineRule="exact"/>
        <w:ind w:firstLine="640" w:firstLineChars="200"/>
        <w:rPr>
          <w:rFonts w:ascii="仿宋" w:hAnsi="仿宋" w:eastAsia="仿宋"/>
          <w:b/>
          <w:sz w:val="32"/>
          <w:szCs w:val="32"/>
        </w:rPr>
      </w:pPr>
      <w:r>
        <w:rPr>
          <w:rFonts w:hint="eastAsia" w:ascii="仿宋" w:hAnsi="仿宋" w:eastAsia="仿宋"/>
          <w:b/>
          <w:bCs/>
          <w:sz w:val="32"/>
          <w:szCs w:val="32"/>
        </w:rPr>
        <w:t>公用经费</w:t>
      </w:r>
      <w:r>
        <w:rPr>
          <w:rFonts w:hint="eastAsia" w:ascii="仿宋" w:hAnsi="仿宋" w:eastAsia="仿宋"/>
          <w:sz w:val="32"/>
          <w:szCs w:val="32"/>
        </w:rPr>
        <w:t>2.64万元，占基本支出的0.74%，主要包括办公费、差旅费、委托业务费、公务用车运行维护费。</w:t>
      </w:r>
    </w:p>
    <w:p>
      <w:pPr>
        <w:pStyle w:val="13"/>
        <w:spacing w:line="600" w:lineRule="exact"/>
        <w:ind w:firstLine="640" w:firstLineChars="200"/>
        <w:rPr>
          <w:rFonts w:ascii="Times New Roman" w:hAnsi="Times New Roman" w:eastAsia="仿宋_GB2312"/>
          <w:b/>
          <w:sz w:val="32"/>
          <w:szCs w:val="32"/>
        </w:rPr>
      </w:pPr>
      <w:r>
        <w:rPr>
          <w:rFonts w:hint="eastAsia" w:hAnsi="黑体"/>
          <w:bCs/>
          <w:sz w:val="32"/>
          <w:szCs w:val="32"/>
        </w:rPr>
        <w:t>七、财政拨款三公经费支出决算情况说明</w:t>
      </w:r>
    </w:p>
    <w:p>
      <w:pPr>
        <w:pStyle w:val="13"/>
        <w:spacing w:line="600" w:lineRule="exact"/>
        <w:ind w:firstLine="640" w:firstLineChars="200"/>
        <w:rPr>
          <w:rFonts w:ascii="楷体" w:hAnsi="楷体" w:eastAsia="楷体" w:cs="楷体"/>
          <w:b/>
          <w:sz w:val="32"/>
          <w:szCs w:val="32"/>
        </w:rPr>
      </w:pPr>
      <w:r>
        <w:rPr>
          <w:rFonts w:hint="eastAsia" w:ascii="楷体" w:hAnsi="楷体" w:eastAsia="楷体" w:cs="楷体"/>
          <w:b/>
          <w:sz w:val="32"/>
          <w:szCs w:val="32"/>
        </w:rPr>
        <w:t>（一）“三公”经费财政拨款支出决算总体情况说明</w:t>
      </w:r>
    </w:p>
    <w:p>
      <w:pPr>
        <w:pStyle w:val="13"/>
        <w:spacing w:line="600" w:lineRule="exact"/>
        <w:ind w:firstLine="800" w:firstLineChars="250"/>
        <w:rPr>
          <w:rFonts w:hint="eastAsia" w:ascii="仿宋" w:hAnsi="仿宋" w:eastAsia="仿宋"/>
          <w:sz w:val="32"/>
          <w:szCs w:val="32"/>
        </w:rPr>
      </w:pPr>
      <w:r>
        <w:rPr>
          <w:rFonts w:hint="eastAsia" w:ascii="仿宋" w:hAnsi="仿宋" w:eastAsia="仿宋"/>
          <w:sz w:val="32"/>
          <w:szCs w:val="32"/>
        </w:rPr>
        <w:t>“三公”经费财政拨款支出预算为1万元，支出决算为0.87万元，完成预算的87%，决算数小于预算数的主要原因是差额拨款事业单位，人员支出都不能足额发放，只能压缩日常公用支出中的各项支出，与上年相比增加0.87万元，增长100%,增长的主要原因是增加非税收入相应增加各项工作经费。其中：</w:t>
      </w:r>
    </w:p>
    <w:p>
      <w:pPr>
        <w:pStyle w:val="13"/>
        <w:spacing w:line="600" w:lineRule="exact"/>
        <w:ind w:firstLine="640" w:firstLineChars="200"/>
        <w:rPr>
          <w:rFonts w:hint="eastAsia" w:ascii="仿宋" w:hAnsi="仿宋" w:eastAsia="仿宋"/>
          <w:color w:val="auto"/>
          <w:sz w:val="32"/>
          <w:szCs w:val="32"/>
          <w:lang w:val="en-US" w:eastAsia="zh-CN"/>
        </w:rPr>
      </w:pPr>
      <w:r>
        <w:rPr>
          <w:rFonts w:hint="eastAsia" w:ascii="仿宋" w:hAnsi="仿宋" w:eastAsia="仿宋"/>
          <w:color w:val="auto"/>
          <w:sz w:val="32"/>
          <w:szCs w:val="32"/>
          <w:lang w:eastAsia="zh-CN"/>
        </w:rPr>
        <w:t>因公出国出（境）支出预算</w:t>
      </w:r>
      <w:r>
        <w:rPr>
          <w:rFonts w:hint="eastAsia" w:ascii="仿宋" w:hAnsi="仿宋" w:eastAsia="仿宋"/>
          <w:color w:val="auto"/>
          <w:sz w:val="32"/>
          <w:szCs w:val="32"/>
          <w:lang w:val="en-US" w:eastAsia="zh-CN"/>
        </w:rPr>
        <w:t>0万元，支出决算为0万元。</w:t>
      </w:r>
    </w:p>
    <w:p>
      <w:pPr>
        <w:pStyle w:val="13"/>
        <w:spacing w:line="600" w:lineRule="exact"/>
        <w:ind w:firstLine="640" w:firstLineChars="200"/>
        <w:rPr>
          <w:rFonts w:hint="eastAsia" w:ascii="仿宋" w:hAnsi="仿宋" w:eastAsia="仿宋"/>
          <w:color w:val="auto"/>
          <w:sz w:val="32"/>
          <w:szCs w:val="32"/>
          <w:lang w:val="en-US" w:eastAsia="zh-CN"/>
        </w:rPr>
      </w:pPr>
      <w:r>
        <w:rPr>
          <w:rFonts w:hint="eastAsia" w:ascii="仿宋" w:hAnsi="仿宋" w:eastAsia="仿宋"/>
          <w:color w:val="auto"/>
          <w:sz w:val="32"/>
          <w:szCs w:val="32"/>
          <w:lang w:val="en-US" w:eastAsia="zh-CN"/>
        </w:rPr>
        <w:t>公务接待费支出预算为0万元，支出决算为0万元。</w:t>
      </w:r>
    </w:p>
    <w:p>
      <w:pPr>
        <w:pStyle w:val="13"/>
        <w:spacing w:line="600" w:lineRule="exact"/>
        <w:ind w:firstLine="640" w:firstLineChars="200"/>
        <w:rPr>
          <w:rFonts w:hint="default" w:ascii="仿宋" w:hAnsi="仿宋" w:eastAsia="仿宋"/>
          <w:color w:val="auto"/>
          <w:sz w:val="32"/>
          <w:szCs w:val="32"/>
          <w:lang w:val="en-US" w:eastAsia="zh-CN"/>
        </w:rPr>
      </w:pPr>
      <w:r>
        <w:rPr>
          <w:rFonts w:hint="eastAsia" w:ascii="仿宋" w:hAnsi="仿宋" w:eastAsia="仿宋"/>
          <w:color w:val="auto"/>
          <w:sz w:val="32"/>
          <w:szCs w:val="32"/>
          <w:lang w:val="en-US" w:eastAsia="zh-CN"/>
        </w:rPr>
        <w:t>公务用车购置费支出预算0万元，支出决算为0万元。</w:t>
      </w:r>
    </w:p>
    <w:p>
      <w:pPr>
        <w:pStyle w:val="13"/>
        <w:spacing w:line="600" w:lineRule="exact"/>
        <w:ind w:firstLine="640" w:firstLineChars="200"/>
        <w:rPr>
          <w:rFonts w:ascii="仿宋" w:hAnsi="仿宋" w:eastAsia="仿宋"/>
          <w:sz w:val="32"/>
          <w:szCs w:val="32"/>
        </w:rPr>
      </w:pPr>
      <w:r>
        <w:rPr>
          <w:rFonts w:hint="eastAsia" w:ascii="仿宋" w:hAnsi="仿宋" w:eastAsia="仿宋"/>
          <w:sz w:val="32"/>
          <w:szCs w:val="32"/>
        </w:rPr>
        <w:t>公务用车运行维护费支出预算为1万元，支出决算为0.87万元，完成预算的87%，决算数小于预算数的主要原因是差额拨款事业单位，人员支出都不能足额发放，只能压缩日常公用支出中的各项支出，与上年相比增加0.87万元，增长100%,增长的主要原因是增加非税收入相应增加各项工作经费。</w:t>
      </w:r>
    </w:p>
    <w:p>
      <w:pPr>
        <w:pStyle w:val="13"/>
        <w:spacing w:line="600" w:lineRule="exact"/>
        <w:ind w:firstLine="640" w:firstLineChars="200"/>
        <w:rPr>
          <w:rFonts w:ascii="楷体" w:hAnsi="楷体" w:eastAsia="楷体" w:cs="楷体"/>
          <w:b/>
          <w:sz w:val="32"/>
          <w:szCs w:val="32"/>
        </w:rPr>
      </w:pPr>
      <w:r>
        <w:rPr>
          <w:rFonts w:hint="eastAsia" w:ascii="楷体" w:hAnsi="楷体" w:eastAsia="楷体" w:cs="楷体"/>
          <w:b/>
          <w:sz w:val="32"/>
          <w:szCs w:val="32"/>
        </w:rPr>
        <w:t>（二）“三公”经费财政拨款支出决算具体情况说明</w:t>
      </w:r>
    </w:p>
    <w:p>
      <w:pPr>
        <w:pStyle w:val="13"/>
        <w:spacing w:line="600" w:lineRule="exact"/>
        <w:ind w:firstLine="640" w:firstLineChars="200"/>
        <w:rPr>
          <w:rFonts w:hint="eastAsia" w:ascii="仿宋" w:hAnsi="仿宋" w:eastAsia="仿宋"/>
          <w:sz w:val="32"/>
          <w:szCs w:val="32"/>
        </w:rPr>
      </w:pPr>
      <w:r>
        <w:rPr>
          <w:rFonts w:hint="eastAsia" w:ascii="仿宋" w:hAnsi="仿宋" w:eastAsia="仿宋"/>
          <w:sz w:val="32"/>
          <w:szCs w:val="32"/>
        </w:rPr>
        <w:t>2023年度“三公”经费财政拨款支出决算中，</w:t>
      </w:r>
      <w:r>
        <w:rPr>
          <w:rFonts w:hint="eastAsia" w:ascii="仿宋" w:hAnsi="仿宋" w:eastAsia="仿宋"/>
          <w:sz w:val="32"/>
          <w:szCs w:val="32"/>
          <w:lang w:eastAsia="zh-CN"/>
        </w:rPr>
        <w:t>公务车辆购置费及</w:t>
      </w:r>
      <w:r>
        <w:rPr>
          <w:rFonts w:hint="eastAsia" w:ascii="仿宋" w:hAnsi="仿宋" w:eastAsia="仿宋"/>
          <w:sz w:val="32"/>
          <w:szCs w:val="32"/>
        </w:rPr>
        <w:t>公务用车运行维护费支出决算0.87万元，占100%。其中：</w:t>
      </w:r>
    </w:p>
    <w:p>
      <w:pPr>
        <w:pStyle w:val="13"/>
        <w:spacing w:line="600" w:lineRule="exact"/>
        <w:ind w:firstLine="640" w:firstLineChars="200"/>
        <w:rPr>
          <w:rFonts w:hint="eastAsia" w:ascii="仿宋" w:hAnsi="仿宋" w:eastAsia="仿宋"/>
          <w:color w:val="auto"/>
          <w:sz w:val="32"/>
          <w:szCs w:val="32"/>
          <w:lang w:val="en-US" w:eastAsia="zh-CN"/>
        </w:rPr>
      </w:pPr>
      <w:r>
        <w:rPr>
          <w:rFonts w:hint="eastAsia" w:ascii="仿宋" w:hAnsi="仿宋" w:eastAsia="仿宋"/>
          <w:color w:val="auto"/>
          <w:sz w:val="32"/>
          <w:szCs w:val="32"/>
          <w:lang w:val="en-US" w:eastAsia="zh-CN"/>
        </w:rPr>
        <w:t>1、</w:t>
      </w:r>
      <w:r>
        <w:rPr>
          <w:rFonts w:hint="eastAsia" w:ascii="仿宋" w:hAnsi="仿宋" w:eastAsia="仿宋"/>
          <w:color w:val="auto"/>
          <w:sz w:val="32"/>
          <w:szCs w:val="32"/>
          <w:lang w:eastAsia="zh-CN"/>
        </w:rPr>
        <w:t>因公出国出（境）支出决算</w:t>
      </w:r>
      <w:r>
        <w:rPr>
          <w:rFonts w:hint="eastAsia" w:ascii="仿宋" w:hAnsi="仿宋" w:eastAsia="仿宋"/>
          <w:color w:val="auto"/>
          <w:sz w:val="32"/>
          <w:szCs w:val="32"/>
          <w:lang w:val="en-US" w:eastAsia="zh-CN"/>
        </w:rPr>
        <w:t>0万元。</w:t>
      </w:r>
    </w:p>
    <w:p>
      <w:pPr>
        <w:pStyle w:val="13"/>
        <w:spacing w:line="600" w:lineRule="exact"/>
        <w:ind w:firstLine="640" w:firstLineChars="200"/>
        <w:rPr>
          <w:rFonts w:hint="eastAsia" w:ascii="仿宋" w:hAnsi="仿宋" w:eastAsia="仿宋"/>
          <w:color w:val="auto"/>
          <w:sz w:val="32"/>
          <w:szCs w:val="32"/>
          <w:lang w:val="en-US" w:eastAsia="zh-CN"/>
        </w:rPr>
      </w:pPr>
      <w:r>
        <w:rPr>
          <w:rFonts w:hint="eastAsia" w:ascii="仿宋" w:hAnsi="仿宋" w:eastAsia="仿宋"/>
          <w:color w:val="auto"/>
          <w:sz w:val="32"/>
          <w:szCs w:val="32"/>
          <w:lang w:val="en-US" w:eastAsia="zh-CN"/>
        </w:rPr>
        <w:t>2、公务接待费支出决算为0万元。</w:t>
      </w:r>
    </w:p>
    <w:p>
      <w:pPr>
        <w:spacing w:line="600" w:lineRule="exact"/>
        <w:ind w:firstLine="640" w:firstLineChars="200"/>
        <w:rPr>
          <w:rFonts w:ascii="仿宋" w:hAnsi="仿宋" w:eastAsia="仿宋" w:cs="楷体"/>
          <w:b/>
          <w:bCs/>
          <w:i/>
          <w:kern w:val="0"/>
          <w:sz w:val="32"/>
          <w:szCs w:val="32"/>
        </w:rPr>
      </w:pPr>
      <w:r>
        <w:rPr>
          <w:rFonts w:hint="eastAsia" w:ascii="仿宋" w:hAnsi="仿宋" w:eastAsia="仿宋"/>
          <w:color w:val="auto"/>
          <w:sz w:val="32"/>
          <w:szCs w:val="32"/>
        </w:rPr>
        <w:t>3、</w:t>
      </w:r>
      <w:r>
        <w:rPr>
          <w:rFonts w:hint="eastAsia" w:ascii="仿宋" w:hAnsi="仿宋" w:eastAsia="仿宋"/>
          <w:color w:val="auto"/>
          <w:sz w:val="32"/>
          <w:szCs w:val="32"/>
          <w:lang w:eastAsia="zh-CN"/>
        </w:rPr>
        <w:t>公务车辆购置费及</w:t>
      </w:r>
      <w:r>
        <w:rPr>
          <w:rFonts w:hint="eastAsia" w:ascii="仿宋" w:hAnsi="仿宋" w:eastAsia="仿宋"/>
          <w:color w:val="auto"/>
          <w:sz w:val="32"/>
          <w:szCs w:val="32"/>
        </w:rPr>
        <w:t>公务用车运行维护费0.87万元，</w:t>
      </w:r>
      <w:r>
        <w:rPr>
          <w:rFonts w:hint="eastAsia" w:ascii="仿宋" w:hAnsi="仿宋" w:eastAsia="仿宋"/>
          <w:color w:val="auto"/>
          <w:sz w:val="32"/>
          <w:szCs w:val="32"/>
          <w:lang w:eastAsia="zh-CN"/>
        </w:rPr>
        <w:t>其中：公务用车购置费</w:t>
      </w:r>
      <w:r>
        <w:rPr>
          <w:rFonts w:hint="eastAsia" w:ascii="仿宋" w:hAnsi="仿宋" w:eastAsia="仿宋"/>
          <w:color w:val="auto"/>
          <w:sz w:val="32"/>
          <w:szCs w:val="32"/>
          <w:lang w:val="en-US" w:eastAsia="zh-CN"/>
        </w:rPr>
        <w:t>0万元，公务用车运行维护费0.87万元，</w:t>
      </w:r>
      <w:r>
        <w:rPr>
          <w:rFonts w:hint="eastAsia" w:ascii="仿宋" w:hAnsi="仿宋" w:eastAsia="仿宋"/>
          <w:color w:val="auto"/>
          <w:sz w:val="32"/>
          <w:szCs w:val="32"/>
        </w:rPr>
        <w:t>主</w:t>
      </w:r>
      <w:r>
        <w:rPr>
          <w:rFonts w:hint="eastAsia" w:ascii="仿宋" w:hAnsi="仿宋" w:eastAsia="仿宋"/>
          <w:sz w:val="32"/>
          <w:szCs w:val="32"/>
        </w:rPr>
        <w:t>要是油料费、车辆维修费支出，截止2023年12月31日，我单位开支财政拨款的公务用车保有量为1辆。</w:t>
      </w:r>
    </w:p>
    <w:p>
      <w:pPr>
        <w:pStyle w:val="20"/>
        <w:shd w:val="clear" w:color="auto" w:fill="FFFFFF"/>
        <w:spacing w:before="0" w:beforeAutospacing="0" w:after="54" w:afterAutospacing="0" w:line="600" w:lineRule="atLeast"/>
        <w:ind w:firstLine="640"/>
        <w:rPr>
          <w:rFonts w:ascii="黑体" w:hAnsi="黑体" w:eastAsia="黑体"/>
          <w:color w:val="3D3D3D"/>
          <w:sz w:val="27"/>
          <w:szCs w:val="27"/>
        </w:rPr>
      </w:pPr>
      <w:r>
        <w:rPr>
          <w:rFonts w:hint="eastAsia" w:ascii="黑体" w:hAnsi="黑体" w:eastAsia="黑体"/>
          <w:bCs/>
          <w:sz w:val="32"/>
          <w:szCs w:val="32"/>
        </w:rPr>
        <w:t>八、政府性基金预算收入支出决算情况</w:t>
      </w:r>
    </w:p>
    <w:p>
      <w:pPr>
        <w:pStyle w:val="19"/>
        <w:shd w:val="clear" w:color="auto" w:fill="FFFFFF"/>
        <w:spacing w:before="0" w:beforeAutospacing="0" w:after="0" w:afterAutospacing="0" w:line="450" w:lineRule="atLeast"/>
        <w:ind w:firstLine="640"/>
        <w:rPr>
          <w:rFonts w:hint="eastAsia" w:ascii="仿宋" w:hAnsi="仿宋" w:eastAsia="仿宋"/>
          <w:color w:val="3D3D3D"/>
          <w:sz w:val="32"/>
          <w:szCs w:val="32"/>
        </w:rPr>
      </w:pPr>
      <w:r>
        <w:rPr>
          <w:rFonts w:hint="eastAsia" w:ascii="仿宋" w:hAnsi="仿宋" w:eastAsia="仿宋"/>
          <w:color w:val="3D3D3D"/>
          <w:sz w:val="32"/>
          <w:szCs w:val="32"/>
        </w:rPr>
        <w:t>本单位无政府性基金收支。</w:t>
      </w:r>
    </w:p>
    <w:p>
      <w:pPr>
        <w:pStyle w:val="13"/>
        <w:ind w:firstLine="640" w:firstLineChars="200"/>
        <w:rPr>
          <w:rFonts w:hint="eastAsia" w:ascii="黑体" w:hAnsi="黑体" w:eastAsia="黑体" w:cs="宋体"/>
          <w:bCs/>
          <w:color w:val="auto"/>
          <w:kern w:val="0"/>
          <w:sz w:val="32"/>
          <w:szCs w:val="32"/>
          <w:lang w:val="en-US" w:eastAsia="zh-CN" w:bidi="ar-SA"/>
        </w:rPr>
      </w:pPr>
      <w:r>
        <w:rPr>
          <w:rFonts w:hint="eastAsia" w:ascii="黑体" w:hAnsi="黑体" w:eastAsia="黑体" w:cs="宋体"/>
          <w:bCs/>
          <w:color w:val="auto"/>
          <w:kern w:val="0"/>
          <w:sz w:val="32"/>
          <w:szCs w:val="32"/>
          <w:lang w:val="en-US" w:eastAsia="zh-CN" w:bidi="ar-SA"/>
        </w:rPr>
        <w:t>九、国有资本经营预算财政拨款支出决算情况说明</w:t>
      </w:r>
    </w:p>
    <w:p>
      <w:pPr>
        <w:pStyle w:val="13"/>
        <w:ind w:firstLine="640" w:firstLineChars="200"/>
        <w:rPr>
          <w:rFonts w:hint="eastAsia" w:ascii="仿宋" w:hAnsi="仿宋" w:eastAsia="仿宋"/>
          <w:color w:val="3D3D3D"/>
          <w:sz w:val="32"/>
          <w:szCs w:val="32"/>
          <w:lang w:eastAsia="zh-CN"/>
        </w:rPr>
      </w:pPr>
      <w:r>
        <w:rPr>
          <w:rFonts w:hint="eastAsia" w:ascii="Times New Roman" w:hAnsi="Times New Roman" w:eastAsia="仿宋_GB2312"/>
          <w:sz w:val="32"/>
          <w:szCs w:val="32"/>
        </w:rPr>
        <w:t>本部门无国有资本经营预算财政拨款支出。</w:t>
      </w:r>
    </w:p>
    <w:p>
      <w:pPr>
        <w:pStyle w:val="13"/>
        <w:spacing w:line="600" w:lineRule="exact"/>
        <w:ind w:firstLine="640" w:firstLineChars="200"/>
        <w:rPr>
          <w:rFonts w:hAnsi="黑体"/>
          <w:color w:val="auto"/>
          <w:sz w:val="32"/>
          <w:szCs w:val="32"/>
        </w:rPr>
      </w:pPr>
      <w:r>
        <w:rPr>
          <w:rFonts w:hint="eastAsia" w:hAnsi="黑体"/>
          <w:color w:val="auto"/>
          <w:sz w:val="32"/>
          <w:szCs w:val="32"/>
          <w:lang w:eastAsia="zh-CN"/>
        </w:rPr>
        <w:t>十</w:t>
      </w:r>
      <w:r>
        <w:rPr>
          <w:rFonts w:hint="eastAsia" w:hAnsi="黑体"/>
          <w:color w:val="auto"/>
          <w:sz w:val="32"/>
          <w:szCs w:val="32"/>
        </w:rPr>
        <w:t>、关于机关运行经费支出说明</w:t>
      </w:r>
    </w:p>
    <w:p>
      <w:pPr>
        <w:pStyle w:val="13"/>
        <w:spacing w:line="600" w:lineRule="exact"/>
        <w:ind w:firstLine="640" w:firstLineChars="200"/>
        <w:rPr>
          <w:rFonts w:ascii="仿宋" w:hAnsi="仿宋" w:eastAsia="仿宋"/>
          <w:color w:val="3D3D3D"/>
          <w:sz w:val="32"/>
          <w:szCs w:val="32"/>
          <w:shd w:val="clear" w:color="auto" w:fill="FFFFFF"/>
        </w:rPr>
      </w:pPr>
      <w:r>
        <w:rPr>
          <w:rFonts w:hint="eastAsia" w:ascii="仿宋" w:hAnsi="仿宋" w:eastAsia="仿宋"/>
          <w:color w:val="3D3D3D"/>
          <w:sz w:val="32"/>
          <w:szCs w:val="32"/>
          <w:shd w:val="clear" w:color="auto" w:fill="FFFFFF"/>
        </w:rPr>
        <w:t>本单位属于事业单位，无机关运行经费。</w:t>
      </w:r>
    </w:p>
    <w:p>
      <w:pPr>
        <w:pStyle w:val="13"/>
        <w:spacing w:line="600" w:lineRule="exact"/>
        <w:ind w:firstLine="640" w:firstLineChars="200"/>
        <w:rPr>
          <w:rFonts w:hAnsi="黑体"/>
          <w:bCs/>
          <w:sz w:val="32"/>
          <w:szCs w:val="32"/>
        </w:rPr>
      </w:pPr>
      <w:r>
        <w:rPr>
          <w:rFonts w:hint="eastAsia" w:hAnsi="黑体"/>
          <w:bCs/>
          <w:sz w:val="32"/>
          <w:szCs w:val="32"/>
        </w:rPr>
        <w:t>十</w:t>
      </w:r>
      <w:r>
        <w:rPr>
          <w:rFonts w:hint="eastAsia" w:hAnsi="黑体"/>
          <w:bCs/>
          <w:sz w:val="32"/>
          <w:szCs w:val="32"/>
          <w:lang w:eastAsia="zh-CN"/>
        </w:rPr>
        <w:t>一</w:t>
      </w:r>
      <w:r>
        <w:rPr>
          <w:rFonts w:hint="eastAsia" w:hAnsi="黑体"/>
          <w:bCs/>
          <w:sz w:val="32"/>
          <w:szCs w:val="32"/>
        </w:rPr>
        <w:t>、一般性支出情况说明</w:t>
      </w:r>
    </w:p>
    <w:p>
      <w:pPr>
        <w:pStyle w:val="13"/>
        <w:spacing w:line="600" w:lineRule="exact"/>
        <w:ind w:firstLine="640" w:firstLineChars="200"/>
        <w:rPr>
          <w:rFonts w:hAnsi="黑体"/>
          <w:bCs/>
          <w:color w:val="auto"/>
          <w:sz w:val="32"/>
          <w:szCs w:val="32"/>
        </w:rPr>
      </w:pPr>
      <w:r>
        <w:rPr>
          <w:rFonts w:hint="eastAsia" w:ascii="仿宋" w:hAnsi="仿宋" w:eastAsia="仿宋"/>
          <w:color w:val="auto"/>
          <w:sz w:val="32"/>
          <w:szCs w:val="32"/>
          <w:shd w:val="clear" w:color="auto" w:fill="FFFFFF"/>
        </w:rPr>
        <w:t>2023年本部门无会议费</w:t>
      </w:r>
      <w:r>
        <w:rPr>
          <w:rFonts w:hint="eastAsia" w:ascii="仿宋" w:hAnsi="仿宋" w:eastAsia="仿宋"/>
          <w:color w:val="auto"/>
          <w:sz w:val="32"/>
          <w:szCs w:val="32"/>
          <w:shd w:val="clear" w:color="auto" w:fill="FFFFFF"/>
          <w:lang w:eastAsia="zh-CN"/>
        </w:rPr>
        <w:t>预算，无会议费决算</w:t>
      </w:r>
      <w:r>
        <w:rPr>
          <w:rFonts w:hint="eastAsia" w:ascii="仿宋" w:hAnsi="仿宋" w:eastAsia="仿宋"/>
          <w:color w:val="auto"/>
          <w:sz w:val="32"/>
          <w:szCs w:val="32"/>
          <w:shd w:val="clear" w:color="auto" w:fill="FFFFFF"/>
        </w:rPr>
        <w:t>开支；无培训费</w:t>
      </w:r>
      <w:r>
        <w:rPr>
          <w:rFonts w:hint="eastAsia" w:ascii="仿宋" w:hAnsi="仿宋" w:eastAsia="仿宋"/>
          <w:color w:val="auto"/>
          <w:sz w:val="32"/>
          <w:szCs w:val="32"/>
          <w:shd w:val="clear" w:color="auto" w:fill="FFFFFF"/>
          <w:lang w:eastAsia="zh-CN"/>
        </w:rPr>
        <w:t>预算，无培训费决算</w:t>
      </w:r>
      <w:r>
        <w:rPr>
          <w:rFonts w:hint="eastAsia" w:ascii="仿宋" w:hAnsi="仿宋" w:eastAsia="仿宋"/>
          <w:color w:val="auto"/>
          <w:sz w:val="32"/>
          <w:szCs w:val="32"/>
          <w:shd w:val="clear" w:color="auto" w:fill="FFFFFF"/>
        </w:rPr>
        <w:t>开支；未举办节庆、晚会、论坛、赛事活动。</w:t>
      </w:r>
    </w:p>
    <w:p>
      <w:pPr>
        <w:pStyle w:val="13"/>
        <w:spacing w:line="600" w:lineRule="exact"/>
        <w:ind w:firstLine="640" w:firstLineChars="200"/>
        <w:rPr>
          <w:rFonts w:hAnsi="黑体"/>
          <w:bCs/>
          <w:sz w:val="32"/>
          <w:szCs w:val="32"/>
        </w:rPr>
      </w:pPr>
      <w:r>
        <w:rPr>
          <w:rFonts w:hint="eastAsia" w:hAnsi="黑体"/>
          <w:bCs/>
          <w:sz w:val="32"/>
          <w:szCs w:val="32"/>
        </w:rPr>
        <w:t>十</w:t>
      </w:r>
      <w:r>
        <w:rPr>
          <w:rFonts w:hint="eastAsia" w:hAnsi="黑体"/>
          <w:bCs/>
          <w:sz w:val="32"/>
          <w:szCs w:val="32"/>
          <w:lang w:eastAsia="zh-CN"/>
        </w:rPr>
        <w:t>二</w:t>
      </w:r>
      <w:r>
        <w:rPr>
          <w:rFonts w:hint="eastAsia" w:hAnsi="黑体"/>
          <w:bCs/>
          <w:sz w:val="32"/>
          <w:szCs w:val="32"/>
        </w:rPr>
        <w:t>、关于政府采购支出说明</w:t>
      </w:r>
    </w:p>
    <w:p>
      <w:pPr>
        <w:pStyle w:val="13"/>
        <w:spacing w:line="580" w:lineRule="exact"/>
        <w:ind w:firstLine="640" w:firstLineChars="200"/>
        <w:rPr>
          <w:rFonts w:ascii="仿宋" w:hAnsi="仿宋" w:eastAsia="仿宋"/>
          <w:color w:val="3D3D3D"/>
          <w:sz w:val="32"/>
          <w:szCs w:val="32"/>
          <w:shd w:val="clear" w:color="auto" w:fill="FFFFFF"/>
        </w:rPr>
      </w:pPr>
      <w:r>
        <w:rPr>
          <w:rFonts w:hint="eastAsia" w:ascii="仿宋" w:hAnsi="仿宋" w:eastAsia="仿宋"/>
          <w:color w:val="3D3D3D"/>
          <w:sz w:val="32"/>
          <w:szCs w:val="32"/>
          <w:shd w:val="clear" w:color="auto" w:fill="FFFFFF"/>
        </w:rPr>
        <w:t>本部门2023年度政府采购支出总额0万元。</w:t>
      </w:r>
    </w:p>
    <w:p>
      <w:pPr>
        <w:pStyle w:val="13"/>
        <w:spacing w:line="580" w:lineRule="exact"/>
        <w:ind w:firstLine="640" w:firstLineChars="200"/>
        <w:rPr>
          <w:rFonts w:hAnsi="黑体"/>
          <w:bCs/>
          <w:color w:val="auto"/>
          <w:sz w:val="32"/>
          <w:szCs w:val="32"/>
        </w:rPr>
      </w:pPr>
      <w:r>
        <w:rPr>
          <w:rFonts w:hint="eastAsia" w:hAnsi="黑体"/>
          <w:bCs/>
          <w:color w:val="auto"/>
          <w:sz w:val="32"/>
          <w:szCs w:val="32"/>
        </w:rPr>
        <w:t>十</w:t>
      </w:r>
      <w:r>
        <w:rPr>
          <w:rFonts w:hint="eastAsia" w:hAnsi="黑体"/>
          <w:bCs/>
          <w:color w:val="auto"/>
          <w:sz w:val="32"/>
          <w:szCs w:val="32"/>
          <w:lang w:eastAsia="zh-CN"/>
        </w:rPr>
        <w:t>三</w:t>
      </w:r>
      <w:r>
        <w:rPr>
          <w:rFonts w:hint="eastAsia" w:hAnsi="黑体"/>
          <w:bCs/>
          <w:color w:val="auto"/>
          <w:sz w:val="32"/>
          <w:szCs w:val="32"/>
        </w:rPr>
        <w:t>、关于国有资产占用情况说明</w:t>
      </w:r>
    </w:p>
    <w:p>
      <w:pPr>
        <w:pStyle w:val="13"/>
        <w:spacing w:line="580" w:lineRule="exact"/>
        <w:ind w:firstLine="640" w:firstLineChars="200"/>
        <w:rPr>
          <w:rFonts w:ascii="仿宋" w:hAnsi="仿宋" w:eastAsia="仿宋"/>
          <w:color w:val="3D3D3D"/>
          <w:sz w:val="32"/>
          <w:szCs w:val="32"/>
          <w:shd w:val="clear" w:color="auto" w:fill="FFFFFF"/>
        </w:rPr>
      </w:pPr>
      <w:r>
        <w:rPr>
          <w:rFonts w:hint="eastAsia" w:ascii="仿宋" w:hAnsi="仿宋" w:eastAsia="仿宋"/>
          <w:color w:val="3D3D3D"/>
          <w:sz w:val="32"/>
          <w:szCs w:val="32"/>
          <w:shd w:val="clear" w:color="auto" w:fill="FFFFFF"/>
        </w:rPr>
        <w:t>截至2023年12月31日，本单位共有车辆1辆，其中，其他用车1辆，其他用车主要是业务用车；单位价值50万元以上通用设备0台（套）；单位价值100万元以上专用设备0台（套）。</w:t>
      </w:r>
    </w:p>
    <w:p>
      <w:pPr>
        <w:pStyle w:val="13"/>
        <w:spacing w:line="580" w:lineRule="exact"/>
        <w:ind w:firstLine="640" w:firstLineChars="200"/>
        <w:rPr>
          <w:rFonts w:hAnsi="黑体"/>
          <w:bCs/>
          <w:color w:val="auto"/>
          <w:sz w:val="32"/>
          <w:szCs w:val="32"/>
        </w:rPr>
      </w:pPr>
      <w:r>
        <w:rPr>
          <w:rFonts w:hint="eastAsia" w:hAnsi="黑体"/>
          <w:bCs/>
          <w:color w:val="auto"/>
          <w:sz w:val="32"/>
          <w:szCs w:val="32"/>
        </w:rPr>
        <w:t>十</w:t>
      </w:r>
      <w:r>
        <w:rPr>
          <w:rFonts w:hint="eastAsia" w:hAnsi="黑体"/>
          <w:bCs/>
          <w:color w:val="auto"/>
          <w:sz w:val="32"/>
          <w:szCs w:val="32"/>
          <w:lang w:eastAsia="zh-CN"/>
        </w:rPr>
        <w:t>四</w:t>
      </w:r>
      <w:bookmarkStart w:id="1" w:name="_GoBack"/>
      <w:bookmarkEnd w:id="1"/>
      <w:r>
        <w:rPr>
          <w:rFonts w:hint="eastAsia" w:hAnsi="黑体"/>
          <w:bCs/>
          <w:color w:val="auto"/>
          <w:sz w:val="32"/>
          <w:szCs w:val="32"/>
        </w:rPr>
        <w:t>、关于</w:t>
      </w:r>
      <w:r>
        <w:rPr>
          <w:rFonts w:hint="eastAsia" w:ascii="Times New Roman" w:hAnsi="Times New Roman" w:eastAsia="仿宋_GB2312"/>
          <w:color w:val="auto"/>
          <w:sz w:val="32"/>
          <w:szCs w:val="32"/>
        </w:rPr>
        <w:t>2023</w:t>
      </w:r>
      <w:r>
        <w:rPr>
          <w:rFonts w:hint="eastAsia" w:hAnsi="黑体"/>
          <w:bCs/>
          <w:color w:val="auto"/>
          <w:sz w:val="32"/>
          <w:szCs w:val="32"/>
        </w:rPr>
        <w:t>年度预算绩效情况的说明</w:t>
      </w:r>
    </w:p>
    <w:p>
      <w:pPr>
        <w:pStyle w:val="28"/>
        <w:shd w:val="clear" w:color="auto" w:fill="FFFFFF"/>
        <w:spacing w:before="0" w:beforeAutospacing="0" w:after="54" w:afterAutospacing="0" w:line="600" w:lineRule="atLeast"/>
        <w:ind w:firstLine="640"/>
        <w:rPr>
          <w:rFonts w:ascii="楷体" w:hAnsi="楷体" w:eastAsia="楷体"/>
          <w:b/>
          <w:bCs/>
          <w:color w:val="3D3D3D"/>
          <w:sz w:val="32"/>
          <w:szCs w:val="32"/>
        </w:rPr>
      </w:pPr>
      <w:r>
        <w:rPr>
          <w:rFonts w:hint="eastAsia" w:ascii="楷体" w:hAnsi="楷体" w:eastAsia="楷体"/>
          <w:b/>
          <w:bCs/>
          <w:color w:val="3D3D3D"/>
          <w:sz w:val="32"/>
          <w:szCs w:val="32"/>
        </w:rPr>
        <w:t>（一）绩效管理工作开展情况</w:t>
      </w:r>
    </w:p>
    <w:p>
      <w:pPr>
        <w:pStyle w:val="28"/>
        <w:shd w:val="clear" w:color="auto" w:fill="FFFFFF"/>
        <w:spacing w:before="0" w:beforeAutospacing="0" w:after="0" w:afterAutospacing="0"/>
        <w:ind w:firstLine="641"/>
        <w:rPr>
          <w:rFonts w:ascii="仿宋" w:hAnsi="仿宋" w:eastAsia="仿宋"/>
          <w:bCs/>
          <w:color w:val="333333"/>
          <w:sz w:val="32"/>
          <w:szCs w:val="32"/>
        </w:rPr>
      </w:pPr>
      <w:r>
        <w:rPr>
          <w:rFonts w:hint="eastAsia" w:ascii="仿宋" w:hAnsi="仿宋" w:eastAsia="仿宋"/>
          <w:bCs/>
          <w:color w:val="333333"/>
          <w:sz w:val="32"/>
          <w:szCs w:val="32"/>
        </w:rPr>
        <w:t>1、绩效评价管理机制不断完善。加强了绩效评价管理与财政资金监管、财政监督检查工作的相互融合，绩效评价在预算分配、预算执行、结果应用的全过程管理机制不断完善。建立了由财务室牵头，其他业务股室积极配合的工作机制，明确了各部门工作重点及承担的具体工作职责;规范了工作程序，明确了分阶段工作任务，强化了预算绩效在预算编制、执行中的全过程管理。</w:t>
      </w:r>
    </w:p>
    <w:p>
      <w:pPr>
        <w:pStyle w:val="28"/>
        <w:shd w:val="clear" w:color="auto" w:fill="FFFFFF"/>
        <w:spacing w:before="0" w:beforeAutospacing="0" w:after="0" w:afterAutospacing="0"/>
        <w:ind w:firstLine="641"/>
        <w:rPr>
          <w:rFonts w:ascii="仿宋" w:hAnsi="仿宋" w:eastAsia="仿宋"/>
          <w:bCs/>
          <w:color w:val="333333"/>
          <w:sz w:val="32"/>
          <w:szCs w:val="32"/>
        </w:rPr>
      </w:pPr>
      <w:r>
        <w:rPr>
          <w:rFonts w:hint="eastAsia" w:ascii="仿宋" w:hAnsi="仿宋" w:eastAsia="仿宋"/>
          <w:bCs/>
          <w:color w:val="333333"/>
          <w:sz w:val="32"/>
          <w:szCs w:val="32"/>
        </w:rPr>
        <w:t xml:space="preserve"> 2、绩效管理取得阶段性成果。按照以点带面、循序渐进的工作规律，逐步将绩效评价工作推向深入。2023年，我中心对</w:t>
      </w:r>
      <w:r>
        <w:rPr>
          <w:rFonts w:hint="eastAsia" w:ascii="仿宋" w:hAnsi="仿宋" w:eastAsia="仿宋"/>
          <w:spacing w:val="-2"/>
          <w:sz w:val="32"/>
          <w:szCs w:val="32"/>
        </w:rPr>
        <w:t>交通运输系统岗位培训和行业职业技能和从业资格培训</w:t>
      </w:r>
      <w:r>
        <w:rPr>
          <w:rFonts w:hint="eastAsia" w:ascii="仿宋" w:hAnsi="仿宋" w:eastAsia="仿宋"/>
          <w:bCs/>
          <w:color w:val="333333"/>
          <w:sz w:val="32"/>
          <w:szCs w:val="32"/>
        </w:rPr>
        <w:t>开展重点绩效评价，评价过程中，发现了培训管理方面存在的不足，并将发现的问题及时整改到位。</w:t>
      </w:r>
    </w:p>
    <w:p>
      <w:pPr>
        <w:pStyle w:val="28"/>
        <w:shd w:val="clear" w:color="auto" w:fill="FFFFFF"/>
        <w:spacing w:before="0" w:beforeAutospacing="0" w:after="0" w:afterAutospacing="0"/>
        <w:ind w:firstLine="641"/>
        <w:rPr>
          <w:rFonts w:ascii="仿宋" w:hAnsi="仿宋" w:eastAsia="仿宋"/>
          <w:bCs/>
          <w:color w:val="333333"/>
          <w:sz w:val="32"/>
          <w:szCs w:val="32"/>
        </w:rPr>
      </w:pPr>
      <w:r>
        <w:rPr>
          <w:rFonts w:hint="eastAsia" w:ascii="仿宋" w:hAnsi="仿宋" w:eastAsia="仿宋"/>
          <w:bCs/>
          <w:color w:val="333333"/>
          <w:sz w:val="32"/>
          <w:szCs w:val="32"/>
        </w:rPr>
        <w:t>3、绩效管理理念逐步建立。紧抓宣传培训工作不放松，为推动绩效评价工作顺利开展，我中心参与市局开展了宣传培训工作，对全系统推进预算绩效管理的总体目标、基本原则、主要任务、保障措施等方面的内容进行讲解。绩效评价工作的开展，特别是绩效评价结果的应用，对预算分配产生了重大影响，有利于全面提高财政资金使用的效果。</w:t>
      </w:r>
    </w:p>
    <w:p>
      <w:pPr>
        <w:pStyle w:val="28"/>
        <w:shd w:val="clear" w:color="auto" w:fill="FFFFFF"/>
        <w:spacing w:before="0" w:beforeAutospacing="0" w:after="54" w:afterAutospacing="0" w:line="600" w:lineRule="atLeast"/>
        <w:ind w:firstLine="640"/>
        <w:rPr>
          <w:rFonts w:ascii="微软雅黑" w:hAnsi="微软雅黑" w:eastAsia="微软雅黑"/>
          <w:color w:val="3D3D3D"/>
          <w:sz w:val="27"/>
          <w:szCs w:val="27"/>
        </w:rPr>
      </w:pPr>
      <w:r>
        <w:rPr>
          <w:rFonts w:hint="eastAsia" w:ascii="MS Mincho" w:hAnsi="MS Mincho" w:eastAsia="MS Mincho" w:cs="MS Mincho"/>
          <w:b/>
          <w:bCs/>
          <w:color w:val="333333"/>
          <w:sz w:val="32"/>
          <w:szCs w:val="32"/>
        </w:rPr>
        <w:t>​</w:t>
      </w:r>
      <w:r>
        <w:rPr>
          <w:rFonts w:hint="eastAsia" w:ascii="楷体" w:hAnsi="楷体" w:eastAsia="楷体"/>
          <w:b/>
          <w:bCs/>
          <w:color w:val="3D3D3D"/>
          <w:sz w:val="32"/>
          <w:szCs w:val="32"/>
        </w:rPr>
        <w:t>（二）部门整体支出绩效情况</w:t>
      </w:r>
    </w:p>
    <w:p>
      <w:pPr>
        <w:widowControl/>
        <w:shd w:val="clear" w:color="auto" w:fill="FFFFFF"/>
        <w:spacing w:after="54" w:line="600" w:lineRule="atLeast"/>
        <w:ind w:firstLine="640"/>
        <w:jc w:val="left"/>
        <w:rPr>
          <w:rFonts w:ascii="仿宋" w:hAnsi="仿宋" w:eastAsia="仿宋"/>
          <w:color w:val="3D3D3D"/>
          <w:sz w:val="32"/>
          <w:szCs w:val="32"/>
          <w:shd w:val="clear" w:color="auto" w:fill="FFFFFF"/>
        </w:rPr>
      </w:pPr>
      <w:r>
        <w:rPr>
          <w:rFonts w:hint="eastAsia" w:ascii="仿宋" w:hAnsi="仿宋" w:eastAsia="仿宋"/>
          <w:color w:val="3D3D3D"/>
          <w:sz w:val="32"/>
          <w:szCs w:val="32"/>
          <w:shd w:val="clear" w:color="auto" w:fill="FFFFFF"/>
        </w:rPr>
        <w:t>根据《怀化市财政局关于开展2023年度部门整体支出专项资金绩效自评工作的通知》要求，对2023年度怀化市交通运输从业资格考试中心整体支出情况开展绩效自评，从评价情况来看，市级财政预算资金整体绩效评价良好(绩效评价报告见附件)。</w:t>
      </w:r>
    </w:p>
    <w:p>
      <w:pPr>
        <w:widowControl/>
        <w:shd w:val="clear" w:color="auto" w:fill="FFFFFF"/>
        <w:spacing w:after="54" w:line="600" w:lineRule="atLeast"/>
        <w:ind w:firstLine="640"/>
        <w:jc w:val="left"/>
        <w:rPr>
          <w:rFonts w:ascii="微软雅黑" w:hAnsi="微软雅黑" w:eastAsia="微软雅黑" w:cs="宋体"/>
          <w:kern w:val="0"/>
          <w:sz w:val="27"/>
          <w:szCs w:val="27"/>
        </w:rPr>
      </w:pPr>
      <w:r>
        <w:rPr>
          <w:rFonts w:hint="eastAsia" w:ascii="楷体" w:hAnsi="楷体" w:eastAsia="楷体" w:cs="宋体"/>
          <w:b/>
          <w:bCs/>
          <w:kern w:val="0"/>
          <w:sz w:val="32"/>
          <w:szCs w:val="32"/>
        </w:rPr>
        <w:t>（三）存在的问题及原因分析</w:t>
      </w:r>
    </w:p>
    <w:p>
      <w:pPr>
        <w:widowControl/>
        <w:shd w:val="clear" w:color="auto" w:fill="FFFFFF"/>
        <w:spacing w:line="600" w:lineRule="atLeast"/>
        <w:ind w:firstLine="632" w:firstLineChars="200"/>
        <w:rPr>
          <w:rFonts w:ascii="仿宋" w:hAnsi="仿宋" w:eastAsia="仿宋"/>
          <w:spacing w:val="-2"/>
          <w:sz w:val="32"/>
          <w:szCs w:val="32"/>
        </w:rPr>
      </w:pPr>
      <w:r>
        <w:rPr>
          <w:rFonts w:hint="eastAsia" w:ascii="仿宋" w:hAnsi="仿宋" w:eastAsia="仿宋"/>
          <w:spacing w:val="-2"/>
          <w:sz w:val="32"/>
          <w:szCs w:val="32"/>
        </w:rPr>
        <w:t>因差额拨款单位，中心成立之初，对财政相关规定沟通了解不够，经费严重不足，管理上也存在一些问题，主要有：</w:t>
      </w:r>
    </w:p>
    <w:p>
      <w:pPr>
        <w:widowControl/>
        <w:shd w:val="clear" w:color="auto" w:fill="FFFFFF"/>
        <w:spacing w:line="600" w:lineRule="atLeast"/>
        <w:ind w:firstLine="632" w:firstLineChars="200"/>
        <w:rPr>
          <w:rFonts w:ascii="仿宋" w:hAnsi="仿宋" w:eastAsia="仿宋"/>
          <w:spacing w:val="-2"/>
          <w:sz w:val="32"/>
          <w:szCs w:val="32"/>
        </w:rPr>
      </w:pPr>
      <w:r>
        <w:rPr>
          <w:rFonts w:hint="eastAsia" w:ascii="仿宋" w:hAnsi="仿宋" w:eastAsia="仿宋"/>
          <w:spacing w:val="-2"/>
          <w:sz w:val="32"/>
          <w:szCs w:val="32"/>
        </w:rPr>
        <w:t>1、人员及办公经费不足。我单位为差额单位，财政未足额保障单位人员经费，未安排公用经费，来源主要靠门面租金收入及培训收入，因社会实体经济下行压力增大等因素，导致考试中心运营艰难。</w:t>
      </w:r>
    </w:p>
    <w:p>
      <w:pPr>
        <w:widowControl/>
        <w:shd w:val="clear" w:color="auto" w:fill="FFFFFF"/>
        <w:spacing w:line="600" w:lineRule="atLeast"/>
        <w:ind w:firstLine="632" w:firstLineChars="200"/>
        <w:rPr>
          <w:rFonts w:ascii="仿宋" w:hAnsi="仿宋" w:eastAsia="仿宋"/>
          <w:spacing w:val="-2"/>
          <w:sz w:val="32"/>
          <w:szCs w:val="32"/>
        </w:rPr>
      </w:pPr>
      <w:r>
        <w:rPr>
          <w:rFonts w:hint="eastAsia" w:ascii="仿宋" w:hAnsi="仿宋" w:eastAsia="仿宋"/>
          <w:spacing w:val="-2"/>
          <w:sz w:val="32"/>
          <w:szCs w:val="32"/>
        </w:rPr>
        <w:t>2、12328交通热线服务平台基础设施落后。自我市交通运输系统真抓实干激励考核工作以来，工作量较大，业务办理工单比较多，投诉举报较多，投诉举办限时办理情况不满意率比较突出。市财政局未安排专项资金，12328办公环境有限，人力物力保障不足，12328工作缺乏主动性和创造性，工作仍有待突破。</w:t>
      </w:r>
    </w:p>
    <w:p>
      <w:pPr>
        <w:widowControl/>
        <w:shd w:val="clear" w:color="auto" w:fill="FFFFFF"/>
        <w:spacing w:line="600" w:lineRule="atLeast"/>
        <w:ind w:firstLine="632" w:firstLineChars="200"/>
        <w:rPr>
          <w:rFonts w:ascii="仿宋" w:hAnsi="仿宋" w:eastAsia="仿宋"/>
          <w:spacing w:val="-2"/>
          <w:sz w:val="32"/>
          <w:szCs w:val="32"/>
        </w:rPr>
      </w:pPr>
      <w:r>
        <w:rPr>
          <w:rFonts w:hint="eastAsia" w:ascii="仿宋" w:hAnsi="仿宋" w:eastAsia="仿宋"/>
          <w:spacing w:val="-2"/>
          <w:sz w:val="32"/>
          <w:szCs w:val="32"/>
        </w:rPr>
        <w:t>3、预决算差异的主要原因是2023年退以前年度社保78.16万元。</w:t>
      </w:r>
    </w:p>
    <w:p>
      <w:pPr>
        <w:pStyle w:val="13"/>
        <w:jc w:val="center"/>
        <w:rPr>
          <w:sz w:val="72"/>
          <w:szCs w:val="72"/>
        </w:rPr>
      </w:pPr>
    </w:p>
    <w:p>
      <w:pPr>
        <w:pStyle w:val="13"/>
        <w:jc w:val="center"/>
        <w:rPr>
          <w:sz w:val="72"/>
          <w:szCs w:val="72"/>
        </w:rPr>
      </w:pPr>
    </w:p>
    <w:p>
      <w:pPr>
        <w:pStyle w:val="13"/>
        <w:jc w:val="center"/>
        <w:rPr>
          <w:sz w:val="72"/>
          <w:szCs w:val="72"/>
        </w:rPr>
      </w:pPr>
    </w:p>
    <w:p>
      <w:pPr>
        <w:pStyle w:val="13"/>
        <w:jc w:val="center"/>
        <w:rPr>
          <w:sz w:val="72"/>
          <w:szCs w:val="72"/>
        </w:rPr>
      </w:pPr>
    </w:p>
    <w:p>
      <w:pPr>
        <w:pStyle w:val="13"/>
        <w:jc w:val="center"/>
        <w:rPr>
          <w:sz w:val="72"/>
          <w:szCs w:val="72"/>
        </w:rPr>
      </w:pPr>
    </w:p>
    <w:p>
      <w:pPr>
        <w:pStyle w:val="13"/>
        <w:jc w:val="center"/>
        <w:rPr>
          <w:sz w:val="72"/>
          <w:szCs w:val="72"/>
        </w:rPr>
      </w:pPr>
    </w:p>
    <w:p>
      <w:pPr>
        <w:pStyle w:val="13"/>
        <w:jc w:val="center"/>
        <w:rPr>
          <w:sz w:val="72"/>
          <w:szCs w:val="72"/>
        </w:rPr>
      </w:pPr>
    </w:p>
    <w:p>
      <w:pPr>
        <w:pStyle w:val="13"/>
        <w:jc w:val="center"/>
        <w:rPr>
          <w:sz w:val="72"/>
          <w:szCs w:val="72"/>
        </w:rPr>
      </w:pPr>
    </w:p>
    <w:p>
      <w:pPr>
        <w:pStyle w:val="13"/>
        <w:jc w:val="center"/>
        <w:rPr>
          <w:sz w:val="72"/>
          <w:szCs w:val="72"/>
        </w:rPr>
      </w:pPr>
    </w:p>
    <w:p>
      <w:pPr>
        <w:pStyle w:val="13"/>
        <w:jc w:val="center"/>
        <w:rPr>
          <w:sz w:val="72"/>
          <w:szCs w:val="72"/>
        </w:rPr>
      </w:pPr>
    </w:p>
    <w:p>
      <w:pPr>
        <w:pStyle w:val="13"/>
        <w:jc w:val="center"/>
        <w:rPr>
          <w:sz w:val="72"/>
          <w:szCs w:val="72"/>
        </w:rPr>
      </w:pPr>
    </w:p>
    <w:p>
      <w:pPr>
        <w:pStyle w:val="13"/>
        <w:jc w:val="center"/>
        <w:rPr>
          <w:sz w:val="72"/>
          <w:szCs w:val="72"/>
        </w:rPr>
      </w:pPr>
    </w:p>
    <w:p>
      <w:pPr>
        <w:pStyle w:val="13"/>
        <w:jc w:val="center"/>
        <w:rPr>
          <w:sz w:val="72"/>
          <w:szCs w:val="72"/>
        </w:rPr>
      </w:pPr>
    </w:p>
    <w:p>
      <w:pPr>
        <w:pStyle w:val="13"/>
        <w:jc w:val="both"/>
        <w:rPr>
          <w:rFonts w:ascii="方正小标宋_GBK" w:hAnsi="方正小标宋_GBK" w:eastAsia="方正小标宋_GBK" w:cs="方正小标宋_GBK"/>
          <w:sz w:val="72"/>
          <w:szCs w:val="72"/>
        </w:rPr>
      </w:pPr>
    </w:p>
    <w:p>
      <w:pPr>
        <w:pStyle w:val="13"/>
        <w:jc w:val="center"/>
        <w:rPr>
          <w:rFonts w:ascii="方正小标宋_GBK" w:hAnsi="方正小标宋_GBK" w:eastAsia="方正小标宋_GBK" w:cs="方正小标宋_GBK"/>
          <w:sz w:val="72"/>
          <w:szCs w:val="72"/>
        </w:rPr>
      </w:pPr>
    </w:p>
    <w:p>
      <w:pPr>
        <w:pStyle w:val="13"/>
        <w:jc w:val="center"/>
        <w:rPr>
          <w:rFonts w:ascii="方正小标宋_GBK" w:hAnsi="方正小标宋_GBK" w:eastAsia="方正小标宋_GBK" w:cs="方正小标宋_GBK"/>
          <w:sz w:val="52"/>
          <w:szCs w:val="52"/>
        </w:rPr>
      </w:pPr>
      <w:r>
        <w:rPr>
          <w:rFonts w:hint="eastAsia" w:ascii="方正小标宋_GBK" w:hAnsi="方正小标宋_GBK" w:eastAsia="方正小标宋_GBK" w:cs="方正小标宋_GBK"/>
          <w:sz w:val="52"/>
          <w:szCs w:val="52"/>
        </w:rPr>
        <w:t>第四部分</w:t>
      </w:r>
    </w:p>
    <w:p>
      <w:pPr>
        <w:jc w:val="center"/>
        <w:rPr>
          <w:rFonts w:ascii="方正小标宋_GBK" w:hAnsi="方正小标宋_GBK" w:eastAsia="方正小标宋_GBK" w:cs="方正小标宋_GBK"/>
          <w:color w:val="000000"/>
          <w:kern w:val="0"/>
          <w:sz w:val="52"/>
          <w:szCs w:val="52"/>
        </w:rPr>
      </w:pPr>
    </w:p>
    <w:p>
      <w:pPr>
        <w:jc w:val="center"/>
        <w:rPr>
          <w:rFonts w:ascii="方正小标宋_GBK" w:hAnsi="方正小标宋_GBK" w:eastAsia="方正小标宋_GBK" w:cs="方正小标宋_GBK"/>
          <w:color w:val="000000"/>
          <w:kern w:val="0"/>
          <w:sz w:val="52"/>
          <w:szCs w:val="52"/>
        </w:rPr>
      </w:pPr>
      <w:r>
        <w:rPr>
          <w:rFonts w:hint="eastAsia" w:ascii="方正小标宋_GBK" w:hAnsi="方正小标宋_GBK" w:eastAsia="方正小标宋_GBK" w:cs="方正小标宋_GBK"/>
          <w:color w:val="000000"/>
          <w:kern w:val="0"/>
          <w:sz w:val="52"/>
          <w:szCs w:val="52"/>
        </w:rPr>
        <w:t>名词解释</w:t>
      </w:r>
    </w:p>
    <w:p>
      <w:pPr>
        <w:widowControl/>
        <w:jc w:val="left"/>
        <w:rPr>
          <w:rFonts w:cs="黑体" w:asciiTheme="minorEastAsia" w:hAnsiTheme="minorEastAsia"/>
          <w:color w:val="000000"/>
          <w:kern w:val="0"/>
          <w:sz w:val="32"/>
          <w:szCs w:val="32"/>
        </w:rPr>
      </w:pPr>
      <w:r>
        <w:rPr>
          <w:rFonts w:hint="eastAsia" w:ascii="方正小标宋_GBK" w:hAnsi="方正小标宋_GBK" w:eastAsia="方正小标宋_GBK" w:cs="方正小标宋_GBK"/>
          <w:color w:val="000000"/>
          <w:kern w:val="0"/>
          <w:sz w:val="70"/>
          <w:szCs w:val="70"/>
        </w:rPr>
        <w:br w:type="page"/>
      </w:r>
    </w:p>
    <w:p>
      <w:pPr>
        <w:pStyle w:val="19"/>
        <w:shd w:val="clear" w:color="auto" w:fill="FFFFFF"/>
        <w:spacing w:before="0" w:beforeAutospacing="0" w:after="0" w:afterAutospacing="0" w:line="450" w:lineRule="atLeast"/>
        <w:ind w:firstLine="640"/>
        <w:rPr>
          <w:rFonts w:ascii="Calibri" w:hAnsi="Calibri"/>
          <w:color w:val="3D3D3D"/>
        </w:rPr>
      </w:pPr>
      <w:r>
        <w:rPr>
          <w:rFonts w:hint="eastAsia" w:ascii="仿宋" w:hAnsi="仿宋" w:eastAsia="仿宋"/>
          <w:b/>
          <w:color w:val="3D3D3D"/>
          <w:sz w:val="32"/>
          <w:szCs w:val="32"/>
        </w:rPr>
        <w:t>一、机关运行经费：</w:t>
      </w:r>
      <w:r>
        <w:rPr>
          <w:rFonts w:hint="eastAsia" w:ascii="仿宋" w:hAnsi="仿宋" w:eastAsia="仿宋"/>
          <w:color w:val="3D3D3D"/>
          <w:sz w:val="32"/>
          <w:szCs w:val="32"/>
        </w:rPr>
        <w:t>为保障行政单位（包括参照公务员法管理的事业单位）运行，用一般公共预算拨款安排，用于购买货物和服务的各项资金，包括办公及印刷费、邮电费、差旅费、会议费、福利费、日常维修费、办公用房水电费、办公用房取暖费、办公用房物业管理费、公务用车运行维护费以及其他费用，即为行政单位和参照公务员法管理事业单位一般公共预算财政拨款基本支出中的公用经费支出。</w:t>
      </w:r>
    </w:p>
    <w:p>
      <w:pPr>
        <w:pStyle w:val="19"/>
        <w:shd w:val="clear" w:color="auto" w:fill="FFFFFF"/>
        <w:spacing w:before="0" w:beforeAutospacing="0" w:after="0" w:afterAutospacing="0" w:line="450" w:lineRule="atLeast"/>
        <w:ind w:firstLine="640"/>
        <w:rPr>
          <w:rFonts w:ascii="Calibri" w:hAnsi="Calibri"/>
          <w:color w:val="3D3D3D"/>
        </w:rPr>
      </w:pPr>
      <w:r>
        <w:rPr>
          <w:rFonts w:hint="eastAsia" w:ascii="仿宋" w:hAnsi="仿宋" w:eastAsia="仿宋"/>
          <w:b/>
          <w:color w:val="3D3D3D"/>
          <w:sz w:val="32"/>
          <w:szCs w:val="32"/>
        </w:rPr>
        <w:t>二、“三公”经费：</w:t>
      </w:r>
      <w:r>
        <w:rPr>
          <w:rFonts w:hint="eastAsia" w:ascii="仿宋" w:hAnsi="仿宋" w:eastAsia="仿宋"/>
          <w:color w:val="3D3D3D"/>
          <w:sz w:val="32"/>
          <w:szCs w:val="32"/>
        </w:rPr>
        <w:t>纳入财政预算管理的“三公”经费，是指用一般公共预算拨款安排的公务接待费、公务用车购置及运行维护费和因公出国（境）费。其中，公务接待费反映单位按规定开支的各类公务接待支出；公务用车购置及运行费反映单位公务用车车辆购置支出（含车辆购置税），以及燃料费、维修费、保险费等支出；因公出国（境）费反映单位公务出国（境）的国际旅费、国外城市间交通费、食宿费等支出。</w:t>
      </w:r>
    </w:p>
    <w:p>
      <w:pPr>
        <w:pStyle w:val="13"/>
        <w:jc w:val="center"/>
        <w:rPr>
          <w:sz w:val="72"/>
          <w:szCs w:val="72"/>
        </w:rPr>
      </w:pPr>
    </w:p>
    <w:p>
      <w:pPr>
        <w:pStyle w:val="13"/>
        <w:jc w:val="center"/>
        <w:rPr>
          <w:sz w:val="72"/>
          <w:szCs w:val="72"/>
        </w:rPr>
      </w:pPr>
    </w:p>
    <w:p>
      <w:pPr>
        <w:pStyle w:val="13"/>
        <w:jc w:val="center"/>
        <w:rPr>
          <w:sz w:val="72"/>
          <w:szCs w:val="72"/>
        </w:rPr>
      </w:pPr>
    </w:p>
    <w:p>
      <w:pPr>
        <w:pStyle w:val="13"/>
        <w:jc w:val="center"/>
        <w:rPr>
          <w:sz w:val="72"/>
          <w:szCs w:val="72"/>
        </w:rPr>
      </w:pPr>
    </w:p>
    <w:p>
      <w:pPr>
        <w:pStyle w:val="13"/>
        <w:jc w:val="center"/>
        <w:rPr>
          <w:sz w:val="72"/>
          <w:szCs w:val="72"/>
        </w:rPr>
      </w:pPr>
    </w:p>
    <w:p>
      <w:pPr>
        <w:pStyle w:val="13"/>
        <w:jc w:val="center"/>
        <w:rPr>
          <w:sz w:val="72"/>
          <w:szCs w:val="72"/>
        </w:rPr>
      </w:pPr>
    </w:p>
    <w:p>
      <w:pPr>
        <w:pStyle w:val="13"/>
        <w:jc w:val="center"/>
        <w:rPr>
          <w:sz w:val="72"/>
          <w:szCs w:val="72"/>
        </w:rPr>
      </w:pPr>
    </w:p>
    <w:p>
      <w:pPr>
        <w:pStyle w:val="13"/>
        <w:jc w:val="center"/>
        <w:rPr>
          <w:sz w:val="72"/>
          <w:szCs w:val="72"/>
        </w:rPr>
      </w:pPr>
    </w:p>
    <w:p>
      <w:pPr>
        <w:ind w:firstLine="3600" w:firstLineChars="500"/>
        <w:rPr>
          <w:sz w:val="72"/>
          <w:szCs w:val="72"/>
        </w:rPr>
      </w:pPr>
    </w:p>
    <w:p>
      <w:pPr>
        <w:pStyle w:val="2"/>
      </w:pPr>
    </w:p>
    <w:p>
      <w:pPr>
        <w:pStyle w:val="3"/>
        <w:ind w:firstLine="480"/>
      </w:pPr>
    </w:p>
    <w:p/>
    <w:p>
      <w:pPr>
        <w:pStyle w:val="2"/>
      </w:pPr>
    </w:p>
    <w:p>
      <w:pPr>
        <w:pStyle w:val="3"/>
        <w:ind w:firstLine="480"/>
      </w:pPr>
    </w:p>
    <w:p/>
    <w:p>
      <w:pPr>
        <w:pStyle w:val="2"/>
      </w:pPr>
    </w:p>
    <w:p>
      <w:pPr>
        <w:ind w:firstLine="3600" w:firstLineChars="500"/>
        <w:rPr>
          <w:sz w:val="72"/>
          <w:szCs w:val="72"/>
        </w:rPr>
      </w:pPr>
      <w:r>
        <w:rPr>
          <w:rFonts w:hint="eastAsia" w:ascii="方正小标宋_GBK" w:hAnsi="方正小标宋_GBK" w:eastAsia="方正小标宋_GBK" w:cs="方正小标宋_GBK"/>
          <w:sz w:val="72"/>
          <w:szCs w:val="72"/>
        </w:rPr>
        <w:t>第五部分</w:t>
      </w:r>
    </w:p>
    <w:p>
      <w:pPr>
        <w:pStyle w:val="13"/>
        <w:jc w:val="center"/>
        <w:rPr>
          <w:rFonts w:ascii="方正小标宋_GBK" w:hAnsi="方正小标宋_GBK" w:eastAsia="方正小标宋_GBK" w:cs="方正小标宋_GBK"/>
          <w:sz w:val="70"/>
          <w:szCs w:val="70"/>
        </w:rPr>
      </w:pPr>
    </w:p>
    <w:p>
      <w:pPr>
        <w:pStyle w:val="13"/>
        <w:jc w:val="center"/>
        <w:rPr>
          <w:rFonts w:ascii="方正小标宋_GBK" w:hAnsi="方正小标宋_GBK" w:eastAsia="方正小标宋_GBK" w:cs="方正小标宋_GBK"/>
          <w:sz w:val="70"/>
          <w:szCs w:val="70"/>
        </w:rPr>
      </w:pPr>
      <w:r>
        <w:rPr>
          <w:rFonts w:hint="eastAsia" w:ascii="方正小标宋_GBK" w:hAnsi="方正小标宋_GBK" w:eastAsia="方正小标宋_GBK" w:cs="方正小标宋_GBK"/>
          <w:sz w:val="70"/>
          <w:szCs w:val="70"/>
        </w:rPr>
        <w:t>附 件</w:t>
      </w:r>
    </w:p>
    <w:p>
      <w:pPr>
        <w:pStyle w:val="13"/>
        <w:jc w:val="center"/>
        <w:rPr>
          <w:rFonts w:ascii="方正小标宋_GBK" w:hAnsi="方正小标宋_GBK" w:eastAsia="方正小标宋_GBK" w:cs="方正小标宋_GBK"/>
          <w:sz w:val="70"/>
          <w:szCs w:val="70"/>
        </w:rPr>
      </w:pPr>
    </w:p>
    <w:p>
      <w:pPr>
        <w:pStyle w:val="13"/>
        <w:jc w:val="center"/>
        <w:rPr>
          <w:rFonts w:ascii="方正小标宋_GBK" w:hAnsi="方正小标宋_GBK" w:eastAsia="方正小标宋_GBK" w:cs="方正小标宋_GBK"/>
          <w:sz w:val="70"/>
          <w:szCs w:val="70"/>
        </w:rPr>
      </w:pPr>
    </w:p>
    <w:p>
      <w:pPr>
        <w:pStyle w:val="13"/>
        <w:jc w:val="center"/>
        <w:rPr>
          <w:rFonts w:ascii="方正小标宋_GBK" w:hAnsi="方正小标宋_GBK" w:eastAsia="方正小标宋_GBK" w:cs="方正小标宋_GBK"/>
          <w:sz w:val="70"/>
          <w:szCs w:val="70"/>
        </w:rPr>
      </w:pPr>
    </w:p>
    <w:p>
      <w:pPr>
        <w:pStyle w:val="13"/>
        <w:spacing w:line="600" w:lineRule="exact"/>
        <w:jc w:val="center"/>
        <w:rPr>
          <w:rFonts w:ascii="Times New Roman" w:hAnsi="Times New Roman" w:eastAsia="仿宋_GB2312"/>
          <w:sz w:val="44"/>
          <w:szCs w:val="44"/>
        </w:rPr>
      </w:pPr>
      <w:r>
        <w:rPr>
          <w:rFonts w:hint="eastAsia" w:ascii="Times New Roman" w:hAnsi="Times New Roman" w:eastAsia="仿宋_GB2312"/>
          <w:sz w:val="44"/>
          <w:szCs w:val="44"/>
        </w:rPr>
        <w:t>2023年度怀化市交通运输从业资格考试中心</w:t>
      </w:r>
    </w:p>
    <w:p>
      <w:pPr>
        <w:pStyle w:val="13"/>
        <w:spacing w:line="600" w:lineRule="exact"/>
        <w:jc w:val="center"/>
        <w:rPr>
          <w:rFonts w:ascii="Times New Roman" w:hAnsi="Times New Roman" w:eastAsia="仿宋_GB2312"/>
          <w:sz w:val="44"/>
          <w:szCs w:val="44"/>
        </w:rPr>
      </w:pPr>
      <w:r>
        <w:rPr>
          <w:rFonts w:hint="eastAsia" w:ascii="Times New Roman" w:hAnsi="Times New Roman" w:eastAsia="仿宋_GB2312"/>
          <w:sz w:val="44"/>
          <w:szCs w:val="44"/>
        </w:rPr>
        <w:t>整体支出绩效自评报告</w:t>
      </w:r>
    </w:p>
    <w:p>
      <w:pPr>
        <w:pStyle w:val="13"/>
        <w:spacing w:line="600" w:lineRule="exact"/>
        <w:rPr>
          <w:rStyle w:val="22"/>
          <w:b/>
          <w:bCs/>
          <w:sz w:val="32"/>
          <w:szCs w:val="32"/>
        </w:rPr>
      </w:pPr>
    </w:p>
    <w:p>
      <w:pPr>
        <w:widowControl/>
        <w:shd w:val="clear" w:color="auto" w:fill="FFFFFF"/>
        <w:spacing w:line="600" w:lineRule="atLeast"/>
        <w:ind w:firstLine="632"/>
        <w:rPr>
          <w:rFonts w:ascii="黑体" w:hAnsi="黑体" w:eastAsia="黑体" w:cs="黑体"/>
          <w:bCs/>
          <w:spacing w:val="-2"/>
          <w:sz w:val="32"/>
          <w:szCs w:val="21"/>
        </w:rPr>
      </w:pPr>
      <w:r>
        <w:rPr>
          <w:rFonts w:hint="eastAsia" w:ascii="黑体" w:hAnsi="黑体" w:eastAsia="黑体" w:cs="黑体"/>
          <w:bCs/>
          <w:spacing w:val="-2"/>
          <w:sz w:val="32"/>
          <w:szCs w:val="32"/>
        </w:rPr>
        <w:t>一、单位基本情况</w:t>
      </w:r>
    </w:p>
    <w:p>
      <w:pPr>
        <w:widowControl/>
        <w:shd w:val="clear" w:color="auto" w:fill="FFFFFF"/>
        <w:spacing w:line="600" w:lineRule="atLeast"/>
        <w:ind w:firstLine="632" w:firstLineChars="200"/>
        <w:rPr>
          <w:rFonts w:ascii="仿宋" w:hAnsi="仿宋" w:eastAsia="仿宋"/>
          <w:spacing w:val="-2"/>
          <w:sz w:val="32"/>
          <w:szCs w:val="32"/>
        </w:rPr>
      </w:pPr>
      <w:r>
        <w:rPr>
          <w:rFonts w:hint="eastAsia" w:ascii="仿宋" w:hAnsi="仿宋" w:eastAsia="仿宋"/>
          <w:spacing w:val="-2"/>
          <w:sz w:val="32"/>
          <w:szCs w:val="32"/>
        </w:rPr>
        <w:t>怀化市交通运输从业资格考试中心是怀化市交通运输局二级预算单位，单位性质为财政差额拨款事业单位。编制人数40人，年末实有人数37人，退休人员55人。主要负责交通运输系统岗位培训；行业职业技能和从业资格培训考试；旧机动车交易规范服务等事务性工作。</w:t>
      </w:r>
    </w:p>
    <w:p>
      <w:pPr>
        <w:widowControl/>
        <w:shd w:val="clear" w:color="auto" w:fill="FFFFFF"/>
        <w:spacing w:line="600" w:lineRule="atLeast"/>
        <w:ind w:firstLine="632"/>
        <w:rPr>
          <w:rFonts w:ascii="黑体" w:hAnsi="黑体" w:eastAsia="黑体" w:cs="黑体"/>
          <w:bCs/>
          <w:spacing w:val="-2"/>
          <w:sz w:val="32"/>
          <w:szCs w:val="32"/>
        </w:rPr>
      </w:pPr>
      <w:r>
        <w:rPr>
          <w:rFonts w:hint="eastAsia" w:ascii="黑体" w:hAnsi="黑体" w:eastAsia="黑体" w:cs="黑体"/>
          <w:bCs/>
          <w:spacing w:val="-2"/>
          <w:sz w:val="32"/>
          <w:szCs w:val="32"/>
        </w:rPr>
        <w:t>二、部门整体支出管理及使用情况</w:t>
      </w:r>
    </w:p>
    <w:p>
      <w:pPr>
        <w:widowControl/>
        <w:shd w:val="clear" w:color="auto" w:fill="FFFFFF"/>
        <w:spacing w:line="600" w:lineRule="atLeast"/>
        <w:ind w:firstLine="632"/>
        <w:rPr>
          <w:rFonts w:ascii="仿宋" w:hAnsi="仿宋" w:eastAsia="仿宋"/>
          <w:b/>
          <w:bCs/>
          <w:spacing w:val="-2"/>
          <w:sz w:val="32"/>
          <w:szCs w:val="32"/>
        </w:rPr>
      </w:pPr>
      <w:r>
        <w:rPr>
          <w:rFonts w:ascii="仿宋" w:hAnsi="仿宋" w:eastAsia="仿宋"/>
          <w:b/>
          <w:bCs/>
          <w:spacing w:val="-2"/>
          <w:sz w:val="32"/>
          <w:szCs w:val="32"/>
        </w:rPr>
        <w:t>（一）</w:t>
      </w:r>
      <w:r>
        <w:rPr>
          <w:rFonts w:hint="eastAsia" w:ascii="仿宋" w:hAnsi="仿宋" w:eastAsia="仿宋"/>
          <w:b/>
          <w:bCs/>
          <w:spacing w:val="-2"/>
          <w:sz w:val="32"/>
          <w:szCs w:val="32"/>
        </w:rPr>
        <w:t>预算执行、使用、管理总体情况</w:t>
      </w:r>
    </w:p>
    <w:p>
      <w:pPr>
        <w:widowControl/>
        <w:shd w:val="clear" w:color="auto" w:fill="FFFFFF"/>
        <w:spacing w:line="600" w:lineRule="atLeast"/>
        <w:ind w:firstLine="632" w:firstLineChars="200"/>
        <w:rPr>
          <w:rFonts w:ascii="仿宋" w:hAnsi="仿宋" w:eastAsia="仿宋"/>
          <w:spacing w:val="-2"/>
          <w:sz w:val="32"/>
          <w:szCs w:val="32"/>
        </w:rPr>
      </w:pPr>
      <w:r>
        <w:rPr>
          <w:rFonts w:hint="eastAsia" w:ascii="仿宋" w:hAnsi="仿宋" w:eastAsia="仿宋"/>
          <w:spacing w:val="-2"/>
          <w:sz w:val="32"/>
          <w:szCs w:val="32"/>
        </w:rPr>
        <w:t>2023年我单位积极履职，较好地完成了年度工作目标，2023年决算总支出494.73万元，基本支出494.73万元，其中人员经费支出492.09万元，公用经费支出2.64万元；项目支出0万元；其他资金支出0万元。我单位绩效自评结果优秀。</w:t>
      </w:r>
    </w:p>
    <w:p>
      <w:pPr>
        <w:widowControl/>
        <w:shd w:val="clear" w:color="auto" w:fill="FFFFFF"/>
        <w:spacing w:line="600" w:lineRule="atLeast"/>
        <w:ind w:firstLine="634"/>
        <w:rPr>
          <w:rFonts w:ascii="仿宋" w:hAnsi="仿宋" w:eastAsia="仿宋"/>
          <w:b/>
          <w:spacing w:val="-2"/>
          <w:sz w:val="32"/>
          <w:szCs w:val="32"/>
        </w:rPr>
      </w:pPr>
      <w:r>
        <w:rPr>
          <w:rFonts w:hint="eastAsia" w:ascii="仿宋" w:hAnsi="仿宋" w:eastAsia="仿宋"/>
          <w:b/>
          <w:spacing w:val="-2"/>
          <w:sz w:val="32"/>
          <w:szCs w:val="32"/>
        </w:rPr>
        <w:t>（二）部门预算执行情况</w:t>
      </w:r>
    </w:p>
    <w:p>
      <w:pPr>
        <w:widowControl/>
        <w:shd w:val="clear" w:color="auto" w:fill="FFFFFF"/>
        <w:spacing w:line="600" w:lineRule="atLeast"/>
        <w:ind w:firstLine="632" w:firstLineChars="200"/>
        <w:rPr>
          <w:rFonts w:ascii="仿宋" w:hAnsi="仿宋" w:eastAsia="仿宋"/>
          <w:b/>
          <w:spacing w:val="-2"/>
          <w:sz w:val="32"/>
          <w:szCs w:val="21"/>
        </w:rPr>
      </w:pPr>
      <w:r>
        <w:rPr>
          <w:rFonts w:hint="eastAsia" w:ascii="仿宋" w:hAnsi="仿宋" w:eastAsia="仿宋"/>
          <w:b/>
          <w:spacing w:val="-2"/>
          <w:sz w:val="32"/>
          <w:szCs w:val="32"/>
        </w:rPr>
        <w:t>1.</w:t>
      </w:r>
      <w:r>
        <w:rPr>
          <w:rFonts w:ascii="仿宋" w:hAnsi="仿宋" w:eastAsia="仿宋"/>
          <w:b/>
          <w:spacing w:val="-2"/>
          <w:sz w:val="32"/>
          <w:szCs w:val="32"/>
        </w:rPr>
        <w:t>基本支出</w:t>
      </w:r>
    </w:p>
    <w:p>
      <w:pPr>
        <w:widowControl/>
        <w:shd w:val="clear" w:color="auto" w:fill="FFFFFF"/>
        <w:spacing w:line="600" w:lineRule="atLeast"/>
        <w:ind w:firstLine="632" w:firstLineChars="200"/>
        <w:rPr>
          <w:rFonts w:ascii="仿宋" w:hAnsi="仿宋" w:eastAsia="仿宋"/>
          <w:spacing w:val="-2"/>
          <w:sz w:val="32"/>
          <w:szCs w:val="32"/>
        </w:rPr>
      </w:pPr>
      <w:r>
        <w:rPr>
          <w:rFonts w:hint="eastAsia" w:ascii="仿宋" w:hAnsi="仿宋" w:eastAsia="仿宋"/>
          <w:spacing w:val="-2"/>
          <w:sz w:val="32"/>
          <w:szCs w:val="32"/>
        </w:rPr>
        <w:t>基本支出494.73万元，主要用于保障人员经费和保障单位的正常运转支出。主要包括：人员支出492.09万元，公用经费支出2.64万元，其中,办公费0.99万元，差旅费0.26万元，工会经费0.4万元，车辆使用费0.87万元，其他商品和服务支出0.12万元。</w:t>
      </w:r>
    </w:p>
    <w:p>
      <w:pPr>
        <w:widowControl/>
        <w:shd w:val="clear" w:color="auto" w:fill="FFFFFF"/>
        <w:spacing w:line="600" w:lineRule="atLeast"/>
        <w:ind w:firstLine="632" w:firstLineChars="200"/>
        <w:rPr>
          <w:rFonts w:ascii="仿宋" w:hAnsi="仿宋" w:eastAsia="仿宋"/>
          <w:b/>
          <w:spacing w:val="-2"/>
          <w:sz w:val="32"/>
          <w:szCs w:val="32"/>
        </w:rPr>
      </w:pPr>
      <w:r>
        <w:rPr>
          <w:rFonts w:hint="eastAsia" w:ascii="仿宋" w:hAnsi="仿宋" w:eastAsia="仿宋"/>
          <w:b/>
          <w:spacing w:val="-2"/>
          <w:sz w:val="32"/>
          <w:szCs w:val="32"/>
        </w:rPr>
        <w:t>2.项目支出情况</w:t>
      </w:r>
    </w:p>
    <w:p>
      <w:pPr>
        <w:widowControl/>
        <w:shd w:val="clear" w:color="auto" w:fill="FFFFFF"/>
        <w:spacing w:line="600" w:lineRule="atLeast"/>
        <w:ind w:firstLine="632"/>
        <w:rPr>
          <w:rFonts w:ascii="仿宋" w:hAnsi="仿宋" w:eastAsia="仿宋"/>
          <w:spacing w:val="-2"/>
          <w:sz w:val="32"/>
          <w:szCs w:val="32"/>
        </w:rPr>
      </w:pPr>
      <w:r>
        <w:rPr>
          <w:rFonts w:hint="eastAsia" w:ascii="仿宋" w:hAnsi="仿宋" w:eastAsia="仿宋"/>
          <w:spacing w:val="-2"/>
          <w:sz w:val="32"/>
          <w:szCs w:val="32"/>
        </w:rPr>
        <w:t>本年度无项目支出。</w:t>
      </w:r>
    </w:p>
    <w:p>
      <w:pPr>
        <w:widowControl/>
        <w:shd w:val="clear" w:color="auto" w:fill="FFFFFF"/>
        <w:spacing w:line="600" w:lineRule="atLeast"/>
        <w:ind w:firstLine="634"/>
        <w:rPr>
          <w:rFonts w:ascii="仿宋" w:hAnsi="仿宋" w:eastAsia="仿宋"/>
          <w:b/>
          <w:spacing w:val="-2"/>
          <w:sz w:val="32"/>
          <w:szCs w:val="32"/>
        </w:rPr>
      </w:pPr>
      <w:r>
        <w:rPr>
          <w:rFonts w:ascii="仿宋" w:hAnsi="仿宋" w:eastAsia="仿宋"/>
          <w:b/>
          <w:spacing w:val="-2"/>
          <w:sz w:val="32"/>
          <w:szCs w:val="32"/>
        </w:rPr>
        <w:t>（三）"三公"经费使用和管理情况</w:t>
      </w:r>
    </w:p>
    <w:p>
      <w:pPr>
        <w:widowControl/>
        <w:shd w:val="clear" w:color="auto" w:fill="FFFFFF"/>
        <w:spacing w:line="600" w:lineRule="atLeast"/>
        <w:ind w:firstLine="320" w:firstLineChars="100"/>
        <w:rPr>
          <w:rFonts w:ascii="仿宋" w:hAnsi="仿宋" w:eastAsia="仿宋"/>
          <w:spacing w:val="-2"/>
          <w:sz w:val="32"/>
          <w:szCs w:val="32"/>
        </w:rPr>
      </w:pPr>
      <w:r>
        <w:rPr>
          <w:rFonts w:hint="eastAsia" w:cs="仿宋_GB2312" w:asciiTheme="minorEastAsia" w:hAnsiTheme="minorEastAsia"/>
          <w:color w:val="333333"/>
          <w:kern w:val="0"/>
          <w:sz w:val="32"/>
          <w:szCs w:val="32"/>
          <w:shd w:val="clear" w:color="auto" w:fill="FFFFFF"/>
        </w:rPr>
        <w:t xml:space="preserve">  </w:t>
      </w:r>
      <w:r>
        <w:rPr>
          <w:rFonts w:hint="eastAsia" w:ascii="仿宋" w:hAnsi="仿宋" w:eastAsia="仿宋"/>
          <w:spacing w:val="-2"/>
          <w:sz w:val="32"/>
          <w:szCs w:val="32"/>
        </w:rPr>
        <w:t>2023年我单位 “三公”经费预算数为1万元。2023年公务用车运行费决算数为0.87万元，公务接待费为0万元，因公出国（境）费0万元。</w:t>
      </w:r>
    </w:p>
    <w:p>
      <w:pPr>
        <w:widowControl/>
        <w:numPr>
          <w:ilvl w:val="0"/>
          <w:numId w:val="2"/>
        </w:numPr>
        <w:shd w:val="clear" w:color="auto" w:fill="FFFFFF"/>
        <w:spacing w:line="600" w:lineRule="atLeast"/>
        <w:ind w:firstLine="632"/>
        <w:rPr>
          <w:rFonts w:ascii="黑体" w:hAnsi="黑体" w:eastAsia="黑体" w:cs="黑体"/>
          <w:bCs/>
          <w:spacing w:val="-2"/>
          <w:sz w:val="32"/>
          <w:szCs w:val="32"/>
        </w:rPr>
      </w:pPr>
      <w:r>
        <w:rPr>
          <w:rFonts w:hint="eastAsia" w:ascii="黑体" w:hAnsi="黑体" w:eastAsia="黑体" w:cs="黑体"/>
          <w:bCs/>
          <w:spacing w:val="-2"/>
          <w:sz w:val="32"/>
          <w:szCs w:val="32"/>
        </w:rPr>
        <w:t>政府基金预算支出情况</w:t>
      </w:r>
    </w:p>
    <w:p>
      <w:pPr>
        <w:widowControl/>
        <w:shd w:val="clear" w:color="auto" w:fill="FFFFFF"/>
        <w:spacing w:line="600" w:lineRule="atLeast"/>
        <w:ind w:firstLine="632" w:firstLineChars="200"/>
        <w:rPr>
          <w:rFonts w:ascii="仿宋" w:hAnsi="仿宋" w:eastAsia="仿宋"/>
          <w:spacing w:val="-2"/>
          <w:sz w:val="32"/>
          <w:szCs w:val="32"/>
        </w:rPr>
      </w:pPr>
      <w:r>
        <w:rPr>
          <w:rFonts w:hint="eastAsia" w:ascii="仿宋" w:hAnsi="仿宋" w:eastAsia="仿宋"/>
          <w:spacing w:val="-2"/>
          <w:sz w:val="32"/>
          <w:szCs w:val="32"/>
        </w:rPr>
        <w:t>2023年本单位无政府性基金预算支出。</w:t>
      </w:r>
    </w:p>
    <w:p>
      <w:pPr>
        <w:widowControl/>
        <w:numPr>
          <w:ilvl w:val="0"/>
          <w:numId w:val="2"/>
        </w:numPr>
        <w:shd w:val="clear" w:color="auto" w:fill="FFFFFF"/>
        <w:spacing w:line="600" w:lineRule="atLeast"/>
        <w:ind w:firstLine="632"/>
        <w:rPr>
          <w:rFonts w:ascii="黑体" w:hAnsi="黑体" w:eastAsia="黑体" w:cs="黑体"/>
          <w:bCs/>
          <w:spacing w:val="-2"/>
          <w:sz w:val="32"/>
          <w:szCs w:val="32"/>
        </w:rPr>
      </w:pPr>
      <w:r>
        <w:rPr>
          <w:rFonts w:hint="eastAsia" w:ascii="黑体" w:hAnsi="黑体" w:eastAsia="黑体" w:cs="黑体"/>
          <w:bCs/>
          <w:spacing w:val="-2"/>
          <w:sz w:val="32"/>
          <w:szCs w:val="32"/>
        </w:rPr>
        <w:t>国有资本经营预算支出情况</w:t>
      </w:r>
    </w:p>
    <w:p>
      <w:pPr>
        <w:widowControl/>
        <w:shd w:val="clear" w:color="auto" w:fill="FFFFFF"/>
        <w:spacing w:line="600" w:lineRule="atLeast"/>
        <w:ind w:firstLine="632" w:firstLineChars="200"/>
        <w:rPr>
          <w:rFonts w:ascii="仿宋" w:hAnsi="仿宋" w:eastAsia="仿宋"/>
          <w:spacing w:val="-2"/>
          <w:sz w:val="32"/>
          <w:szCs w:val="32"/>
        </w:rPr>
      </w:pPr>
      <w:r>
        <w:rPr>
          <w:rFonts w:hint="eastAsia" w:ascii="仿宋" w:hAnsi="仿宋" w:eastAsia="仿宋"/>
          <w:spacing w:val="-2"/>
          <w:sz w:val="32"/>
          <w:szCs w:val="32"/>
        </w:rPr>
        <w:t>2023年本单位无国有资本经营预算支出。</w:t>
      </w:r>
    </w:p>
    <w:p>
      <w:pPr>
        <w:widowControl/>
        <w:numPr>
          <w:ilvl w:val="0"/>
          <w:numId w:val="2"/>
        </w:numPr>
        <w:shd w:val="clear" w:color="auto" w:fill="FFFFFF"/>
        <w:spacing w:line="600" w:lineRule="atLeast"/>
        <w:ind w:firstLine="632"/>
        <w:rPr>
          <w:rFonts w:ascii="黑体" w:hAnsi="黑体" w:eastAsia="黑体" w:cs="黑体"/>
          <w:bCs/>
          <w:spacing w:val="-2"/>
          <w:sz w:val="32"/>
          <w:szCs w:val="32"/>
        </w:rPr>
      </w:pPr>
      <w:r>
        <w:rPr>
          <w:rFonts w:hint="eastAsia" w:ascii="黑体" w:hAnsi="黑体" w:eastAsia="黑体" w:cs="黑体"/>
          <w:bCs/>
          <w:spacing w:val="-2"/>
          <w:sz w:val="32"/>
          <w:szCs w:val="32"/>
        </w:rPr>
        <w:t>社会保险基金预算支出情况</w:t>
      </w:r>
    </w:p>
    <w:p>
      <w:pPr>
        <w:widowControl/>
        <w:shd w:val="clear" w:color="auto" w:fill="FFFFFF"/>
        <w:spacing w:line="600" w:lineRule="atLeast"/>
        <w:ind w:firstLine="632" w:firstLineChars="200"/>
        <w:rPr>
          <w:rFonts w:ascii="仿宋" w:hAnsi="仿宋" w:eastAsia="仿宋"/>
          <w:spacing w:val="-2"/>
          <w:sz w:val="32"/>
          <w:szCs w:val="32"/>
        </w:rPr>
      </w:pPr>
      <w:r>
        <w:rPr>
          <w:rFonts w:hint="eastAsia" w:ascii="仿宋" w:hAnsi="仿宋" w:eastAsia="仿宋"/>
          <w:spacing w:val="-2"/>
          <w:sz w:val="32"/>
          <w:szCs w:val="32"/>
        </w:rPr>
        <w:t>2023年无社会保险基金预算支出情况。</w:t>
      </w:r>
    </w:p>
    <w:p>
      <w:pPr>
        <w:widowControl/>
        <w:numPr>
          <w:ilvl w:val="0"/>
          <w:numId w:val="2"/>
        </w:numPr>
        <w:shd w:val="clear" w:color="auto" w:fill="FFFFFF"/>
        <w:spacing w:line="600" w:lineRule="atLeast"/>
        <w:ind w:firstLine="632"/>
        <w:rPr>
          <w:rFonts w:ascii="黑体" w:hAnsi="黑体" w:eastAsia="黑体" w:cs="黑体"/>
          <w:bCs/>
          <w:spacing w:val="-2"/>
          <w:sz w:val="32"/>
          <w:szCs w:val="32"/>
        </w:rPr>
      </w:pPr>
      <w:r>
        <w:rPr>
          <w:rFonts w:hint="eastAsia" w:ascii="黑体" w:hAnsi="黑体" w:eastAsia="黑体" w:cs="黑体"/>
          <w:bCs/>
          <w:spacing w:val="-2"/>
          <w:sz w:val="32"/>
          <w:szCs w:val="32"/>
        </w:rPr>
        <w:t>部门整体支出绩效情况</w:t>
      </w:r>
    </w:p>
    <w:p>
      <w:pPr>
        <w:widowControl/>
        <w:shd w:val="clear" w:color="auto" w:fill="FFFFFF"/>
        <w:spacing w:line="600" w:lineRule="atLeast"/>
        <w:ind w:firstLine="632" w:firstLineChars="200"/>
        <w:rPr>
          <w:rFonts w:ascii="仿宋" w:hAnsi="仿宋" w:eastAsia="仿宋"/>
          <w:b/>
          <w:spacing w:val="-2"/>
          <w:sz w:val="32"/>
          <w:szCs w:val="32"/>
        </w:rPr>
      </w:pPr>
      <w:r>
        <w:rPr>
          <w:rFonts w:hint="eastAsia" w:ascii="仿宋" w:hAnsi="仿宋" w:eastAsia="仿宋"/>
          <w:b/>
          <w:spacing w:val="-2"/>
          <w:sz w:val="32"/>
          <w:szCs w:val="32"/>
        </w:rPr>
        <w:t>（一）综合评价结论</w:t>
      </w:r>
    </w:p>
    <w:p>
      <w:pPr>
        <w:widowControl/>
        <w:shd w:val="clear" w:color="auto" w:fill="FFFFFF"/>
        <w:spacing w:line="600" w:lineRule="atLeast"/>
        <w:ind w:firstLine="632" w:firstLineChars="200"/>
        <w:rPr>
          <w:rFonts w:ascii="仿宋" w:hAnsi="仿宋" w:eastAsia="仿宋"/>
          <w:spacing w:val="-2"/>
          <w:sz w:val="32"/>
          <w:szCs w:val="32"/>
        </w:rPr>
      </w:pPr>
      <w:r>
        <w:rPr>
          <w:rFonts w:hint="eastAsia" w:ascii="仿宋" w:hAnsi="仿宋" w:eastAsia="仿宋"/>
          <w:spacing w:val="-2"/>
          <w:sz w:val="32"/>
          <w:szCs w:val="32"/>
        </w:rPr>
        <w:t>自评得分93，等级为优秀。</w:t>
      </w:r>
    </w:p>
    <w:p>
      <w:pPr>
        <w:widowControl/>
        <w:shd w:val="clear" w:color="auto" w:fill="FFFFFF"/>
        <w:spacing w:line="600" w:lineRule="atLeast"/>
        <w:ind w:firstLine="632" w:firstLineChars="200"/>
        <w:rPr>
          <w:rFonts w:ascii="仿宋" w:hAnsi="仿宋" w:eastAsia="仿宋"/>
          <w:b/>
          <w:spacing w:val="-2"/>
          <w:sz w:val="32"/>
          <w:szCs w:val="32"/>
        </w:rPr>
      </w:pPr>
      <w:r>
        <w:rPr>
          <w:rFonts w:hint="eastAsia" w:ascii="仿宋" w:hAnsi="仿宋" w:eastAsia="仿宋"/>
          <w:b/>
          <w:spacing w:val="-2"/>
          <w:sz w:val="32"/>
          <w:szCs w:val="32"/>
        </w:rPr>
        <w:t>（二）综合评价情况</w:t>
      </w:r>
    </w:p>
    <w:p>
      <w:pPr>
        <w:widowControl/>
        <w:shd w:val="clear" w:color="auto" w:fill="FFFFFF"/>
        <w:spacing w:line="600" w:lineRule="atLeast"/>
        <w:ind w:firstLine="632" w:firstLineChars="200"/>
        <w:rPr>
          <w:rFonts w:ascii="仿宋" w:hAnsi="仿宋" w:eastAsia="仿宋"/>
          <w:spacing w:val="-2"/>
          <w:sz w:val="32"/>
          <w:szCs w:val="32"/>
        </w:rPr>
      </w:pPr>
      <w:r>
        <w:rPr>
          <w:rFonts w:hint="eastAsia" w:ascii="仿宋" w:hAnsi="仿宋" w:eastAsia="仿宋"/>
          <w:spacing w:val="-2"/>
          <w:sz w:val="32"/>
          <w:szCs w:val="32"/>
        </w:rPr>
        <w:t>2023年以来，我中心在创新上发力，全面促进业务发展。</w:t>
      </w:r>
    </w:p>
    <w:p>
      <w:pPr>
        <w:widowControl/>
        <w:shd w:val="clear" w:color="auto" w:fill="FFFFFF"/>
        <w:spacing w:line="600" w:lineRule="atLeast"/>
        <w:ind w:firstLine="632" w:firstLineChars="200"/>
        <w:rPr>
          <w:rFonts w:ascii="仿宋" w:hAnsi="仿宋" w:eastAsia="仿宋"/>
          <w:spacing w:val="-2"/>
          <w:sz w:val="32"/>
          <w:szCs w:val="32"/>
        </w:rPr>
      </w:pPr>
      <w:r>
        <w:rPr>
          <w:rFonts w:hint="eastAsia" w:ascii="仿宋" w:hAnsi="仿宋" w:eastAsia="仿宋"/>
          <w:spacing w:val="-2"/>
          <w:sz w:val="32"/>
          <w:szCs w:val="32"/>
        </w:rPr>
        <w:t>今年中心业务部门积极组织开展各类培训工作，客货运资格证业务招生97人；网约车、出租车培训629人；企业安全负责人与安全管理人员培训320人；交通事业单位线下培训685人；共计培训1731人。</w:t>
      </w:r>
    </w:p>
    <w:p>
      <w:pPr>
        <w:widowControl/>
        <w:shd w:val="clear" w:color="auto" w:fill="FFFFFF"/>
        <w:spacing w:line="600" w:lineRule="atLeast"/>
        <w:ind w:firstLine="632" w:firstLineChars="200"/>
        <w:rPr>
          <w:rFonts w:ascii="仿宋" w:hAnsi="仿宋" w:eastAsia="仿宋"/>
          <w:spacing w:val="-2"/>
          <w:sz w:val="32"/>
          <w:szCs w:val="32"/>
        </w:rPr>
      </w:pPr>
      <w:r>
        <w:rPr>
          <w:rFonts w:hint="eastAsia" w:ascii="仿宋" w:hAnsi="仿宋" w:eastAsia="仿宋"/>
          <w:spacing w:val="-2"/>
          <w:sz w:val="32"/>
          <w:szCs w:val="32"/>
        </w:rPr>
        <w:t>2、12328热线平台全年共受理信息咨询、投诉举报、意见建议、微信小程序工单等总计12218件，其中即时答复满意率100%；按时反馈率100%；数据规范率为100%；平均办结时长1.8天，2023全省排名由年初的十二、十三名跃升至全省第一梯队，8月全省排名第二，2023年9月、10月、11月连续三个月取得了全省排名第一的成绩。</w:t>
      </w:r>
    </w:p>
    <w:p>
      <w:pPr>
        <w:widowControl/>
        <w:shd w:val="clear" w:color="auto" w:fill="FFFFFF"/>
        <w:spacing w:line="600" w:lineRule="atLeast"/>
        <w:ind w:firstLine="632" w:firstLineChars="200"/>
        <w:rPr>
          <w:rFonts w:ascii="仿宋" w:hAnsi="仿宋" w:eastAsia="仿宋"/>
          <w:spacing w:val="-2"/>
          <w:sz w:val="32"/>
          <w:szCs w:val="32"/>
        </w:rPr>
      </w:pPr>
      <w:r>
        <w:rPr>
          <w:rFonts w:hint="eastAsia" w:ascii="仿宋" w:hAnsi="仿宋" w:eastAsia="仿宋"/>
          <w:spacing w:val="-2"/>
          <w:sz w:val="32"/>
          <w:szCs w:val="32"/>
        </w:rPr>
        <w:t>3、2023年实现上缴非税收入266.02万元，其中房屋出租收入162.47，培训收入103.55万元，保障了92人的基本工资福利支出，实现国有资产的保值增值，未出现拖欠职工工资情况，保障了干部职工队伍的稳定。</w:t>
      </w:r>
    </w:p>
    <w:p>
      <w:pPr>
        <w:widowControl/>
        <w:shd w:val="clear" w:color="auto" w:fill="FFFFFF"/>
        <w:spacing w:line="600" w:lineRule="atLeast"/>
        <w:ind w:firstLine="632"/>
        <w:rPr>
          <w:rFonts w:ascii="黑体" w:hAnsi="黑体" w:eastAsia="黑体" w:cs="黑体"/>
          <w:bCs/>
          <w:spacing w:val="-2"/>
          <w:sz w:val="32"/>
          <w:szCs w:val="21"/>
        </w:rPr>
      </w:pPr>
      <w:r>
        <w:rPr>
          <w:rFonts w:hint="eastAsia" w:ascii="黑体" w:hAnsi="黑体" w:eastAsia="黑体" w:cs="黑体"/>
          <w:bCs/>
          <w:spacing w:val="-2"/>
          <w:sz w:val="32"/>
          <w:szCs w:val="32"/>
        </w:rPr>
        <w:t>七、存在的主要问题</w:t>
      </w:r>
    </w:p>
    <w:p>
      <w:pPr>
        <w:widowControl/>
        <w:shd w:val="clear" w:color="auto" w:fill="FFFFFF"/>
        <w:spacing w:line="600" w:lineRule="atLeast"/>
        <w:ind w:firstLine="632" w:firstLineChars="200"/>
        <w:rPr>
          <w:rFonts w:ascii="仿宋" w:hAnsi="仿宋" w:eastAsia="仿宋"/>
          <w:spacing w:val="-2"/>
          <w:sz w:val="32"/>
          <w:szCs w:val="32"/>
        </w:rPr>
      </w:pPr>
      <w:r>
        <w:rPr>
          <w:rFonts w:hint="eastAsia" w:ascii="仿宋" w:hAnsi="仿宋" w:eastAsia="仿宋"/>
          <w:spacing w:val="-2"/>
          <w:sz w:val="32"/>
          <w:szCs w:val="32"/>
        </w:rPr>
        <w:t>因差额拨款单位，中心成立之初，对财政相关规定沟通了解不够，经费严重不足，管理上也存在一些问题，主要有：</w:t>
      </w:r>
    </w:p>
    <w:p>
      <w:pPr>
        <w:widowControl/>
        <w:shd w:val="clear" w:color="auto" w:fill="FFFFFF"/>
        <w:spacing w:line="600" w:lineRule="atLeast"/>
        <w:ind w:firstLine="632" w:firstLineChars="200"/>
        <w:rPr>
          <w:rFonts w:ascii="仿宋" w:hAnsi="仿宋" w:eastAsia="仿宋"/>
          <w:spacing w:val="-2"/>
          <w:sz w:val="32"/>
          <w:szCs w:val="32"/>
        </w:rPr>
      </w:pPr>
      <w:r>
        <w:rPr>
          <w:rFonts w:hint="eastAsia" w:ascii="仿宋" w:hAnsi="仿宋" w:eastAsia="仿宋"/>
          <w:spacing w:val="-2"/>
          <w:sz w:val="32"/>
          <w:szCs w:val="32"/>
        </w:rPr>
        <w:t>1、人员及办公经费不足。我单位为差额单位，财政未足额保障单位人员经费，未安排公用经费，来源主要靠门面租金收入及培训收入，因社会实体经济下行压力增大等因素，导致考试中心运营艰难。</w:t>
      </w:r>
    </w:p>
    <w:p>
      <w:pPr>
        <w:widowControl/>
        <w:shd w:val="clear" w:color="auto" w:fill="FFFFFF"/>
        <w:spacing w:line="600" w:lineRule="atLeast"/>
        <w:ind w:firstLine="632" w:firstLineChars="200"/>
        <w:rPr>
          <w:rFonts w:ascii="仿宋" w:hAnsi="仿宋" w:eastAsia="仿宋"/>
          <w:spacing w:val="-2"/>
          <w:sz w:val="32"/>
          <w:szCs w:val="32"/>
        </w:rPr>
      </w:pPr>
      <w:r>
        <w:rPr>
          <w:rFonts w:hint="eastAsia" w:ascii="仿宋" w:hAnsi="仿宋" w:eastAsia="仿宋"/>
          <w:spacing w:val="-2"/>
          <w:sz w:val="32"/>
          <w:szCs w:val="32"/>
        </w:rPr>
        <w:t>2、12328交通热线服务平台基础设施落后。自我市交通运输系统真抓实干激励考核工作以来，工作量较大，业务办理工单比较多，投诉举报较多，投诉举办限时办理情况不满意率比较突出。市财政局未安排专项资金，12328办公环境有限，人力物力保障不足，12328工作缺乏主动性和创造性，工作仍有待突破。</w:t>
      </w:r>
    </w:p>
    <w:p>
      <w:pPr>
        <w:widowControl/>
        <w:shd w:val="clear" w:color="auto" w:fill="FFFFFF"/>
        <w:spacing w:line="600" w:lineRule="atLeast"/>
        <w:ind w:firstLine="632" w:firstLineChars="200"/>
        <w:rPr>
          <w:rFonts w:ascii="仿宋" w:hAnsi="仿宋" w:eastAsia="仿宋"/>
          <w:spacing w:val="-2"/>
          <w:sz w:val="32"/>
          <w:szCs w:val="32"/>
        </w:rPr>
      </w:pPr>
      <w:r>
        <w:rPr>
          <w:rFonts w:hint="eastAsia" w:ascii="仿宋" w:hAnsi="仿宋" w:eastAsia="仿宋"/>
          <w:spacing w:val="-2"/>
          <w:sz w:val="32"/>
          <w:szCs w:val="32"/>
        </w:rPr>
        <w:t>3、预决算差异的主要原因是2023年退以前年度社保78.16万元。</w:t>
      </w:r>
    </w:p>
    <w:p>
      <w:pPr>
        <w:ind w:left="640"/>
        <w:jc w:val="left"/>
        <w:rPr>
          <w:rFonts w:ascii="黑体" w:hAnsi="黑体" w:eastAsia="黑体" w:cs="黑体"/>
          <w:sz w:val="32"/>
          <w:szCs w:val="32"/>
          <w:shd w:val="clear" w:color="auto" w:fill="FFFFFF"/>
        </w:rPr>
      </w:pPr>
      <w:r>
        <w:rPr>
          <w:rFonts w:hint="eastAsia" w:ascii="黑体" w:hAnsi="黑体" w:eastAsia="黑体" w:cs="黑体"/>
          <w:sz w:val="32"/>
          <w:szCs w:val="32"/>
          <w:shd w:val="clear" w:color="auto" w:fill="FFFFFF"/>
        </w:rPr>
        <w:t>八、下一步改进措施</w:t>
      </w:r>
    </w:p>
    <w:p>
      <w:pPr>
        <w:widowControl/>
        <w:shd w:val="clear" w:color="auto" w:fill="FFFFFF"/>
        <w:spacing w:line="600" w:lineRule="atLeast"/>
        <w:ind w:firstLine="632" w:firstLineChars="200"/>
        <w:rPr>
          <w:rFonts w:ascii="仿宋" w:hAnsi="仿宋" w:eastAsia="仿宋"/>
          <w:spacing w:val="-2"/>
          <w:sz w:val="32"/>
          <w:szCs w:val="32"/>
        </w:rPr>
      </w:pPr>
      <w:r>
        <w:rPr>
          <w:rFonts w:hint="eastAsia" w:ascii="仿宋" w:hAnsi="仿宋" w:eastAsia="仿宋"/>
          <w:spacing w:val="-2"/>
          <w:sz w:val="32"/>
          <w:szCs w:val="32"/>
        </w:rPr>
        <w:t>2024年,我中心将坚持以党建为引领，充分发挥党组织的战斗堡垒作用，坚持以业务为导向，全力拓展业务规模，树立业绩目标意识，针对不同部门合理设置考核指标，奖惩分明，充分调动业务人员主动性和积极性。进一步完善财务制度，我单位遵循公开、规范、高效、负责的原则，以提高公共服务水平、效率和公众满意度为目标，积极落实四项制度，切实提高了中心工作效率，进一步完善作风建设；着力开拓交通系统岗位培训业务及市场，着力提升12328监督平台服务水平。</w:t>
      </w:r>
    </w:p>
    <w:p>
      <w:pPr>
        <w:pStyle w:val="13"/>
        <w:jc w:val="center"/>
        <w:rPr>
          <w:sz w:val="72"/>
          <w:szCs w:val="72"/>
        </w:rPr>
      </w:pPr>
    </w:p>
    <w:p>
      <w:pPr>
        <w:pStyle w:val="13"/>
        <w:jc w:val="center"/>
        <w:rPr>
          <w:sz w:val="72"/>
          <w:szCs w:val="72"/>
        </w:rPr>
      </w:pPr>
    </w:p>
    <w:p>
      <w:pPr>
        <w:jc w:val="left"/>
        <w:rPr>
          <w:rFonts w:cs="黑体" w:asciiTheme="minorEastAsia" w:hAnsiTheme="minorEastAsia"/>
          <w:color w:val="000000"/>
          <w:kern w:val="0"/>
          <w:sz w:val="32"/>
          <w:szCs w:val="32"/>
        </w:rPr>
      </w:pPr>
    </w:p>
    <w:sectPr>
      <w:pgSz w:w="11906" w:h="16838"/>
      <w:pgMar w:top="1440" w:right="1418" w:bottom="1440" w:left="1418" w:header="851" w:footer="992" w:gutter="0"/>
      <w:cols w:space="425"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Nimbus Roman No9 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Nimbus Roman No9 L">
    <w:panose1 w:val="00000000000000000000"/>
    <w:charset w:val="00"/>
    <w:family w:val="auto"/>
    <w:pitch w:val="default"/>
    <w:sig w:usb0="00000000" w:usb1="00000000" w:usb2="00000000" w:usb3="00000000" w:csb0="00000000" w:csb1="00000000"/>
  </w:font>
  <w:font w:name="Calibri">
    <w:altName w:val="DejaVu Sans"/>
    <w:panose1 w:val="020F0502020204030204"/>
    <w:charset w:val="00"/>
    <w:family w:val="swiss"/>
    <w:pitch w:val="default"/>
    <w:sig w:usb0="00000000" w:usb1="00000000" w:usb2="00000001" w:usb3="00000000" w:csb0="0000019F" w:csb1="00000000"/>
  </w:font>
  <w:font w:name="DejaVu Sans">
    <w:panose1 w:val="020B0603030804020204"/>
    <w:charset w:val="00"/>
    <w:family w:val="auto"/>
    <w:pitch w:val="default"/>
    <w:sig w:usb0="E7006EFF" w:usb1="D200FDFF" w:usb2="0A246029" w:usb3="0400200C" w:csb0="600001FF" w:csb1="DFFF0000"/>
  </w:font>
  <w:font w:name="方正书宋_GBK">
    <w:panose1 w:val="02000000000000000000"/>
    <w:charset w:val="86"/>
    <w:family w:val="auto"/>
    <w:pitch w:val="default"/>
    <w:sig w:usb0="00000001" w:usb1="08000000" w:usb2="00000000" w:usb3="00000000" w:csb0="00040000" w:csb1="00000000"/>
  </w:font>
  <w:font w:name="楷体">
    <w:panose1 w:val="02010609060101010101"/>
    <w:charset w:val="86"/>
    <w:family w:val="modern"/>
    <w:pitch w:val="default"/>
    <w:sig w:usb0="800002BF" w:usb1="38CF7CFA" w:usb2="00000016" w:usb3="00000000" w:csb0="00040001" w:csb1="00000000"/>
  </w:font>
  <w:font w:name="方正小标宋_GBK">
    <w:panose1 w:val="02000000000000000000"/>
    <w:charset w:val="86"/>
    <w:family w:val="script"/>
    <w:pitch w:val="default"/>
    <w:sig w:usb0="A00002BF" w:usb1="38CF7CFA" w:usb2="00082016" w:usb3="00000000" w:csb0="00040001" w:csb1="00000000"/>
  </w:font>
  <w:font w:name="仿宋">
    <w:panose1 w:val="02010609060101010101"/>
    <w:charset w:val="86"/>
    <w:family w:val="modern"/>
    <w:pitch w:val="default"/>
    <w:sig w:usb0="800002BF" w:usb1="38CF7CFA" w:usb2="00000016" w:usb3="00000000" w:csb0="00040001" w:csb1="00000000"/>
  </w:font>
  <w:font w:name="仿宋_GB2312">
    <w:panose1 w:val="02010609030101010101"/>
    <w:charset w:val="86"/>
    <w:family w:val="auto"/>
    <w:pitch w:val="default"/>
    <w:sig w:usb0="00000001" w:usb1="080E0000" w:usb2="00000000" w:usb3="00000000" w:csb0="00040000" w:csb1="00000000"/>
  </w:font>
  <w:font w:name="微软雅黑">
    <w:altName w:val="黑体"/>
    <w:panose1 w:val="020B0503020204020204"/>
    <w:charset w:val="86"/>
    <w:family w:val="swiss"/>
    <w:pitch w:val="default"/>
    <w:sig w:usb0="00000000" w:usb1="00000000" w:usb2="00000016" w:usb3="00000000" w:csb0="0004001F" w:csb1="00000000"/>
  </w:font>
  <w:font w:name="MS Mincho">
    <w:altName w:val="Droid Sans Japanese"/>
    <w:panose1 w:val="02020609040205080304"/>
    <w:charset w:val="80"/>
    <w:family w:val="modern"/>
    <w:pitch w:val="default"/>
    <w:sig w:usb0="00000000" w:usb1="00000000" w:usb2="00000012" w:usb3="00000000" w:csb0="4002009F" w:csb1="DFD70000"/>
  </w:font>
  <w:font w:name="Droid Sans Japanese">
    <w:panose1 w:val="020B0502000000000001"/>
    <w:charset w:val="00"/>
    <w:family w:val="auto"/>
    <w:pitch w:val="default"/>
    <w:sig w:usb0="80000000" w:usb1="08070000" w:usb2="00000010" w:usb3="00000000" w:csb0="00000001" w:csb1="00000000"/>
  </w:font>
  <w:font w:name="DejaVu Math TeX Gyre">
    <w:panose1 w:val="02000503000000000000"/>
    <w:charset w:val="00"/>
    <w:family w:val="auto"/>
    <w:pitch w:val="default"/>
    <w:sig w:usb0="A10000EF" w:usb1="4201F9EE" w:usb2="02000000" w:usb3="00000000" w:csb0="60000193" w:csb1="0DD4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E4B89E8"/>
    <w:multiLevelType w:val="singleLevel"/>
    <w:tmpl w:val="9E4B89E8"/>
    <w:lvl w:ilvl="0" w:tentative="0">
      <w:start w:val="3"/>
      <w:numFmt w:val="chineseCounting"/>
      <w:suff w:val="nothing"/>
      <w:lvlText w:val="%1、"/>
      <w:lvlJc w:val="left"/>
      <w:rPr>
        <w:rFonts w:hint="eastAsia"/>
      </w:rPr>
    </w:lvl>
  </w:abstractNum>
  <w:abstractNum w:abstractNumId="1">
    <w:nsid w:val="373518C1"/>
    <w:multiLevelType w:val="multilevel"/>
    <w:tmpl w:val="373518C1"/>
    <w:lvl w:ilvl="0" w:tentative="0">
      <w:start w:val="1"/>
      <w:numFmt w:val="none"/>
      <w:lvlText w:val="一、"/>
      <w:lvlJc w:val="left"/>
      <w:pPr>
        <w:ind w:left="720" w:hanging="7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70"/>
  <w:bordersDoNotSurroundHeader w:val="1"/>
  <w:bordersDoNotSurroundFooter w:val="1"/>
  <w:documentProtection w:enforcement="0"/>
  <w:defaultTabStop w:val="420"/>
  <w:drawingGridHorizontalSpacing w:val="105"/>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docVars>
    <w:docVar w:name="commondata" w:val="eyJoZGlkIjoiMTViMmJmNTQyOWU3YmVmYmExYjY0MzJjM2QzZWQ1NWQifQ=="/>
  </w:docVars>
  <w:rsids>
    <w:rsidRoot w:val="004506F9"/>
    <w:rsid w:val="0002229B"/>
    <w:rsid w:val="000273BD"/>
    <w:rsid w:val="00040CBC"/>
    <w:rsid w:val="000415B7"/>
    <w:rsid w:val="00041E3F"/>
    <w:rsid w:val="00055DAA"/>
    <w:rsid w:val="00061F7B"/>
    <w:rsid w:val="000658A3"/>
    <w:rsid w:val="00074155"/>
    <w:rsid w:val="000A07F5"/>
    <w:rsid w:val="000A3F69"/>
    <w:rsid w:val="00103957"/>
    <w:rsid w:val="00152C6D"/>
    <w:rsid w:val="00162D39"/>
    <w:rsid w:val="001678BD"/>
    <w:rsid w:val="00182373"/>
    <w:rsid w:val="001A67DB"/>
    <w:rsid w:val="001B1CEB"/>
    <w:rsid w:val="001B6093"/>
    <w:rsid w:val="001B7A5B"/>
    <w:rsid w:val="001C3C29"/>
    <w:rsid w:val="001D51E5"/>
    <w:rsid w:val="001E080D"/>
    <w:rsid w:val="001E53D0"/>
    <w:rsid w:val="001F0C3B"/>
    <w:rsid w:val="00202C82"/>
    <w:rsid w:val="00214427"/>
    <w:rsid w:val="00226CB7"/>
    <w:rsid w:val="00264552"/>
    <w:rsid w:val="00264EF9"/>
    <w:rsid w:val="00265724"/>
    <w:rsid w:val="0027426B"/>
    <w:rsid w:val="002B3CFD"/>
    <w:rsid w:val="002E0A30"/>
    <w:rsid w:val="003130C4"/>
    <w:rsid w:val="00316C4B"/>
    <w:rsid w:val="0032192B"/>
    <w:rsid w:val="003479BD"/>
    <w:rsid w:val="0037197D"/>
    <w:rsid w:val="003768D5"/>
    <w:rsid w:val="003926B9"/>
    <w:rsid w:val="003C47E6"/>
    <w:rsid w:val="003C4FC2"/>
    <w:rsid w:val="00416E61"/>
    <w:rsid w:val="0042790C"/>
    <w:rsid w:val="004506F9"/>
    <w:rsid w:val="004717A2"/>
    <w:rsid w:val="00473DF3"/>
    <w:rsid w:val="00487911"/>
    <w:rsid w:val="00491741"/>
    <w:rsid w:val="004B0CEE"/>
    <w:rsid w:val="004F7699"/>
    <w:rsid w:val="00500E5F"/>
    <w:rsid w:val="005122EF"/>
    <w:rsid w:val="0051441A"/>
    <w:rsid w:val="00517C33"/>
    <w:rsid w:val="00517D5F"/>
    <w:rsid w:val="005214FA"/>
    <w:rsid w:val="00523644"/>
    <w:rsid w:val="0054069E"/>
    <w:rsid w:val="00544866"/>
    <w:rsid w:val="005767CC"/>
    <w:rsid w:val="00590D9F"/>
    <w:rsid w:val="00595D26"/>
    <w:rsid w:val="005A74E6"/>
    <w:rsid w:val="005B3362"/>
    <w:rsid w:val="005B404E"/>
    <w:rsid w:val="005D019E"/>
    <w:rsid w:val="005D4D55"/>
    <w:rsid w:val="005E2CFB"/>
    <w:rsid w:val="005F2103"/>
    <w:rsid w:val="005F3D1C"/>
    <w:rsid w:val="00613035"/>
    <w:rsid w:val="0062378F"/>
    <w:rsid w:val="00641842"/>
    <w:rsid w:val="00651EEC"/>
    <w:rsid w:val="00686673"/>
    <w:rsid w:val="00691E8C"/>
    <w:rsid w:val="006A22C4"/>
    <w:rsid w:val="006A351B"/>
    <w:rsid w:val="006B0422"/>
    <w:rsid w:val="006C1B53"/>
    <w:rsid w:val="006D7730"/>
    <w:rsid w:val="006E508A"/>
    <w:rsid w:val="006E5284"/>
    <w:rsid w:val="006F3EB5"/>
    <w:rsid w:val="00702E34"/>
    <w:rsid w:val="00704395"/>
    <w:rsid w:val="00710FE7"/>
    <w:rsid w:val="00717621"/>
    <w:rsid w:val="00720FF1"/>
    <w:rsid w:val="00727A53"/>
    <w:rsid w:val="00787B42"/>
    <w:rsid w:val="007C4539"/>
    <w:rsid w:val="007F3657"/>
    <w:rsid w:val="00812ED5"/>
    <w:rsid w:val="008277D9"/>
    <w:rsid w:val="0084478C"/>
    <w:rsid w:val="0086638C"/>
    <w:rsid w:val="00891DC0"/>
    <w:rsid w:val="008A3E8D"/>
    <w:rsid w:val="009237C4"/>
    <w:rsid w:val="00944C48"/>
    <w:rsid w:val="00950252"/>
    <w:rsid w:val="00967F5D"/>
    <w:rsid w:val="009A0F95"/>
    <w:rsid w:val="009B3ADF"/>
    <w:rsid w:val="009C3B52"/>
    <w:rsid w:val="009E6817"/>
    <w:rsid w:val="009E6E9A"/>
    <w:rsid w:val="00A01D2B"/>
    <w:rsid w:val="00A42218"/>
    <w:rsid w:val="00A70249"/>
    <w:rsid w:val="00A70B02"/>
    <w:rsid w:val="00A71D9F"/>
    <w:rsid w:val="00A871B3"/>
    <w:rsid w:val="00A92E9F"/>
    <w:rsid w:val="00A97E92"/>
    <w:rsid w:val="00AB18FF"/>
    <w:rsid w:val="00AB7DD1"/>
    <w:rsid w:val="00AC7951"/>
    <w:rsid w:val="00B33BEA"/>
    <w:rsid w:val="00B517EB"/>
    <w:rsid w:val="00B57C9F"/>
    <w:rsid w:val="00B63572"/>
    <w:rsid w:val="00B845B3"/>
    <w:rsid w:val="00B85D8B"/>
    <w:rsid w:val="00BB4A40"/>
    <w:rsid w:val="00BD6C3E"/>
    <w:rsid w:val="00BE3674"/>
    <w:rsid w:val="00C10681"/>
    <w:rsid w:val="00C3049A"/>
    <w:rsid w:val="00C31B1E"/>
    <w:rsid w:val="00C31CE3"/>
    <w:rsid w:val="00C65232"/>
    <w:rsid w:val="00C73606"/>
    <w:rsid w:val="00C77645"/>
    <w:rsid w:val="00CE04C3"/>
    <w:rsid w:val="00CE76A0"/>
    <w:rsid w:val="00D148C6"/>
    <w:rsid w:val="00D17A8A"/>
    <w:rsid w:val="00D415BA"/>
    <w:rsid w:val="00D63780"/>
    <w:rsid w:val="00D644EE"/>
    <w:rsid w:val="00D817AE"/>
    <w:rsid w:val="00DD06FF"/>
    <w:rsid w:val="00DD5FE9"/>
    <w:rsid w:val="00DF3446"/>
    <w:rsid w:val="00E00C7A"/>
    <w:rsid w:val="00E37D6C"/>
    <w:rsid w:val="00E55507"/>
    <w:rsid w:val="00E55B68"/>
    <w:rsid w:val="00E561AE"/>
    <w:rsid w:val="00E619E1"/>
    <w:rsid w:val="00E6352C"/>
    <w:rsid w:val="00E67BE6"/>
    <w:rsid w:val="00E8683C"/>
    <w:rsid w:val="00EA2B72"/>
    <w:rsid w:val="00F14127"/>
    <w:rsid w:val="00F74360"/>
    <w:rsid w:val="00FB462F"/>
    <w:rsid w:val="00FE16FA"/>
    <w:rsid w:val="00FE328A"/>
    <w:rsid w:val="00FE6269"/>
    <w:rsid w:val="00FF5CD6"/>
    <w:rsid w:val="17222415"/>
    <w:rsid w:val="1D97DEFF"/>
    <w:rsid w:val="1DFF72E5"/>
    <w:rsid w:val="1EFC6F07"/>
    <w:rsid w:val="2BFFC350"/>
    <w:rsid w:val="2FDF85B8"/>
    <w:rsid w:val="2FFFEE04"/>
    <w:rsid w:val="34DF85B0"/>
    <w:rsid w:val="3B8F36BC"/>
    <w:rsid w:val="491FF225"/>
    <w:rsid w:val="4B4734B2"/>
    <w:rsid w:val="4FFD214C"/>
    <w:rsid w:val="5777D4F5"/>
    <w:rsid w:val="59DD8326"/>
    <w:rsid w:val="5BBB8F2F"/>
    <w:rsid w:val="5CB85FBE"/>
    <w:rsid w:val="5DEF592A"/>
    <w:rsid w:val="5FC6BB1E"/>
    <w:rsid w:val="5FF720F1"/>
    <w:rsid w:val="67FF5C0B"/>
    <w:rsid w:val="6EFC0924"/>
    <w:rsid w:val="6FB74722"/>
    <w:rsid w:val="6FEF8B7E"/>
    <w:rsid w:val="71A6591B"/>
    <w:rsid w:val="737D59BA"/>
    <w:rsid w:val="77C37683"/>
    <w:rsid w:val="79FF515B"/>
    <w:rsid w:val="7E9E1962"/>
    <w:rsid w:val="7E9F11B4"/>
    <w:rsid w:val="7F37EC1E"/>
    <w:rsid w:val="7F7DCD9D"/>
    <w:rsid w:val="7F970A6F"/>
    <w:rsid w:val="7FC1FFF3"/>
    <w:rsid w:val="7FC69637"/>
    <w:rsid w:val="7FDF8620"/>
    <w:rsid w:val="7FFB242F"/>
    <w:rsid w:val="7FFDB408"/>
    <w:rsid w:val="7FFE4EEB"/>
    <w:rsid w:val="95FB2B98"/>
    <w:rsid w:val="9A639BC2"/>
    <w:rsid w:val="9FF7D786"/>
    <w:rsid w:val="ABBFB23D"/>
    <w:rsid w:val="B7FDF662"/>
    <w:rsid w:val="C3B4DA5A"/>
    <w:rsid w:val="CBFF70E0"/>
    <w:rsid w:val="CFF50B82"/>
    <w:rsid w:val="CFFFAD89"/>
    <w:rsid w:val="DFFE359E"/>
    <w:rsid w:val="DFFE4FFD"/>
    <w:rsid w:val="EEABED75"/>
    <w:rsid w:val="F56FDF51"/>
    <w:rsid w:val="F6B69F17"/>
    <w:rsid w:val="F77F1D61"/>
    <w:rsid w:val="F7FED3A9"/>
    <w:rsid w:val="F8C9DB26"/>
    <w:rsid w:val="F97E8EAE"/>
    <w:rsid w:val="FB36E1A6"/>
    <w:rsid w:val="FB3BE134"/>
    <w:rsid w:val="FCFF4275"/>
    <w:rsid w:val="FD7FEEEA"/>
    <w:rsid w:val="FDFFB577"/>
    <w:rsid w:val="FEEA50FE"/>
    <w:rsid w:val="FF7D47A9"/>
    <w:rsid w:val="FFCF21CB"/>
    <w:rsid w:val="FFF3FF31"/>
    <w:rsid w:val="FFFF1C8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qFormat="1" w:unhideWhenUsed="0" w:uiPriority="0"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qFormat="1"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iPriority="99"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10">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2">
    <w:name w:val="footnote text"/>
    <w:basedOn w:val="1"/>
    <w:next w:val="3"/>
    <w:semiHidden/>
    <w:qFormat/>
    <w:uiPriority w:val="0"/>
    <w:pPr>
      <w:snapToGrid w:val="0"/>
      <w:jc w:val="left"/>
    </w:pPr>
    <w:rPr>
      <w:sz w:val="18"/>
      <w:szCs w:val="18"/>
    </w:rPr>
  </w:style>
  <w:style w:type="paragraph" w:styleId="3">
    <w:name w:val="Body Text First Indent 2"/>
    <w:basedOn w:val="4"/>
    <w:next w:val="1"/>
    <w:unhideWhenUsed/>
    <w:qFormat/>
    <w:uiPriority w:val="99"/>
    <w:pPr>
      <w:ind w:firstLine="420" w:firstLineChars="200"/>
    </w:pPr>
  </w:style>
  <w:style w:type="paragraph" w:styleId="4">
    <w:name w:val="Body Text Indent"/>
    <w:basedOn w:val="1"/>
    <w:next w:val="5"/>
    <w:unhideWhenUsed/>
    <w:qFormat/>
    <w:uiPriority w:val="99"/>
    <w:pPr>
      <w:widowControl/>
      <w:spacing w:after="120"/>
      <w:ind w:left="420" w:leftChars="200"/>
      <w:jc w:val="left"/>
    </w:pPr>
    <w:rPr>
      <w:rFonts w:ascii="宋体" w:hAnsi="宋体" w:eastAsia="宋体" w:cs="宋体"/>
      <w:kern w:val="0"/>
      <w:sz w:val="24"/>
    </w:rPr>
  </w:style>
  <w:style w:type="paragraph" w:styleId="5">
    <w:name w:val="Normal Indent"/>
    <w:basedOn w:val="1"/>
    <w:qFormat/>
    <w:uiPriority w:val="0"/>
    <w:pPr>
      <w:ind w:firstLine="200" w:firstLineChars="200"/>
    </w:pPr>
  </w:style>
  <w:style w:type="paragraph" w:styleId="6">
    <w:name w:val="Balloon Text"/>
    <w:basedOn w:val="1"/>
    <w:link w:val="15"/>
    <w:semiHidden/>
    <w:unhideWhenUsed/>
    <w:qFormat/>
    <w:uiPriority w:val="99"/>
    <w:rPr>
      <w:sz w:val="18"/>
      <w:szCs w:val="18"/>
    </w:rPr>
  </w:style>
  <w:style w:type="paragraph" w:styleId="7">
    <w:name w:val="footer"/>
    <w:basedOn w:val="1"/>
    <w:link w:val="12"/>
    <w:unhideWhenUsed/>
    <w:qFormat/>
    <w:uiPriority w:val="99"/>
    <w:pPr>
      <w:tabs>
        <w:tab w:val="center" w:pos="4153"/>
        <w:tab w:val="right" w:pos="8306"/>
      </w:tabs>
      <w:snapToGrid w:val="0"/>
      <w:jc w:val="left"/>
    </w:pPr>
    <w:rPr>
      <w:sz w:val="18"/>
      <w:szCs w:val="18"/>
    </w:rPr>
  </w:style>
  <w:style w:type="paragraph" w:styleId="8">
    <w:name w:val="header"/>
    <w:basedOn w:val="1"/>
    <w:link w:val="11"/>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11">
    <w:name w:val="页眉 Char"/>
    <w:basedOn w:val="10"/>
    <w:link w:val="8"/>
    <w:qFormat/>
    <w:uiPriority w:val="99"/>
    <w:rPr>
      <w:sz w:val="18"/>
      <w:szCs w:val="18"/>
    </w:rPr>
  </w:style>
  <w:style w:type="character" w:customStyle="1" w:styleId="12">
    <w:name w:val="页脚 Char"/>
    <w:basedOn w:val="10"/>
    <w:link w:val="7"/>
    <w:qFormat/>
    <w:uiPriority w:val="99"/>
    <w:rPr>
      <w:sz w:val="18"/>
      <w:szCs w:val="18"/>
    </w:rPr>
  </w:style>
  <w:style w:type="paragraph" w:customStyle="1" w:styleId="13">
    <w:name w:val="Default"/>
    <w:qFormat/>
    <w:uiPriority w:val="0"/>
    <w:pPr>
      <w:widowControl w:val="0"/>
      <w:autoSpaceDE w:val="0"/>
      <w:autoSpaceDN w:val="0"/>
      <w:adjustRightInd w:val="0"/>
    </w:pPr>
    <w:rPr>
      <w:rFonts w:ascii="黑体" w:eastAsia="黑体" w:cs="黑体" w:hAnsiTheme="minorHAnsi"/>
      <w:color w:val="000000"/>
      <w:sz w:val="24"/>
      <w:szCs w:val="24"/>
      <w:lang w:val="en-US" w:eastAsia="zh-CN" w:bidi="ar-SA"/>
    </w:rPr>
  </w:style>
  <w:style w:type="paragraph" w:styleId="14">
    <w:name w:val="List Paragraph"/>
    <w:basedOn w:val="1"/>
    <w:qFormat/>
    <w:uiPriority w:val="34"/>
    <w:pPr>
      <w:ind w:firstLine="420" w:firstLineChars="200"/>
    </w:pPr>
  </w:style>
  <w:style w:type="character" w:customStyle="1" w:styleId="15">
    <w:name w:val="批注框文本 Char"/>
    <w:basedOn w:val="10"/>
    <w:link w:val="6"/>
    <w:semiHidden/>
    <w:qFormat/>
    <w:uiPriority w:val="99"/>
    <w:rPr>
      <w:sz w:val="18"/>
      <w:szCs w:val="18"/>
    </w:rPr>
  </w:style>
  <w:style w:type="character" w:customStyle="1" w:styleId="16">
    <w:name w:val="font01"/>
    <w:basedOn w:val="10"/>
    <w:qFormat/>
    <w:uiPriority w:val="0"/>
    <w:rPr>
      <w:rFonts w:hint="eastAsia" w:ascii="宋体" w:hAnsi="宋体" w:eastAsia="宋体" w:cs="宋体"/>
      <w:color w:val="000000"/>
      <w:sz w:val="22"/>
      <w:szCs w:val="22"/>
      <w:u w:val="none"/>
    </w:rPr>
  </w:style>
  <w:style w:type="character" w:customStyle="1" w:styleId="17">
    <w:name w:val="font21"/>
    <w:basedOn w:val="10"/>
    <w:qFormat/>
    <w:uiPriority w:val="0"/>
    <w:rPr>
      <w:rFonts w:hint="eastAsia" w:ascii="宋体" w:hAnsi="宋体" w:eastAsia="宋体" w:cs="宋体"/>
      <w:color w:val="000000"/>
      <w:sz w:val="24"/>
      <w:szCs w:val="24"/>
      <w:u w:val="none"/>
    </w:rPr>
  </w:style>
  <w:style w:type="character" w:customStyle="1" w:styleId="18">
    <w:name w:val="font11"/>
    <w:basedOn w:val="10"/>
    <w:qFormat/>
    <w:uiPriority w:val="0"/>
    <w:rPr>
      <w:rFonts w:hint="eastAsia" w:ascii="宋体" w:hAnsi="宋体" w:eastAsia="宋体" w:cs="宋体"/>
      <w:color w:val="000000"/>
      <w:sz w:val="24"/>
      <w:szCs w:val="24"/>
      <w:u w:val="none"/>
    </w:rPr>
  </w:style>
  <w:style w:type="paragraph" w:customStyle="1" w:styleId="19">
    <w:name w:val="p"/>
    <w:basedOn w:val="1"/>
    <w:qFormat/>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20">
    <w:name w:val="19"/>
    <w:basedOn w:val="1"/>
    <w:qFormat/>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21">
    <w:name w:val="x-scope"/>
    <w:basedOn w:val="1"/>
    <w:qFormat/>
    <w:uiPriority w:val="0"/>
    <w:pPr>
      <w:widowControl/>
      <w:spacing w:before="100" w:beforeAutospacing="1" w:after="100" w:afterAutospacing="1"/>
      <w:jc w:val="left"/>
    </w:pPr>
    <w:rPr>
      <w:rFonts w:ascii="宋体" w:hAnsi="宋体" w:eastAsia="宋体" w:cs="宋体"/>
      <w:kern w:val="0"/>
      <w:sz w:val="24"/>
      <w:szCs w:val="24"/>
    </w:rPr>
  </w:style>
  <w:style w:type="character" w:customStyle="1" w:styleId="22">
    <w:name w:val="qowt-font13"/>
    <w:basedOn w:val="10"/>
    <w:qFormat/>
    <w:uiPriority w:val="0"/>
  </w:style>
  <w:style w:type="character" w:customStyle="1" w:styleId="23">
    <w:name w:val="qowt-font14"/>
    <w:basedOn w:val="10"/>
    <w:qFormat/>
    <w:uiPriority w:val="0"/>
  </w:style>
  <w:style w:type="paragraph" w:customStyle="1" w:styleId="24">
    <w:name w:val="qowt-li-0_0"/>
    <w:basedOn w:val="1"/>
    <w:qFormat/>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25">
    <w:name w:val="qowt-stl-10"/>
    <w:basedOn w:val="1"/>
    <w:qFormat/>
    <w:uiPriority w:val="0"/>
    <w:pPr>
      <w:widowControl/>
      <w:spacing w:before="100" w:beforeAutospacing="1" w:after="100" w:afterAutospacing="1"/>
      <w:jc w:val="left"/>
    </w:pPr>
    <w:rPr>
      <w:rFonts w:ascii="宋体" w:hAnsi="宋体" w:eastAsia="宋体" w:cs="宋体"/>
      <w:kern w:val="0"/>
      <w:sz w:val="24"/>
      <w:szCs w:val="24"/>
    </w:rPr>
  </w:style>
  <w:style w:type="character" w:customStyle="1" w:styleId="26">
    <w:name w:val="qowt-font11-gb2312"/>
    <w:basedOn w:val="10"/>
    <w:qFormat/>
    <w:uiPriority w:val="0"/>
  </w:style>
  <w:style w:type="paragraph" w:customStyle="1" w:styleId="27">
    <w:name w:val="qowt-li-1_0"/>
    <w:basedOn w:val="1"/>
    <w:qFormat/>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28">
    <w:name w:val="20"/>
    <w:basedOn w:val="1"/>
    <w:qFormat/>
    <w:uiPriority w:val="0"/>
    <w:pPr>
      <w:widowControl/>
      <w:spacing w:before="100" w:beforeAutospacing="1" w:after="100" w:afterAutospacing="1"/>
      <w:jc w:val="left"/>
    </w:pPr>
    <w:rPr>
      <w:rFonts w:ascii="宋体" w:hAnsi="宋体" w:eastAsia="宋体" w:cs="宋体"/>
      <w:kern w:val="0"/>
      <w:sz w:val="24"/>
      <w:szCs w:val="24"/>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21</Pages>
  <Words>5040</Words>
  <Characters>5486</Characters>
  <Lines>41</Lines>
  <Paragraphs>11</Paragraphs>
  <TotalTime>1</TotalTime>
  <ScaleCrop>false</ScaleCrop>
  <LinksUpToDate>false</LinksUpToDate>
  <CharactersWithSpaces>5501</CharactersWithSpaces>
  <Application>WPS Office_11.8.2.1126_F1E327BC-269C-435d-A152-05C5408002CA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2020-07-08T10:32:00Z</dcterms:created>
  <dc:creator>李航 null</dc:creator>
  <cp:lastModifiedBy>greatwall</cp:lastModifiedBy>
  <cp:lastPrinted>2024-08-08T18:20:00Z</cp:lastPrinted>
  <dcterms:modified xsi:type="dcterms:W3CDTF">2024-09-26T15:30:21Z</dcterms:modified>
  <cp:revision>76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2052-11.8.2.1126</vt:lpwstr>
  </property>
  <property fmtid="{D5CDD505-2E9C-101B-9397-08002B2CF9AE}" pid="3" name="ICV">
    <vt:lpwstr>1DA82FFCC47E4B2B81052A9F87BF5AE9_12</vt:lpwstr>
  </property>
</Properties>
</file>