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HLwJlDWAAAACgEAAA8AAAAAAAAAAQAgAAAAOAAAAGRycy9kb3ducmV2Lnht&#10;bFBLAQIUABQAAAAIAIdO4kBHv5PHVwIAAJoEAAAOAAAAAAAAAAEAIAAAADsBAABkcnMvZTJvRG9j&#10;LnhtbFBLBQYAAAAABgAGAFkBAAAEBgAAAAA=&#10;">
                <v:fill on="t" focussize="0,0"/>
                <v:stroke on="f" weight="0.5pt"/>
                <v:imagedata o:title=""/>
                <o:lock v:ext="edit" aspectratio="f"/>
                <v:textbox>
                  <w:txbxContent>
                    <w:p>
                      <w:pPr>
                        <w:rPr>
                          <w:rFonts w:hint="eastAsia" w:ascii="楷体" w:hAnsi="楷体" w:eastAsia="楷体" w:cs="楷体"/>
                          <w:sz w:val="30"/>
                          <w:szCs w:val="30"/>
                          <w:lang w:val="en-US" w:eastAsia="zh-CN"/>
                        </w:rPr>
                      </w:pPr>
                    </w:p>
                  </w:txbxContent>
                </v:textbox>
              </v:shape>
            </w:pict>
          </mc:Fallback>
        </mc:AlternateContent>
      </w:r>
    </w:p>
    <w:p>
      <w:pPr>
        <w:pStyle w:val="15"/>
        <w:jc w:val="center"/>
        <w:rPr>
          <w:sz w:val="56"/>
          <w:szCs w:val="56"/>
        </w:rPr>
      </w:pPr>
    </w:p>
    <w:p>
      <w:pPr>
        <w:pStyle w:val="15"/>
        <w:jc w:val="center"/>
        <w:rPr>
          <w:sz w:val="84"/>
          <w:szCs w:val="84"/>
        </w:rPr>
      </w:pPr>
    </w:p>
    <w:p>
      <w:pPr>
        <w:pStyle w:val="15"/>
        <w:jc w:val="center"/>
        <w:rPr>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怀化市交通运输局</w:t>
      </w:r>
      <w:r>
        <w:rPr>
          <w:rFonts w:hint="eastAsia" w:ascii="方正小标宋_GBK" w:hAnsi="方正小标宋_GBK" w:eastAsia="方正小标宋_GBK" w:cs="方正小标宋_GBK"/>
          <w:sz w:val="84"/>
          <w:szCs w:val="84"/>
        </w:rPr>
        <w:t>决算</w:t>
      </w:r>
    </w:p>
    <w:p>
      <w:pPr>
        <w:pStyle w:val="15"/>
        <w:jc w:val="center"/>
        <w:rPr>
          <w:rFonts w:hint="eastAsia" w:ascii="方正小标宋_GBK" w:hAnsi="方正小标宋_GBK" w:eastAsia="方正小标宋_GBK" w:cs="方正小标宋_GBK"/>
          <w:sz w:val="56"/>
          <w:szCs w:val="56"/>
        </w:rPr>
      </w:pPr>
    </w:p>
    <w:p>
      <w:pPr>
        <w:pStyle w:val="15"/>
        <w:jc w:val="center"/>
        <w:rPr>
          <w:sz w:val="56"/>
          <w:szCs w:val="56"/>
        </w:rPr>
      </w:pPr>
    </w:p>
    <w:p>
      <w:pPr>
        <w:pStyle w:val="15"/>
        <w:jc w:val="center"/>
        <w:rPr>
          <w:sz w:val="56"/>
          <w:szCs w:val="56"/>
        </w:rPr>
      </w:pPr>
    </w:p>
    <w:p>
      <w:pPr>
        <w:pStyle w:val="15"/>
        <w:jc w:val="center"/>
        <w:rPr>
          <w:sz w:val="56"/>
          <w:szCs w:val="56"/>
        </w:rPr>
      </w:pPr>
    </w:p>
    <w:p>
      <w:pPr>
        <w:pStyle w:val="15"/>
        <w:jc w:val="center"/>
        <w:rPr>
          <w:sz w:val="32"/>
          <w:szCs w:val="32"/>
        </w:rPr>
      </w:pPr>
    </w:p>
    <w:p>
      <w:pPr>
        <w:pStyle w:val="15"/>
        <w:jc w:val="center"/>
        <w:rPr>
          <w:sz w:val="32"/>
          <w:szCs w:val="32"/>
        </w:rPr>
      </w:pPr>
    </w:p>
    <w:p>
      <w:pPr>
        <w:pStyle w:val="15"/>
        <w:jc w:val="center"/>
        <w:rPr>
          <w:sz w:val="32"/>
          <w:szCs w:val="32"/>
        </w:rPr>
      </w:pPr>
    </w:p>
    <w:p>
      <w:pPr>
        <w:pStyle w:val="15"/>
        <w:jc w:val="center"/>
        <w:rPr>
          <w:sz w:val="32"/>
          <w:szCs w:val="32"/>
        </w:rPr>
      </w:pPr>
    </w:p>
    <w:p>
      <w:pPr>
        <w:pStyle w:val="15"/>
        <w:jc w:val="center"/>
        <w:rPr>
          <w:sz w:val="32"/>
          <w:szCs w:val="32"/>
        </w:rPr>
      </w:pPr>
    </w:p>
    <w:p>
      <w:pPr>
        <w:pStyle w:val="15"/>
        <w:spacing w:line="540" w:lineRule="exact"/>
        <w:jc w:val="center"/>
        <w:rPr>
          <w:sz w:val="56"/>
          <w:szCs w:val="56"/>
        </w:rPr>
      </w:pPr>
    </w:p>
    <w:p>
      <w:pPr>
        <w:pStyle w:val="15"/>
        <w:spacing w:line="500" w:lineRule="exact"/>
        <w:jc w:val="both"/>
        <w:rPr>
          <w:b/>
          <w:sz w:val="36"/>
          <w:szCs w:val="28"/>
        </w:rPr>
      </w:pPr>
    </w:p>
    <w:p>
      <w:pPr>
        <w:pStyle w:val="15"/>
        <w:spacing w:line="500" w:lineRule="exact"/>
        <w:jc w:val="center"/>
        <w:rPr>
          <w:b/>
          <w:sz w:val="36"/>
          <w:szCs w:val="28"/>
        </w:rPr>
      </w:pPr>
      <w:r>
        <w:rPr>
          <w:rFonts w:hint="eastAsia"/>
          <w:b/>
          <w:sz w:val="36"/>
          <w:szCs w:val="28"/>
        </w:rPr>
        <w:t>目录</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怀化市交通运输局</w:t>
      </w:r>
      <w:r>
        <w:rPr>
          <w:rFonts w:hint="eastAsia" w:ascii="黑体" w:hAnsi="黑体" w:eastAsia="黑体" w:cs="黑体"/>
          <w:b w:val="0"/>
          <w:bCs/>
          <w:sz w:val="28"/>
          <w:szCs w:val="28"/>
        </w:rPr>
        <w:t>概况</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九、国有资本经营预算财政拨款收入支出决算情况说明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十</w:t>
      </w:r>
      <w:r>
        <w:rPr>
          <w:rFonts w:hint="eastAsia" w:ascii="仿宋_GB2312" w:hAnsi="仿宋_GB2312" w:eastAsia="仿宋_GB2312" w:cs="仿宋_GB2312"/>
          <w:color w:val="auto"/>
          <w:kern w:val="0"/>
          <w:sz w:val="28"/>
          <w:szCs w:val="28"/>
        </w:rPr>
        <w:t>、关于机关运行经费支出说明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十</w:t>
      </w:r>
      <w:r>
        <w:rPr>
          <w:rFonts w:hint="eastAsia" w:ascii="仿宋_GB2312" w:hAnsi="仿宋_GB2312" w:eastAsia="仿宋_GB2312" w:cs="仿宋_GB2312"/>
          <w:color w:val="auto"/>
          <w:kern w:val="0"/>
          <w:sz w:val="28"/>
          <w:szCs w:val="28"/>
          <w:lang w:eastAsia="zh-CN"/>
        </w:rPr>
        <w:t>一</w:t>
      </w:r>
      <w:r>
        <w:rPr>
          <w:rFonts w:hint="eastAsia" w:ascii="仿宋_GB2312" w:hAnsi="仿宋_GB2312" w:eastAsia="仿宋_GB2312" w:cs="仿宋_GB2312"/>
          <w:color w:val="auto"/>
          <w:kern w:val="0"/>
          <w:sz w:val="28"/>
          <w:szCs w:val="28"/>
        </w:rPr>
        <w:t>、一般性支出情况说明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十</w:t>
      </w:r>
      <w:r>
        <w:rPr>
          <w:rFonts w:hint="eastAsia" w:ascii="仿宋_GB2312" w:hAnsi="仿宋_GB2312" w:eastAsia="仿宋_GB2312" w:cs="仿宋_GB2312"/>
          <w:color w:val="auto"/>
          <w:kern w:val="0"/>
          <w:sz w:val="28"/>
          <w:szCs w:val="28"/>
          <w:lang w:eastAsia="zh-CN"/>
        </w:rPr>
        <w:t>二</w:t>
      </w:r>
      <w:r>
        <w:rPr>
          <w:rFonts w:hint="eastAsia" w:ascii="仿宋_GB2312" w:hAnsi="仿宋_GB2312" w:eastAsia="仿宋_GB2312" w:cs="仿宋_GB2312"/>
          <w:color w:val="auto"/>
          <w:kern w:val="0"/>
          <w:sz w:val="28"/>
          <w:szCs w:val="28"/>
        </w:rPr>
        <w:t>、关于政府采购支出说明</w:t>
      </w:r>
    </w:p>
    <w:p>
      <w:pPr>
        <w:pStyle w:val="15"/>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w:t>
      </w:r>
      <w:r>
        <w:rPr>
          <w:rFonts w:hint="eastAsia" w:ascii="仿宋_GB2312" w:hAnsi="仿宋_GB2312" w:eastAsia="仿宋_GB2312" w:cs="仿宋_GB2312"/>
          <w:color w:val="auto"/>
          <w:sz w:val="28"/>
          <w:szCs w:val="28"/>
          <w:lang w:eastAsia="zh-CN"/>
        </w:rPr>
        <w:t>三</w:t>
      </w:r>
      <w:r>
        <w:rPr>
          <w:rFonts w:hint="eastAsia" w:ascii="仿宋_GB2312" w:hAnsi="仿宋_GB2312" w:eastAsia="仿宋_GB2312" w:cs="仿宋_GB2312"/>
          <w:color w:val="auto"/>
          <w:sz w:val="28"/>
          <w:szCs w:val="28"/>
        </w:rPr>
        <w:t>、关于国有资产占用情况说明</w:t>
      </w:r>
    </w:p>
    <w:p>
      <w:pPr>
        <w:pStyle w:val="15"/>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w:t>
      </w:r>
      <w:r>
        <w:rPr>
          <w:rFonts w:hint="eastAsia" w:ascii="仿宋_GB2312" w:hAnsi="仿宋_GB2312" w:eastAsia="仿宋_GB2312" w:cs="仿宋_GB2312"/>
          <w:color w:val="auto"/>
          <w:sz w:val="28"/>
          <w:szCs w:val="28"/>
          <w:lang w:eastAsia="zh-CN"/>
        </w:rPr>
        <w:t>四</w:t>
      </w:r>
      <w:r>
        <w:rPr>
          <w:rFonts w:hint="eastAsia" w:ascii="仿宋_GB2312" w:hAnsi="仿宋_GB2312" w:eastAsia="仿宋_GB2312" w:cs="仿宋_GB2312"/>
          <w:color w:val="auto"/>
          <w:sz w:val="28"/>
          <w:szCs w:val="28"/>
        </w:rPr>
        <w:t>、关于</w:t>
      </w:r>
      <w:r>
        <w:rPr>
          <w:rFonts w:hint="default" w:ascii="仿宋_GB2312" w:hAnsi="仿宋_GB2312" w:eastAsia="仿宋_GB2312" w:cs="仿宋_GB2312"/>
          <w:color w:val="auto"/>
          <w:sz w:val="28"/>
          <w:szCs w:val="28"/>
          <w:lang w:val="en-US"/>
        </w:rPr>
        <w:t>2023</w:t>
      </w:r>
      <w:r>
        <w:rPr>
          <w:rFonts w:hint="eastAsia" w:ascii="仿宋_GB2312" w:hAnsi="仿宋_GB2312" w:eastAsia="仿宋_GB2312" w:cs="仿宋_GB2312"/>
          <w:color w:val="auto"/>
          <w:sz w:val="28"/>
          <w:szCs w:val="28"/>
          <w:lang w:val="en-US" w:eastAsia="zh-CN"/>
        </w:rPr>
        <w:t>年度</w:t>
      </w:r>
      <w:r>
        <w:rPr>
          <w:rFonts w:hint="eastAsia" w:ascii="仿宋_GB2312" w:hAnsi="仿宋_GB2312" w:eastAsia="仿宋_GB2312" w:cs="仿宋_GB2312"/>
          <w:color w:val="auto"/>
          <w:sz w:val="28"/>
          <w:szCs w:val="28"/>
        </w:rPr>
        <w:t>预算绩效情况的说明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5"/>
        <w:spacing w:line="500" w:lineRule="exact"/>
        <w:rPr>
          <w:rFonts w:hint="eastAsia" w:hAnsi="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rPr>
          <w:rFonts w:hint="eastAsia" w:hAnsi="黑体" w:cs="黑体"/>
          <w:b w:val="0"/>
          <w:bCs/>
          <w:sz w:val="28"/>
          <w:szCs w:val="28"/>
          <w:lang w:eastAsia="zh-CN"/>
        </w:rPr>
      </w:pPr>
      <w:r>
        <w:rPr>
          <w:rFonts w:hint="eastAsia" w:hAnsi="黑体" w:cs="黑体"/>
          <w:b w:val="0"/>
          <w:bCs/>
          <w:sz w:val="28"/>
          <w:szCs w:val="28"/>
          <w:lang w:eastAsia="zh-CN"/>
        </w:rPr>
        <w:br w:type="page"/>
      </w:r>
    </w:p>
    <w:p>
      <w:pPr>
        <w:pStyle w:val="15"/>
        <w:spacing w:line="500" w:lineRule="exact"/>
        <w:rPr>
          <w:rFonts w:hint="eastAsia" w:hAnsi="黑体" w:cs="黑体"/>
          <w:b w:val="0"/>
          <w:bCs/>
          <w:sz w:val="28"/>
          <w:szCs w:val="28"/>
          <w:lang w:eastAsia="zh-CN"/>
        </w:rPr>
      </w:pPr>
    </w:p>
    <w:p>
      <w:pPr>
        <w:pStyle w:val="15"/>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怀化市交通运输局概况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pStyle w:val="16"/>
        <w:numPr>
          <w:ilvl w:val="0"/>
          <w:numId w:val="0"/>
        </w:numPr>
        <w:ind w:leftChars="0"/>
        <w:jc w:val="left"/>
        <w:rPr>
          <w:rFonts w:hint="eastAsia" w:ascii="黑体" w:hAnsi="黑体" w:eastAsia="黑体" w:cs="黑体"/>
          <w:b w:val="0"/>
          <w:bCs w:val="0"/>
          <w:sz w:val="32"/>
          <w:szCs w:val="32"/>
        </w:rPr>
      </w:pPr>
    </w:p>
    <w:p>
      <w:pPr>
        <w:pStyle w:val="16"/>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ind w:firstLine="320" w:firstLineChars="1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（一）贯彻执行国家有关交通运输的政策、法律、法规，负责交通运输执法检查和监督。</w:t>
      </w:r>
    </w:p>
    <w:p>
      <w:pPr>
        <w:ind w:firstLine="320" w:firstLineChars="1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二</w:t>
      </w:r>
      <w:r>
        <w:rPr>
          <w:rFonts w:hint="eastAsia" w:ascii="Times New Roman" w:hAnsi="Times New Roman" w:eastAsia="仿宋_GB2312" w:cs="仿宋_GB2312"/>
          <w:sz w:val="32"/>
          <w:szCs w:val="32"/>
        </w:rPr>
        <w:t>）承担涉及综合运输体系的规划协调工作，会同有关部门组织编制全市综合运输体系规划，指导交通运输枢纽规划和管理。推进全市综合交通运输体系建设，统筹规划公路、水路行业发展，建立与综合交通运输体系相适应的制度体制机制,优化交通运输主要通道和重要枢纽节点布局,促进交通运输方式融合。指导全市交通运输行业有关体制改革工作。组织拟订全市综合交通运输发展战略和政策，组织编制综合交通运输体系规划,拟订全市公路、水路发展战略、政策和规划，指导综合交通运输枢纽规划和管理。指导监督全市交通运输综合行政执法和队伍建设有关工作。</w:t>
      </w:r>
    </w:p>
    <w:p>
      <w:pPr>
        <w:ind w:firstLine="320" w:firstLineChars="1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三</w:t>
      </w:r>
      <w:r>
        <w:rPr>
          <w:rFonts w:hint="eastAsia" w:ascii="Times New Roman" w:hAnsi="Times New Roman" w:eastAsia="仿宋_GB2312" w:cs="仿宋_GB2312"/>
          <w:sz w:val="32"/>
          <w:szCs w:val="32"/>
        </w:rPr>
        <w:t>）组织拟订并监督实施全市公路、水路等行业规划、政策和标准，参与拟订物流业发展战略和规划，拟定有关政策并监督实施。</w:t>
      </w:r>
    </w:p>
    <w:p>
      <w:pPr>
        <w:ind w:firstLine="320" w:firstLineChars="1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四</w:t>
      </w:r>
      <w:r>
        <w:rPr>
          <w:rFonts w:hint="eastAsia" w:ascii="Times New Roman" w:hAnsi="Times New Roman" w:eastAsia="仿宋_GB2312" w:cs="仿宋_GB2312"/>
          <w:sz w:val="32"/>
          <w:szCs w:val="32"/>
        </w:rPr>
        <w:t>）承担道路、水路运输市场监管责任，渔船检验和监督管理职责，铁路专用线监管职责。指导全市城乡客运及有关设施规划和管理工作，指导出租车行业管理工作。指导全市重要国省道路网运行监测和应急处置协调工作,承担综合交通运输统计工作,监测分析交通运输运行情况,发布有关信息。</w:t>
      </w:r>
    </w:p>
    <w:p>
      <w:pPr>
        <w:ind w:firstLine="320" w:firstLineChars="1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五</w:t>
      </w:r>
      <w:r>
        <w:rPr>
          <w:rFonts w:hint="eastAsia" w:ascii="Times New Roman" w:hAnsi="Times New Roman" w:eastAsia="仿宋_GB2312" w:cs="仿宋_GB2312"/>
          <w:sz w:val="32"/>
          <w:szCs w:val="32"/>
        </w:rPr>
        <w:t>）负责公路路政、运政及水路、航政管理，负责道路运输、营业性客货运输站(场)、汽车维修、汽车综合性能检测、搬运装卸、道路运输服务、汽车(含摩托车)驾驶学校和驾驶员培训的行业管理。负责拟订经营性机动车营运安全标准,指导营运车辆综合性能检测管理，参与机动车报废政策、标准制定工作。</w:t>
      </w:r>
    </w:p>
    <w:p>
      <w:pPr>
        <w:ind w:firstLine="320" w:firstLineChars="1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六</w:t>
      </w:r>
      <w:r>
        <w:rPr>
          <w:rFonts w:hint="eastAsia" w:ascii="Times New Roman" w:hAnsi="Times New Roman" w:eastAsia="仿宋_GB2312" w:cs="仿宋_GB2312"/>
          <w:sz w:val="32"/>
          <w:szCs w:val="32"/>
        </w:rPr>
        <w:t>）承担水上交通安全监管责任。负责水上交通管制、船舶及相关水上设施检验、登记和防止污染、水上消防、救助打捞、通信导航、船舶与港口设施保安及危险品运输监督管理等工作。指导船员培训、船员管理等有关工作。负责市级管理水域水上交通安全事故、船舶及相关水上设施污染事故的应急处置，依法组织或参与事故调查处理工作，指导全市水上交通安全监管工作。</w:t>
      </w:r>
    </w:p>
    <w:p>
      <w:pPr>
        <w:ind w:firstLine="320" w:firstLineChars="1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七</w:t>
      </w:r>
      <w:r>
        <w:rPr>
          <w:rFonts w:hint="eastAsia" w:ascii="Times New Roman" w:hAnsi="Times New Roman" w:eastAsia="仿宋_GB2312" w:cs="仿宋_GB2312"/>
          <w:sz w:val="32"/>
          <w:szCs w:val="32"/>
        </w:rPr>
        <w:t>）负责提出全市公路、水路固定资产投资规模和方向、资金安排方案，按市政府规定权限审批、核准全市规划内和年度计划规模内固定资产投资项目。负责公路、桥梁、渡口、隧道的行业管理。提出有关财政、土地、价格等政策建议。</w:t>
      </w:r>
    </w:p>
    <w:p>
      <w:pPr>
        <w:ind w:firstLine="320" w:firstLineChars="1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（八</w:t>
      </w:r>
      <w:r>
        <w:rPr>
          <w:rFonts w:hint="eastAsia" w:ascii="Times New Roman" w:hAnsi="Times New Roman" w:eastAsia="仿宋_GB2312" w:cs="仿宋_GB2312"/>
          <w:sz w:val="32"/>
          <w:szCs w:val="32"/>
        </w:rPr>
        <w:t>）承担全市公路、水路建设市场监管责任，对地方铁路工程质量安全实施监督检查职责。监督实施公路、水路工程建设相关政策、制度和技术标准。组织实施权限内公路、水路交通工程建设，负责公路、水路交通建设工程造价控制和工程质量、安全生产的监督管理。指导交通运输基础设施管理和维护，承担有关重要设施的管理和维护。监督公路、水路有关规费征缴等相关政策的实施。</w:t>
      </w:r>
    </w:p>
    <w:p>
      <w:pPr>
        <w:ind w:firstLine="320" w:firstLineChars="1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九</w:t>
      </w:r>
      <w:r>
        <w:rPr>
          <w:rFonts w:hint="eastAsia" w:ascii="Times New Roman" w:hAnsi="Times New Roman" w:eastAsia="仿宋_GB2312" w:cs="仿宋_GB2312"/>
          <w:sz w:val="32"/>
          <w:szCs w:val="32"/>
        </w:rPr>
        <w:t>）指导全市公路、水路行业重要生产和应急管理工作。按规定组织协调全市重要物资和紧急客货运输，承担市国防动员有关工作。</w:t>
      </w:r>
    </w:p>
    <w:p>
      <w:pPr>
        <w:ind w:firstLine="320" w:firstLineChars="1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十</w:t>
      </w:r>
      <w:r>
        <w:rPr>
          <w:rFonts w:hint="eastAsia" w:ascii="Times New Roman" w:hAnsi="Times New Roman" w:eastAsia="仿宋_GB2312" w:cs="仿宋_GB2312"/>
          <w:sz w:val="32"/>
          <w:szCs w:val="32"/>
        </w:rPr>
        <w:t>）制订全市交通运输行业科技政策、规划和规范并监督实施。指导全市交通运输信息化建设，监测分析运行情况，开展相关统计工作，发布有关信息。指导公路、水路行业环境保护和节能减排工作。</w:t>
      </w:r>
    </w:p>
    <w:p>
      <w:pPr>
        <w:ind w:firstLine="320" w:firstLineChars="1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十</w:t>
      </w:r>
      <w:r>
        <w:rPr>
          <w:rFonts w:hint="eastAsia" w:ascii="Times New Roman" w:hAnsi="Times New Roman" w:eastAsia="仿宋_GB2312" w:cs="仿宋_GB2312"/>
          <w:sz w:val="32"/>
          <w:szCs w:val="32"/>
        </w:rPr>
        <w:t>一）指导交通运输行业开展对外交流工作和交通外经外贸工作。协调铁路、民航、邮政、高速公路管理涉及地方相关工作。</w:t>
      </w:r>
    </w:p>
    <w:p>
      <w:pPr>
        <w:ind w:firstLine="320" w:firstLineChars="1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十二</w:t>
      </w:r>
      <w:r>
        <w:rPr>
          <w:rFonts w:hint="eastAsia" w:ascii="Times New Roman" w:hAnsi="Times New Roman" w:eastAsia="仿宋_GB2312" w:cs="仿宋_GB2312"/>
          <w:sz w:val="32"/>
          <w:szCs w:val="32"/>
        </w:rPr>
        <w:t>）承办市人民政府交办的其他事项。</w:t>
      </w:r>
    </w:p>
    <w:p>
      <w:pPr>
        <w:tabs>
          <w:tab w:val="left" w:pos="544"/>
        </w:tabs>
        <w:ind w:firstLine="800" w:firstLineChars="250"/>
        <w:jc w:val="lef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ab/>
      </w:r>
    </w:p>
    <w:p>
      <w:pPr>
        <w:pStyle w:val="2"/>
        <w:rPr>
          <w:rFonts w:hint="eastAsia" w:ascii="Times New Roman" w:hAnsi="Times New Roman" w:eastAsia="仿宋_GB2312" w:cs="仿宋_GB2312"/>
          <w:sz w:val="32"/>
          <w:szCs w:val="32"/>
          <w:lang w:eastAsia="zh-CN"/>
        </w:rPr>
      </w:pPr>
    </w:p>
    <w:p>
      <w:pPr>
        <w:pStyle w:val="3"/>
        <w:rPr>
          <w:rFonts w:hint="eastAsia"/>
          <w:lang w:eastAsia="zh-CN"/>
        </w:rPr>
      </w:pP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pStyle w:val="10"/>
        <w:spacing w:before="0" w:beforeAutospacing="0" w:after="75" w:afterAutospacing="0" w:line="510" w:lineRule="atLeast"/>
        <w:ind w:firstLine="640" w:firstLineChars="200"/>
        <w:jc w:val="both"/>
        <w:rPr>
          <w:rFonts w:hint="default" w:ascii="Times New Roman" w:hAnsi="Times New Roman" w:eastAsia="仿宋_GB2312" w:cs="黑体"/>
          <w:color w:val="auto"/>
          <w:kern w:val="0"/>
          <w:sz w:val="32"/>
          <w:szCs w:val="32"/>
          <w:lang w:val="en-US" w:eastAsia="zh-CN" w:bidi="ar-SA"/>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黑体"/>
          <w:color w:val="auto"/>
          <w:kern w:val="0"/>
          <w:sz w:val="32"/>
          <w:szCs w:val="32"/>
          <w:lang w:val="en-US" w:eastAsia="zh-CN" w:bidi="ar-SA"/>
        </w:rPr>
        <w:t>怀化市交通运输局机关内设10个科室：办公室（科技信息科）、人事教育科、财务审计科、法制科（行政审批服务科）、计划基建科、安全监督科、运输管理科（机场铁路科）、港航管理科（海事管理科）、执法科、交通战备科，</w:t>
      </w:r>
      <w:r>
        <w:rPr>
          <w:rFonts w:hint="eastAsia" w:ascii="仿宋" w:hAnsi="仿宋" w:eastAsia="仿宋" w:cs="仿宋"/>
          <w:i w:val="0"/>
          <w:caps w:val="0"/>
          <w:color w:val="auto"/>
          <w:spacing w:val="0"/>
          <w:sz w:val="32"/>
          <w:szCs w:val="32"/>
        </w:rPr>
        <w:t>另设机关党委。</w:t>
      </w:r>
    </w:p>
    <w:p>
      <w:pPr>
        <w:pStyle w:val="10"/>
        <w:spacing w:before="0" w:beforeAutospacing="0" w:after="75" w:afterAutospacing="0" w:line="510" w:lineRule="atLeast"/>
        <w:ind w:firstLine="640" w:firstLineChars="200"/>
        <w:jc w:val="both"/>
        <w:rPr>
          <w:rFonts w:hint="eastAsia" w:ascii="Times New Roman" w:hAnsi="Times New Roman" w:eastAsia="仿宋_GB2312" w:cs="黑体"/>
          <w:color w:val="auto"/>
          <w:kern w:val="0"/>
          <w:sz w:val="32"/>
          <w:szCs w:val="32"/>
          <w:lang w:val="en-US" w:eastAsia="zh-CN" w:bidi="ar-SA"/>
        </w:rPr>
        <w:sectPr>
          <w:pgSz w:w="11906" w:h="16838"/>
          <w:pgMar w:top="720" w:right="720" w:bottom="720" w:left="720" w:header="851" w:footer="992" w:gutter="0"/>
          <w:cols w:space="425" w:num="1"/>
          <w:docGrid w:type="lines" w:linePitch="312" w:charSpace="0"/>
        </w:sect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黑体"/>
          <w:color w:val="auto"/>
          <w:kern w:val="0"/>
          <w:sz w:val="32"/>
          <w:szCs w:val="32"/>
          <w:lang w:val="en-US" w:eastAsia="zh-CN" w:bidi="ar-SA"/>
        </w:rPr>
        <w:t>2023年部门决算公开单位构成仅包括怀化市交通运输局本级。</w:t>
      </w:r>
    </w:p>
    <w:p>
      <w:pPr>
        <w:pStyle w:val="15"/>
        <w:rPr>
          <w:rFonts w:hint="eastAsia"/>
          <w:sz w:val="72"/>
          <w:szCs w:val="72"/>
        </w:rPr>
      </w:pPr>
    </w:p>
    <w:p>
      <w:pPr>
        <w:pStyle w:val="15"/>
        <w:rPr>
          <w:rFonts w:hint="eastAsia"/>
          <w:sz w:val="72"/>
          <w:szCs w:val="72"/>
        </w:rPr>
      </w:pPr>
    </w:p>
    <w:p>
      <w:pPr>
        <w:pStyle w:val="15"/>
        <w:rPr>
          <w:rFonts w:hint="eastAsia"/>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二</w:t>
      </w:r>
      <w:r>
        <w:rPr>
          <w:rFonts w:hint="eastAsia" w:ascii="方正小标宋_GBK" w:hAnsi="方正小标宋_GBK" w:eastAsia="方正小标宋_GBK" w:cs="方正小标宋_GBK"/>
          <w:sz w:val="72"/>
          <w:szCs w:val="72"/>
        </w:rPr>
        <w:t>部分</w:t>
      </w: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lang w:val="en-US" w:eastAsia="zh-CN"/>
        </w:rPr>
        <w:sectPr>
          <w:pgSz w:w="11906" w:h="16838"/>
          <w:pgMar w:top="720" w:right="720" w:bottom="720" w:left="720" w:header="851" w:footer="992" w:gutter="0"/>
          <w:cols w:space="425" w:num="1"/>
          <w:docGrid w:type="lines" w:linePitch="312" w:charSpace="0"/>
        </w:sectPr>
      </w:pPr>
      <w:r>
        <w:rPr>
          <w:rFonts w:hint="eastAsia" w:ascii="方正小标宋_GBK" w:hAnsi="方正小标宋_GBK" w:eastAsia="方正小标宋_GBK" w:cs="方正小标宋_GBK"/>
          <w:sz w:val="72"/>
          <w:szCs w:val="72"/>
        </w:rPr>
        <w:t>部门决算</w:t>
      </w:r>
      <w:r>
        <w:rPr>
          <w:rFonts w:hint="eastAsia" w:ascii="方正小标宋_GBK" w:hAnsi="方正小标宋_GBK" w:eastAsia="方正小标宋_GBK" w:cs="方正小标宋_GBK"/>
          <w:sz w:val="72"/>
          <w:szCs w:val="72"/>
          <w:lang w:eastAsia="zh-CN"/>
        </w:rPr>
        <w:t>表</w:t>
      </w:r>
    </w:p>
    <w:p>
      <w:pPr>
        <w:pStyle w:val="10"/>
        <w:spacing w:before="0" w:beforeAutospacing="0" w:after="75" w:afterAutospacing="0" w:line="510" w:lineRule="atLeast"/>
        <w:ind w:firstLine="640" w:firstLineChars="200"/>
        <w:jc w:val="both"/>
        <w:rPr>
          <w:rFonts w:hint="eastAsia" w:ascii="Times New Roman" w:hAnsi="Times New Roman" w:eastAsia="仿宋_GB2312" w:cs="黑体"/>
          <w:color w:val="auto"/>
          <w:kern w:val="0"/>
          <w:sz w:val="32"/>
          <w:szCs w:val="32"/>
          <w:lang w:val="en-US" w:eastAsia="zh-CN" w:bidi="ar-SA"/>
        </w:rPr>
      </w:pPr>
    </w:p>
    <w:p>
      <w:pPr>
        <w:pStyle w:val="10"/>
        <w:spacing w:before="0" w:beforeAutospacing="0" w:after="75" w:afterAutospacing="0" w:line="510" w:lineRule="atLeast"/>
        <w:ind w:firstLine="640" w:firstLineChars="200"/>
        <w:jc w:val="both"/>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共9张决算表，即《收入支出决算总表》《收入决算表》《支出决算表》《财政拨款收入支出决算总表》《一般公共预算财政拨款支出决算表》《一般公共预算财政拨款基本支出决算表》《政府性基金预算财政拨款收入支出决算表》《国有资本经营预算财政拨款支出决算表》《财政拨款“三公”经费支出决算表》。（详情见附件一）</w:t>
      </w:r>
    </w:p>
    <w:p>
      <w:pPr>
        <w:pStyle w:val="10"/>
        <w:spacing w:before="0" w:beforeAutospacing="0" w:after="75" w:afterAutospacing="0" w:line="510" w:lineRule="atLeast"/>
        <w:ind w:firstLine="640" w:firstLineChars="200"/>
        <w:jc w:val="both"/>
        <w:rPr>
          <w:rFonts w:hint="eastAsia" w:ascii="Times New Roman" w:hAnsi="Times New Roman" w:eastAsia="仿宋_GB2312" w:cs="黑体"/>
          <w:color w:val="auto"/>
          <w:kern w:val="0"/>
          <w:sz w:val="32"/>
          <w:szCs w:val="32"/>
          <w:lang w:val="en-US" w:eastAsia="zh-CN" w:bidi="ar-SA"/>
        </w:rPr>
      </w:pPr>
    </w:p>
    <w:p>
      <w:pPr>
        <w:widowControl/>
        <w:spacing w:line="600" w:lineRule="exact"/>
        <w:rPr>
          <w:rFonts w:hint="eastAsia" w:ascii="Times New Roman" w:hAnsi="Times New Roman" w:eastAsia="仿宋_GB2312" w:cs="仿宋_GB2312"/>
          <w:bCs/>
          <w:kern w:val="0"/>
          <w:sz w:val="32"/>
          <w:szCs w:val="32"/>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both"/>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15"/>
        <w:rPr>
          <w:sz w:val="72"/>
          <w:szCs w:val="72"/>
        </w:rPr>
      </w:pPr>
      <w:bookmarkStart w:id="0" w:name="RANGE!A1:I22"/>
      <w:bookmarkEnd w:id="0"/>
    </w:p>
    <w:p>
      <w:pPr>
        <w:pStyle w:val="15"/>
        <w:rPr>
          <w:sz w:val="72"/>
          <w:szCs w:val="72"/>
        </w:rPr>
      </w:pPr>
    </w:p>
    <w:p>
      <w:pPr>
        <w:pStyle w:val="15"/>
        <w:rPr>
          <w:sz w:val="72"/>
          <w:szCs w:val="72"/>
        </w:rPr>
      </w:pPr>
    </w:p>
    <w:p>
      <w:pPr>
        <w:pStyle w:val="15"/>
        <w:rPr>
          <w:sz w:val="72"/>
          <w:szCs w:val="72"/>
        </w:rPr>
      </w:pPr>
    </w:p>
    <w:p>
      <w:pPr>
        <w:pStyle w:val="15"/>
        <w:jc w:val="center"/>
        <w:rPr>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5"/>
        <w:jc w:val="center"/>
        <w:rPr>
          <w:rFonts w:hint="eastAsia" w:ascii="方正小标宋_GBK" w:hAnsi="方正小标宋_GBK" w:eastAsia="方正小标宋_GBK" w:cs="方正小标宋_GBK"/>
          <w:sz w:val="70"/>
          <w:szCs w:val="70"/>
        </w:rPr>
      </w:pPr>
    </w:p>
    <w:p>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年度收</w:t>
      </w:r>
      <w:r>
        <w:rPr>
          <w:rFonts w:hint="eastAsia" w:ascii="Times New Roman" w:hAnsi="Times New Roman" w:eastAsia="仿宋_GB2312"/>
          <w:color w:val="auto"/>
          <w:sz w:val="32"/>
          <w:szCs w:val="32"/>
          <w:lang w:eastAsia="zh-CN"/>
        </w:rPr>
        <w:t>入</w:t>
      </w:r>
      <w:r>
        <w:rPr>
          <w:rFonts w:hint="eastAsia" w:ascii="Times New Roman" w:hAnsi="Times New Roman" w:eastAsia="仿宋_GB2312"/>
          <w:color w:val="auto"/>
          <w:sz w:val="32"/>
          <w:szCs w:val="32"/>
        </w:rPr>
        <w:t>总计</w:t>
      </w:r>
      <w:r>
        <w:rPr>
          <w:rFonts w:hint="eastAsia" w:ascii="Times New Roman" w:hAnsi="Times New Roman" w:eastAsia="仿宋_GB2312"/>
          <w:color w:val="auto"/>
          <w:sz w:val="32"/>
          <w:szCs w:val="32"/>
          <w:lang w:val="en-US" w:eastAsia="zh-CN"/>
        </w:rPr>
        <w:t>1568.04</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与上年相比，</w:t>
      </w:r>
      <w:r>
        <w:rPr>
          <w:rFonts w:hint="eastAsia" w:ascii="Times New Roman" w:hAnsi="Times New Roman" w:eastAsia="仿宋_GB2312"/>
          <w:color w:val="auto"/>
          <w:sz w:val="32"/>
          <w:szCs w:val="32"/>
          <w:lang w:eastAsia="zh-CN"/>
        </w:rPr>
        <w:t>减少</w:t>
      </w:r>
      <w:r>
        <w:rPr>
          <w:rFonts w:hint="eastAsia" w:ascii="Times New Roman" w:hAnsi="Times New Roman" w:eastAsia="仿宋_GB2312"/>
          <w:color w:val="auto"/>
          <w:sz w:val="32"/>
          <w:szCs w:val="32"/>
          <w:lang w:val="en-US" w:eastAsia="zh-CN"/>
        </w:rPr>
        <w:t>3421.80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下降</w:t>
      </w:r>
      <w:r>
        <w:rPr>
          <w:rFonts w:hint="eastAsia" w:ascii="Times New Roman" w:hAnsi="Times New Roman" w:eastAsia="仿宋_GB2312"/>
          <w:color w:val="auto"/>
          <w:sz w:val="32"/>
          <w:szCs w:val="32"/>
          <w:lang w:val="en-US" w:eastAsia="zh-CN"/>
        </w:rPr>
        <w:t>68.58%</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val="en-US" w:eastAsia="zh-CN"/>
        </w:rPr>
        <w:t>2022年芷江机场站坪建设和怀化车站客运设施改造工程建设项目债券收入3200万元，2023年无该项收入。2023年度支出总计1568.04万元，与上年相比，</w:t>
      </w:r>
      <w:r>
        <w:rPr>
          <w:rFonts w:hint="eastAsia" w:ascii="Times New Roman" w:hAnsi="Times New Roman" w:eastAsia="仿宋_GB2312"/>
          <w:color w:val="auto"/>
          <w:sz w:val="32"/>
          <w:szCs w:val="32"/>
          <w:lang w:eastAsia="zh-CN"/>
        </w:rPr>
        <w:t>减少</w:t>
      </w:r>
      <w:r>
        <w:rPr>
          <w:rFonts w:hint="eastAsia" w:ascii="Times New Roman" w:hAnsi="Times New Roman" w:eastAsia="仿宋_GB2312"/>
          <w:color w:val="auto"/>
          <w:sz w:val="32"/>
          <w:szCs w:val="32"/>
          <w:lang w:val="en-US" w:eastAsia="zh-CN"/>
        </w:rPr>
        <w:t>3421.80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下降</w:t>
      </w:r>
      <w:r>
        <w:rPr>
          <w:rFonts w:hint="eastAsia" w:ascii="Times New Roman" w:hAnsi="Times New Roman" w:eastAsia="仿宋_GB2312"/>
          <w:color w:val="auto"/>
          <w:sz w:val="32"/>
          <w:szCs w:val="32"/>
          <w:lang w:val="en-US" w:eastAsia="zh-CN"/>
        </w:rPr>
        <w:t>68.58%。主要原因是</w:t>
      </w:r>
      <w:r>
        <w:rPr>
          <w:rFonts w:hint="default" w:ascii="Times New Roman" w:hAnsi="Times New Roman" w:eastAsia="仿宋_GB2312"/>
          <w:color w:val="auto"/>
          <w:sz w:val="32"/>
          <w:szCs w:val="32"/>
          <w:lang w:val="en-US"/>
        </w:rPr>
        <w:t>202</w:t>
      </w:r>
      <w:r>
        <w:rPr>
          <w:rFonts w:hint="default"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lang w:val="en-US" w:eastAsia="zh-CN"/>
        </w:rPr>
        <w:t>年度芷江机场站坪建设和怀化车站客运设施改造工程项目债券支出为3200万元，2023年无该项支出。</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color w:val="auto"/>
          <w:sz w:val="32"/>
          <w:szCs w:val="32"/>
          <w:lang w:val="en-US" w:eastAsia="zh-CN"/>
        </w:rPr>
        <w:t>2023年度收入合计1568.04万元，其中：财政拨款收入1396.7万元，占89.07%；上级补助收入</w:t>
      </w:r>
      <w:r>
        <w:rPr>
          <w:rFonts w:hint="default" w:ascii="Times New Roman" w:hAnsi="Times New Roman" w:eastAsia="仿宋_GB2312"/>
          <w:color w:val="auto"/>
          <w:sz w:val="32"/>
          <w:szCs w:val="32"/>
          <w:lang w:val="en-US" w:eastAsia="zh-CN"/>
        </w:rPr>
        <w:t>0.00</w:t>
      </w:r>
      <w:r>
        <w:rPr>
          <w:rFonts w:hint="eastAsia" w:ascii="Times New Roman" w:hAnsi="Times New Roman" w:eastAsia="仿宋_GB2312"/>
          <w:color w:val="auto"/>
          <w:sz w:val="32"/>
          <w:szCs w:val="32"/>
          <w:lang w:val="en-US" w:eastAsia="zh-CN"/>
        </w:rPr>
        <w:t>万元；事业收入</w:t>
      </w:r>
      <w:r>
        <w:rPr>
          <w:rFonts w:hint="default" w:ascii="Times New Roman" w:hAnsi="Times New Roman" w:eastAsia="仿宋_GB2312"/>
          <w:color w:val="auto"/>
          <w:sz w:val="32"/>
          <w:szCs w:val="32"/>
          <w:lang w:val="en-US" w:eastAsia="zh-CN"/>
        </w:rPr>
        <w:t>0.00</w:t>
      </w:r>
      <w:r>
        <w:rPr>
          <w:rFonts w:hint="eastAsia" w:ascii="Times New Roman" w:hAnsi="Times New Roman" w:eastAsia="仿宋_GB2312"/>
          <w:color w:val="auto"/>
          <w:sz w:val="32"/>
          <w:szCs w:val="32"/>
          <w:lang w:val="en-US" w:eastAsia="zh-CN"/>
        </w:rPr>
        <w:t>万元；经营收入</w:t>
      </w:r>
      <w:r>
        <w:rPr>
          <w:rFonts w:hint="default" w:ascii="Times New Roman" w:hAnsi="Times New Roman" w:eastAsia="仿宋_GB2312"/>
          <w:color w:val="auto"/>
          <w:sz w:val="32"/>
          <w:szCs w:val="32"/>
          <w:lang w:val="en-US" w:eastAsia="zh-CN"/>
        </w:rPr>
        <w:t>0.00</w:t>
      </w:r>
      <w:r>
        <w:rPr>
          <w:rFonts w:hint="eastAsia" w:ascii="Times New Roman" w:hAnsi="Times New Roman" w:eastAsia="仿宋_GB2312"/>
          <w:color w:val="auto"/>
          <w:sz w:val="32"/>
          <w:szCs w:val="32"/>
          <w:lang w:val="en-US" w:eastAsia="zh-CN"/>
        </w:rPr>
        <w:t>万元；附属单位上缴收入</w:t>
      </w:r>
      <w:r>
        <w:rPr>
          <w:rFonts w:hint="default" w:ascii="Times New Roman" w:hAnsi="Times New Roman" w:eastAsia="仿宋_GB2312"/>
          <w:color w:val="auto"/>
          <w:sz w:val="32"/>
          <w:szCs w:val="32"/>
          <w:lang w:val="en-US" w:eastAsia="zh-CN"/>
        </w:rPr>
        <w:t>0.00</w:t>
      </w:r>
      <w:r>
        <w:rPr>
          <w:rFonts w:hint="eastAsia" w:ascii="Times New Roman" w:hAnsi="Times New Roman" w:eastAsia="仿宋_GB2312"/>
          <w:color w:val="auto"/>
          <w:sz w:val="32"/>
          <w:szCs w:val="32"/>
          <w:lang w:val="en-US" w:eastAsia="zh-CN"/>
        </w:rPr>
        <w:t>万元；其他收入171.34万，</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10.93</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2023年度支出合计1568.04万元，其中：基本支出681.14万元，占43.44%；项目支出886.90万元，占56.56%；上缴上级支出</w:t>
      </w:r>
      <w:r>
        <w:rPr>
          <w:rFonts w:hint="default" w:ascii="Times New Roman" w:hAnsi="Times New Roman" w:eastAsia="仿宋_GB2312"/>
          <w:color w:val="auto"/>
          <w:sz w:val="32"/>
          <w:szCs w:val="32"/>
          <w:lang w:val="en-US" w:eastAsia="zh-CN"/>
        </w:rPr>
        <w:t>0.00</w:t>
      </w:r>
      <w:r>
        <w:rPr>
          <w:rFonts w:hint="eastAsia" w:ascii="Times New Roman" w:hAnsi="Times New Roman" w:eastAsia="仿宋_GB2312"/>
          <w:color w:val="auto"/>
          <w:sz w:val="32"/>
          <w:szCs w:val="32"/>
          <w:lang w:val="en-US" w:eastAsia="zh-CN"/>
        </w:rPr>
        <w:t>万元；经营支出</w:t>
      </w:r>
      <w:r>
        <w:rPr>
          <w:rFonts w:hint="default" w:ascii="Times New Roman" w:hAnsi="Times New Roman" w:eastAsia="仿宋_GB2312"/>
          <w:color w:val="auto"/>
          <w:sz w:val="32"/>
          <w:szCs w:val="32"/>
          <w:lang w:val="en-US" w:eastAsia="zh-CN"/>
        </w:rPr>
        <w:t>0.00</w:t>
      </w:r>
      <w:r>
        <w:rPr>
          <w:rFonts w:hint="eastAsia" w:ascii="Times New Roman" w:hAnsi="Times New Roman" w:eastAsia="仿宋_GB2312"/>
          <w:color w:val="auto"/>
          <w:sz w:val="32"/>
          <w:szCs w:val="32"/>
          <w:lang w:val="en-US" w:eastAsia="zh-CN"/>
        </w:rPr>
        <w:t>万元；对附属单位补助支出</w:t>
      </w:r>
      <w:r>
        <w:rPr>
          <w:rFonts w:hint="default" w:ascii="Times New Roman" w:hAnsi="Times New Roman" w:eastAsia="仿宋_GB2312"/>
          <w:color w:val="auto"/>
          <w:sz w:val="32"/>
          <w:szCs w:val="32"/>
          <w:lang w:val="en-US" w:eastAsia="zh-CN"/>
        </w:rPr>
        <w:t>0.00</w:t>
      </w:r>
      <w:r>
        <w:rPr>
          <w:rFonts w:hint="eastAsia" w:ascii="Times New Roman" w:hAnsi="Times New Roman" w:eastAsia="仿宋_GB2312"/>
          <w:color w:val="auto"/>
          <w:sz w:val="32"/>
          <w:szCs w:val="32"/>
          <w:lang w:val="en-US" w:eastAsia="zh-CN"/>
        </w:rPr>
        <w:t>万元。</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5"/>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color w:val="auto"/>
          <w:sz w:val="32"/>
          <w:szCs w:val="32"/>
          <w:lang w:val="en-US" w:eastAsia="zh-CN"/>
        </w:rPr>
        <w:t>2023年度财政拨款收入总计1396.70万元，与上年相比，减少3593.14万元，下降72.01%，主要是因为2022年芷江机场站坪建设和怀化车站客运设施改造工程建设项目债券收入3200万元，2023年无该项收入。2023年度财政拨款支出总计</w:t>
      </w:r>
      <w:r>
        <w:rPr>
          <w:rFonts w:hint="default" w:ascii="Times New Roman" w:hAnsi="Times New Roman" w:eastAsia="仿宋_GB2312"/>
          <w:color w:val="auto"/>
          <w:sz w:val="32"/>
          <w:szCs w:val="32"/>
          <w:lang w:val="en-US" w:eastAsia="zh-CN"/>
        </w:rPr>
        <w:t>1396.70</w:t>
      </w:r>
      <w:r>
        <w:rPr>
          <w:rFonts w:hint="eastAsia" w:ascii="Times New Roman" w:hAnsi="Times New Roman" w:eastAsia="仿宋_GB2312"/>
          <w:color w:val="auto"/>
          <w:sz w:val="32"/>
          <w:szCs w:val="32"/>
          <w:lang w:val="en-US" w:eastAsia="zh-CN"/>
        </w:rPr>
        <w:t>万元，与上年相比，减少3593.14万元，下降</w:t>
      </w:r>
      <w:r>
        <w:rPr>
          <w:rFonts w:hint="default" w:ascii="Times New Roman" w:hAnsi="Times New Roman" w:eastAsia="仿宋_GB2312"/>
          <w:color w:val="auto"/>
          <w:sz w:val="32"/>
          <w:szCs w:val="32"/>
          <w:lang w:val="en-US" w:eastAsia="zh-CN"/>
        </w:rPr>
        <w:t>72.01</w:t>
      </w:r>
      <w:r>
        <w:rPr>
          <w:rFonts w:hint="eastAsia" w:ascii="Times New Roman" w:hAnsi="Times New Roman" w:eastAsia="仿宋_GB2312"/>
          <w:color w:val="auto"/>
          <w:sz w:val="32"/>
          <w:szCs w:val="32"/>
          <w:lang w:val="en-US" w:eastAsia="zh-CN"/>
        </w:rPr>
        <w:t>%。主要原因是</w:t>
      </w:r>
      <w:r>
        <w:rPr>
          <w:rFonts w:hint="default" w:ascii="Times New Roman" w:hAnsi="Times New Roman" w:eastAsia="仿宋_GB2312"/>
          <w:color w:val="auto"/>
          <w:sz w:val="32"/>
          <w:szCs w:val="32"/>
          <w:lang w:val="en-US" w:eastAsia="zh-CN"/>
        </w:rPr>
        <w:t>202</w:t>
      </w:r>
      <w:r>
        <w:rPr>
          <w:rFonts w:hint="eastAsia" w:ascii="Times New Roman" w:hAnsi="Times New Roman" w:eastAsia="仿宋_GB2312"/>
          <w:color w:val="auto"/>
          <w:sz w:val="32"/>
          <w:szCs w:val="32"/>
          <w:lang w:val="en-US" w:eastAsia="zh-CN"/>
        </w:rPr>
        <w:t>3年度我局的项目支出减少。</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2023年度财政拨款支出1396.70万元，占本年支出合计的89.07%，与上年相比，财政拨款支出减少3593.14万元，下降72.01%，主要是因为2023年市财政局未安排我局芷江机场站坪建设和怀化车站客运设施改造工程项目债券支出。</w:t>
      </w:r>
    </w:p>
    <w:p>
      <w:pPr>
        <w:pStyle w:val="15"/>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2023年度财政拨款支出1396.70万元，主要用于以下方面：社会保障和就业支出145.20万元，占10.40%；卫生健康支出36.32万元，占2.6%；交通运支出1215.19万元,占87.00%。</w:t>
      </w:r>
    </w:p>
    <w:p>
      <w:pPr>
        <w:pStyle w:val="15"/>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2023年度财政拨款支出年初预算数为819.38万元，支出决算数为1396.70万元，完成年初预算的170.46%，其中：</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1、社会保障和就业支出（类）行政事业单位养老支出（款）行政单位离退休（项）</w:t>
      </w:r>
      <w:r>
        <w:rPr>
          <w:rFonts w:hint="default"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lang w:val="en-US" w:eastAsia="zh-CN"/>
        </w:rPr>
        <w:t>其他行政事业单位养老支出（项）。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w:t>
      </w:r>
      <w:r>
        <w:rPr>
          <w:rFonts w:hint="default" w:ascii="Times New Roman" w:hAnsi="Times New Roman" w:eastAsia="仿宋_GB2312"/>
          <w:color w:val="auto"/>
          <w:sz w:val="32"/>
          <w:szCs w:val="32"/>
          <w:lang w:val="en-US" w:eastAsia="zh-CN"/>
        </w:rPr>
        <w:t>82.31</w:t>
      </w:r>
      <w:r>
        <w:rPr>
          <w:rFonts w:hint="eastAsia" w:ascii="Times New Roman" w:hAnsi="Times New Roman" w:eastAsia="仿宋_GB2312"/>
          <w:color w:val="auto"/>
          <w:sz w:val="32"/>
          <w:szCs w:val="32"/>
          <w:lang w:val="en-US" w:eastAsia="zh-CN"/>
        </w:rPr>
        <w:t>万元，支出决算为</w:t>
      </w:r>
      <w:r>
        <w:rPr>
          <w:rFonts w:hint="default" w:ascii="Times New Roman" w:hAnsi="Times New Roman" w:eastAsia="仿宋_GB2312"/>
          <w:color w:val="auto"/>
          <w:sz w:val="32"/>
          <w:szCs w:val="32"/>
          <w:lang w:val="en-US" w:eastAsia="zh-CN"/>
        </w:rPr>
        <w:t>92.11</w:t>
      </w:r>
      <w:r>
        <w:rPr>
          <w:rFonts w:hint="eastAsia" w:ascii="Times New Roman" w:hAnsi="Times New Roman" w:eastAsia="仿宋_GB2312"/>
          <w:color w:val="auto"/>
          <w:sz w:val="32"/>
          <w:szCs w:val="32"/>
          <w:lang w:val="en-US" w:eastAsia="zh-CN"/>
        </w:rPr>
        <w:t>万元，完成年初预算的</w:t>
      </w:r>
      <w:r>
        <w:rPr>
          <w:rFonts w:hint="default" w:ascii="Times New Roman" w:hAnsi="Times New Roman" w:eastAsia="仿宋_GB2312"/>
          <w:color w:val="auto"/>
          <w:sz w:val="32"/>
          <w:szCs w:val="32"/>
          <w:lang w:val="en-US" w:eastAsia="zh-CN"/>
        </w:rPr>
        <w:t>111.90</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大</w:t>
      </w:r>
      <w:r>
        <w:rPr>
          <w:rFonts w:hint="eastAsia" w:ascii="Times New Roman" w:hAnsi="Times New Roman" w:eastAsia="仿宋_GB2312"/>
          <w:color w:val="auto"/>
          <w:sz w:val="32"/>
          <w:szCs w:val="32"/>
        </w:rPr>
        <w:t>于年初预算数的主要原因是</w:t>
      </w:r>
      <w:r>
        <w:rPr>
          <w:rFonts w:hint="eastAsia" w:ascii="Times New Roman" w:hAnsi="Times New Roman" w:eastAsia="仿宋_GB2312"/>
          <w:color w:val="auto"/>
          <w:sz w:val="32"/>
          <w:szCs w:val="32"/>
          <w:lang w:val="en-US" w:eastAsia="zh-CN"/>
        </w:rPr>
        <w:t>2023年本单位退休7人，退休人员的春节一次性奖金增加。</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lang w:eastAsia="zh-CN"/>
        </w:rPr>
        <w:t>社会保障和就业支出（类）行政事业单位养老支出（款）机关事业单位基本养老保险缴费支出（项）。</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61.61</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53.09</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86.17</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小</w:t>
      </w:r>
      <w:r>
        <w:rPr>
          <w:rFonts w:hint="eastAsia" w:ascii="Times New Roman" w:hAnsi="Times New Roman" w:eastAsia="仿宋_GB2312"/>
          <w:color w:val="auto"/>
          <w:sz w:val="32"/>
          <w:szCs w:val="32"/>
        </w:rPr>
        <w:t>于年初预算数的主要原因是：</w:t>
      </w:r>
      <w:r>
        <w:rPr>
          <w:rFonts w:hint="eastAsia" w:ascii="Times New Roman" w:hAnsi="Times New Roman" w:eastAsia="仿宋_GB2312"/>
          <w:color w:val="auto"/>
          <w:sz w:val="32"/>
          <w:szCs w:val="32"/>
          <w:lang w:eastAsia="zh-CN"/>
        </w:rPr>
        <w:t>本单位</w:t>
      </w:r>
      <w:r>
        <w:rPr>
          <w:rFonts w:hint="eastAsia" w:ascii="Times New Roman" w:hAnsi="Times New Roman" w:eastAsia="仿宋_GB2312"/>
          <w:color w:val="auto"/>
          <w:sz w:val="32"/>
          <w:szCs w:val="32"/>
          <w:lang w:val="en-US" w:eastAsia="zh-CN"/>
        </w:rPr>
        <w:t>2023年退休7人。</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lang w:val="en-US" w:eastAsia="zh-CN"/>
        </w:rPr>
        <w:t>、卫生健康支出（类）公共卫生（款）突发公共卫生事件应急处理（项）。</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年初预算数为0.00万元，支出决算数为15.00万元，决算数大于预算数的主要原因是：市财政局追加我局开展疫情防控工作经费。</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lang w:eastAsia="zh-CN"/>
        </w:rPr>
        <w:t>卫生健康支出（类）行政事业单位医疗（款）行政单位医疗（项）</w:t>
      </w:r>
      <w:r>
        <w:rPr>
          <w:rFonts w:hint="eastAsia" w:ascii="Times New Roman" w:hAnsi="Times New Roman" w:eastAsia="仿宋_GB2312"/>
          <w:color w:val="auto"/>
          <w:sz w:val="32"/>
          <w:szCs w:val="32"/>
          <w:lang w:val="en-US" w:eastAsia="zh-CN"/>
        </w:rPr>
        <w:t xml:space="preserve">        </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highlight w:val="none"/>
          <w:lang w:val="en-US" w:eastAsia="zh-CN"/>
        </w:rPr>
        <w:t>年初预算为26.21万元，支出决算数为</w:t>
      </w:r>
      <w:r>
        <w:rPr>
          <w:rFonts w:hint="eastAsia" w:ascii="Times New Roman" w:hAnsi="Times New Roman" w:eastAsia="仿宋_GB2312"/>
          <w:color w:val="auto"/>
          <w:sz w:val="32"/>
          <w:szCs w:val="32"/>
          <w:lang w:val="en-US" w:eastAsia="zh-CN"/>
        </w:rPr>
        <w:t>21.32万元，</w:t>
      </w:r>
      <w:r>
        <w:rPr>
          <w:rFonts w:hint="eastAsia" w:ascii="Times New Roman" w:hAnsi="Times New Roman" w:eastAsia="仿宋_GB2312"/>
          <w:color w:val="auto"/>
          <w:sz w:val="32"/>
          <w:szCs w:val="32"/>
          <w:highlight w:val="none"/>
          <w:lang w:val="en-US" w:eastAsia="zh-CN"/>
        </w:rPr>
        <w:t xml:space="preserve">完成年初预算81.34%， </w:t>
      </w:r>
      <w:r>
        <w:rPr>
          <w:rFonts w:hint="eastAsia" w:ascii="Times New Roman" w:hAnsi="Times New Roman" w:eastAsia="仿宋_GB2312"/>
          <w:color w:val="auto"/>
          <w:sz w:val="32"/>
          <w:szCs w:val="32"/>
          <w:lang w:val="en-US" w:eastAsia="zh-CN"/>
        </w:rPr>
        <w:t xml:space="preserve"> 决算数小于年初预算数的主要原因是：2023年预算财政按照36人安排基本医疗保险单位部分，实际2023年本单位退休7人。</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lang w:eastAsia="zh-CN"/>
        </w:rPr>
        <w:t>交通运输支出（类）公路水路运输（款）行政运行（项）。</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年初预算为517.78万元，支出决算数为429.67万元，完成年初预算的82.98%，决算数小于年初预算数的主要原因是：2023年人员异动加上7人退休，在职人员的工资和奖金减少。</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lang w:eastAsia="zh-CN"/>
        </w:rPr>
        <w:t>交通运输支出（类）公路水路运输（款）其他公路水路运输支出（项）。</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FF0000"/>
          <w:sz w:val="32"/>
          <w:szCs w:val="32"/>
          <w:lang w:val="en-US" w:eastAsia="zh-CN"/>
        </w:rPr>
      </w:pPr>
      <w:r>
        <w:rPr>
          <w:rFonts w:hint="eastAsia" w:ascii="Times New Roman" w:hAnsi="Times New Roman" w:eastAsia="仿宋_GB2312"/>
          <w:color w:val="auto"/>
          <w:sz w:val="32"/>
          <w:szCs w:val="32"/>
          <w:lang w:val="en-US" w:eastAsia="zh-CN"/>
        </w:rPr>
        <w:t>年初预算为80.82万元，支出决算数为457.54万元，完成预算的566.12%，决算数大于年初预算数的主要原因是：“十四五”国省干线公路设计文件审查及造价审查费、春节干线公路应急维稳、G209鹤城至中方段改道西线工程、鹤中一体化公共交通专项规划编制、公交运营成本规制管理编制费等专项资金</w:t>
      </w:r>
      <w:r>
        <w:rPr>
          <w:rFonts w:hint="default"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lang w:val="en-US" w:eastAsia="zh-CN"/>
        </w:rPr>
        <w:t>年初未纳入预算，后通过市政府批示追加。</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olor w:val="auto"/>
          <w:sz w:val="32"/>
          <w:szCs w:val="32"/>
          <w:lang w:eastAsia="zh-CN"/>
        </w:rPr>
        <w:t>交通运输支出（类）其他交通运输支出（款）其他交通运输支出（项）。</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color w:val="auto"/>
          <w:sz w:val="32"/>
          <w:szCs w:val="32"/>
          <w:lang w:val="en-US" w:eastAsia="zh-CN"/>
        </w:rPr>
        <w:t>年初预算为0万元，支出决算数为327.97万元，决算数大于年初预算数的主要原因是：2023年市财政局追加我局交通安全工作经费、12328平台升级改造费用、交通问题顽瘴痼疾整治行动经费、农村公路综合管理系统建设费用、春运经费、全省安全生产现场工作经费，年初未纳入预算。</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color w:val="auto"/>
          <w:sz w:val="32"/>
          <w:szCs w:val="32"/>
          <w:lang w:val="en-US" w:eastAsia="zh-CN"/>
        </w:rPr>
        <w:t>632.52</w:t>
      </w:r>
      <w:r>
        <w:rPr>
          <w:rFonts w:hint="eastAsia" w:ascii="Times New Roman" w:hAnsi="Times New Roman" w:eastAsia="仿宋_GB2312"/>
          <w:sz w:val="32"/>
          <w:szCs w:val="32"/>
        </w:rPr>
        <w:t>万元，其中：</w:t>
      </w:r>
    </w:p>
    <w:p>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b/>
          <w:bCs/>
          <w:color w:val="auto"/>
          <w:sz w:val="32"/>
          <w:szCs w:val="32"/>
          <w:lang w:val="en-US" w:eastAsia="zh-CN"/>
        </w:rPr>
        <w:t>人员经费</w:t>
      </w:r>
      <w:r>
        <w:rPr>
          <w:rFonts w:hint="eastAsia" w:ascii="Times New Roman" w:hAnsi="Times New Roman" w:eastAsia="仿宋_GB2312"/>
          <w:color w:val="auto"/>
          <w:sz w:val="32"/>
          <w:szCs w:val="32"/>
          <w:lang w:val="en-US" w:eastAsia="zh-CN"/>
        </w:rPr>
        <w:t>600.15万元，占基本支出的94.88%,主要包括基本工资180.88万元</w:t>
      </w:r>
      <w:r>
        <w:rPr>
          <w:rFonts w:hint="eastAsia" w:ascii="Times New Roman" w:hAnsi="Times New Roman" w:eastAsia="仿宋_GB2312"/>
          <w:color w:val="auto"/>
          <w:sz w:val="32"/>
          <w:szCs w:val="32"/>
        </w:rPr>
        <w:t>、津贴补贴</w:t>
      </w:r>
      <w:r>
        <w:rPr>
          <w:rFonts w:hint="eastAsia" w:ascii="Times New Roman" w:hAnsi="Times New Roman" w:eastAsia="仿宋_GB2312"/>
          <w:color w:val="auto"/>
          <w:sz w:val="32"/>
          <w:szCs w:val="32"/>
          <w:lang w:val="en-US" w:eastAsia="zh-CN"/>
        </w:rPr>
        <w:t>180.44万元</w:t>
      </w:r>
      <w:r>
        <w:rPr>
          <w:rFonts w:hint="eastAsia" w:ascii="Times New Roman" w:hAnsi="Times New Roman" w:eastAsia="仿宋_GB2312"/>
          <w:color w:val="auto"/>
          <w:sz w:val="32"/>
          <w:szCs w:val="32"/>
        </w:rPr>
        <w:t>、奖金</w:t>
      </w:r>
      <w:r>
        <w:rPr>
          <w:rFonts w:hint="eastAsia" w:ascii="Times New Roman" w:hAnsi="Times New Roman" w:eastAsia="仿宋_GB2312"/>
          <w:color w:val="auto"/>
          <w:sz w:val="32"/>
          <w:szCs w:val="32"/>
          <w:lang w:val="en-US" w:eastAsia="zh-CN"/>
        </w:rPr>
        <w:t>54.16万元</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职工基本养老保险及医疗保险费</w:t>
      </w:r>
      <w:r>
        <w:rPr>
          <w:rFonts w:hint="eastAsia" w:ascii="Times New Roman" w:hAnsi="Times New Roman" w:eastAsia="仿宋_GB2312"/>
          <w:color w:val="auto"/>
          <w:sz w:val="32"/>
          <w:szCs w:val="32"/>
          <w:lang w:val="en-US" w:eastAsia="zh-CN"/>
        </w:rPr>
        <w:t xml:space="preserve">74.47万元，其他社会保障缴费13.90万元，对个人和家庭的补助96.3万元。 </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b/>
          <w:bCs/>
          <w:color w:val="auto"/>
          <w:sz w:val="32"/>
          <w:szCs w:val="32"/>
          <w:lang w:val="en-US" w:eastAsia="zh-CN"/>
        </w:rPr>
        <w:t>公用经费</w:t>
      </w:r>
      <w:r>
        <w:rPr>
          <w:rFonts w:hint="eastAsia" w:ascii="Times New Roman" w:hAnsi="Times New Roman" w:eastAsia="仿宋_GB2312"/>
          <w:color w:val="auto"/>
          <w:sz w:val="32"/>
          <w:szCs w:val="32"/>
          <w:lang w:val="en-US" w:eastAsia="zh-CN"/>
        </w:rPr>
        <w:t>32.37</w:t>
      </w:r>
      <w:r>
        <w:rPr>
          <w:rFonts w:hint="eastAsia" w:ascii="Times New Roman" w:hAnsi="Times New Roman" w:eastAsia="仿宋_GB2312"/>
          <w:color w:val="auto"/>
          <w:sz w:val="32"/>
          <w:szCs w:val="32"/>
        </w:rPr>
        <w:t>万元，占基本支出的</w:t>
      </w:r>
      <w:r>
        <w:rPr>
          <w:rFonts w:hint="eastAsia" w:ascii="Times New Roman" w:hAnsi="Times New Roman" w:eastAsia="仿宋_GB2312"/>
          <w:color w:val="auto"/>
          <w:sz w:val="32"/>
          <w:szCs w:val="32"/>
          <w:lang w:val="en-US" w:eastAsia="zh-CN"/>
        </w:rPr>
        <w:t>5.12</w:t>
      </w:r>
      <w:r>
        <w:rPr>
          <w:rFonts w:hint="eastAsia" w:ascii="Times New Roman" w:hAnsi="Times New Roman" w:eastAsia="仿宋_GB2312"/>
          <w:color w:val="auto"/>
          <w:sz w:val="32"/>
          <w:szCs w:val="32"/>
        </w:rPr>
        <w:t>%，主要包括办公</w:t>
      </w:r>
      <w:r>
        <w:rPr>
          <w:rFonts w:hint="eastAsia" w:ascii="Times New Roman" w:hAnsi="Times New Roman" w:eastAsia="仿宋_GB2312"/>
          <w:color w:val="auto"/>
          <w:sz w:val="32"/>
          <w:szCs w:val="32"/>
          <w:lang w:eastAsia="zh-CN"/>
        </w:rPr>
        <w:t>经</w:t>
      </w:r>
      <w:r>
        <w:rPr>
          <w:rFonts w:hint="eastAsia" w:ascii="Times New Roman" w:hAnsi="Times New Roman" w:eastAsia="仿宋_GB2312"/>
          <w:color w:val="auto"/>
          <w:sz w:val="32"/>
          <w:szCs w:val="32"/>
        </w:rPr>
        <w:t>费</w:t>
      </w:r>
      <w:r>
        <w:rPr>
          <w:rFonts w:hint="eastAsia" w:ascii="Times New Roman" w:hAnsi="Times New Roman" w:eastAsia="仿宋_GB2312"/>
          <w:color w:val="auto"/>
          <w:sz w:val="32"/>
          <w:szCs w:val="32"/>
          <w:lang w:val="en-US" w:eastAsia="zh-CN"/>
        </w:rPr>
        <w:t>0.62万元、工会经费22.00万元、其他交通费0.35万元、其他商品和服务支出2.17万元。</w:t>
      </w:r>
    </w:p>
    <w:p>
      <w:pPr>
        <w:pStyle w:val="15"/>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13.5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13.03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96.51</w:t>
      </w:r>
      <w:r>
        <w:rPr>
          <w:rFonts w:hint="eastAsia" w:ascii="Times New Roman" w:hAnsi="Times New Roman" w:eastAsia="仿宋_GB2312"/>
          <w:sz w:val="32"/>
          <w:szCs w:val="32"/>
        </w:rPr>
        <w:t>%，决算数小于预算数的主要原因是</w:t>
      </w:r>
      <w:r>
        <w:rPr>
          <w:rFonts w:hint="eastAsia" w:ascii="仿宋" w:hAnsi="仿宋" w:eastAsia="仿宋" w:cs="仿宋"/>
          <w:bCs/>
          <w:color w:val="auto"/>
          <w:kern w:val="2"/>
          <w:sz w:val="32"/>
          <w:szCs w:val="32"/>
          <w:highlight w:val="none"/>
          <w:lang w:val="en-US" w:eastAsia="zh-CN" w:bidi="ar-SA"/>
        </w:rPr>
        <w:t>我局加强“三公”经费管理，厉行节约。</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1.22</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10.30%，</w:t>
      </w:r>
      <w:r>
        <w:rPr>
          <w:rFonts w:hint="eastAsia" w:ascii="Times New Roman" w:hAnsi="Times New Roman" w:eastAsia="仿宋_GB2312"/>
          <w:sz w:val="32"/>
          <w:szCs w:val="32"/>
        </w:rPr>
        <w:t>增长的主要原因是</w:t>
      </w:r>
      <w:r>
        <w:rPr>
          <w:rFonts w:hint="eastAsia" w:ascii="Times New Roman" w:hAnsi="Times New Roman" w:eastAsia="仿宋_GB2312"/>
          <w:sz w:val="32"/>
          <w:szCs w:val="32"/>
          <w:lang w:val="en-US" w:eastAsia="zh-CN"/>
        </w:rPr>
        <w:t>2023年</w:t>
      </w:r>
      <w:r>
        <w:rPr>
          <w:rFonts w:hint="eastAsia" w:ascii="Times New Roman" w:hAnsi="Times New Roman" w:eastAsia="仿宋_GB2312"/>
          <w:color w:val="auto"/>
          <w:sz w:val="32"/>
          <w:szCs w:val="32"/>
          <w:lang w:val="en-US" w:eastAsia="zh-CN"/>
        </w:rPr>
        <w:t>真抓实干考核督查增加</w:t>
      </w:r>
      <w:r>
        <w:rPr>
          <w:rFonts w:hint="eastAsia" w:ascii="Times New Roman" w:hAnsi="Times New Roman" w:eastAsia="仿宋_GB2312"/>
          <w:sz w:val="32"/>
          <w:szCs w:val="32"/>
        </w:rPr>
        <w:t>。其中：</w:t>
      </w:r>
    </w:p>
    <w:p>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pPr>
        <w:pStyle w:val="15"/>
        <w:ind w:firstLine="640" w:firstLineChars="200"/>
        <w:rPr>
          <w:rFonts w:hint="default" w:ascii="Times New Roman" w:hAnsi="Times New Roman" w:eastAsia="仿宋_GB2312"/>
          <w:color w:val="auto"/>
          <w:sz w:val="32"/>
          <w:szCs w:val="32"/>
          <w:lang w:val="en-US"/>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支出决算为</w:t>
      </w:r>
      <w:r>
        <w:rPr>
          <w:rFonts w:hint="eastAsia" w:ascii="Times New Roman" w:hAnsi="Times New Roman" w:eastAsia="仿宋_GB2312"/>
          <w:color w:val="auto"/>
          <w:sz w:val="32"/>
          <w:szCs w:val="32"/>
          <w:lang w:val="en-US" w:eastAsia="zh-CN"/>
        </w:rPr>
        <w:t>1.53</w:t>
      </w:r>
      <w:r>
        <w:rPr>
          <w:rFonts w:hint="eastAsia" w:ascii="Times New Roman" w:hAnsi="Times New Roman" w:eastAsia="仿宋_GB2312"/>
          <w:color w:val="auto"/>
          <w:sz w:val="32"/>
          <w:szCs w:val="32"/>
        </w:rPr>
        <w:t>万元，完成预算</w:t>
      </w:r>
      <w:r>
        <w:rPr>
          <w:rFonts w:hint="eastAsia" w:ascii="Times New Roman" w:hAnsi="Times New Roman" w:eastAsia="仿宋_GB2312"/>
          <w:color w:val="auto"/>
          <w:sz w:val="32"/>
          <w:szCs w:val="32"/>
          <w:lang w:val="en-US" w:eastAsia="zh-CN"/>
        </w:rPr>
        <w:t>76.50</w:t>
      </w:r>
      <w:r>
        <w:rPr>
          <w:rFonts w:hint="eastAsia" w:ascii="Times New Roman" w:hAnsi="Times New Roman" w:eastAsia="仿宋_GB2312"/>
          <w:color w:val="auto"/>
          <w:sz w:val="32"/>
          <w:szCs w:val="32"/>
        </w:rPr>
        <w:t>%，决算数小于预算</w:t>
      </w:r>
      <w:r>
        <w:rPr>
          <w:rFonts w:hint="eastAsia" w:ascii="Times New Roman" w:hAnsi="Times New Roman" w:eastAsia="仿宋_GB2312"/>
          <w:color w:val="auto"/>
          <w:sz w:val="32"/>
          <w:szCs w:val="32"/>
          <w:lang w:eastAsia="zh-CN"/>
        </w:rPr>
        <w:t>控制数</w:t>
      </w:r>
      <w:r>
        <w:rPr>
          <w:rFonts w:hint="eastAsia" w:ascii="Times New Roman" w:hAnsi="Times New Roman" w:eastAsia="仿宋_GB2312"/>
          <w:color w:val="auto"/>
          <w:sz w:val="32"/>
          <w:szCs w:val="32"/>
        </w:rPr>
        <w:t>的主要原因是</w:t>
      </w:r>
      <w:r>
        <w:rPr>
          <w:rFonts w:hint="eastAsia" w:ascii="仿宋" w:hAnsi="仿宋" w:eastAsia="仿宋" w:cs="仿宋"/>
          <w:bCs/>
          <w:color w:val="auto"/>
          <w:kern w:val="2"/>
          <w:sz w:val="32"/>
          <w:szCs w:val="32"/>
          <w:highlight w:val="none"/>
          <w:lang w:val="en-US" w:eastAsia="zh-CN" w:bidi="ar-SA"/>
        </w:rPr>
        <w:t>我局加强“三公”经费管理，严控接待费支出。</w:t>
      </w:r>
      <w:r>
        <w:rPr>
          <w:rFonts w:hint="eastAsia" w:ascii="Times New Roman" w:hAnsi="Times New Roman" w:eastAsia="仿宋_GB2312"/>
          <w:color w:val="auto"/>
          <w:sz w:val="32"/>
          <w:szCs w:val="32"/>
        </w:rPr>
        <w:t>与上年相比</w:t>
      </w:r>
      <w:r>
        <w:rPr>
          <w:rFonts w:hint="eastAsia" w:ascii="Times New Roman" w:hAnsi="Times New Roman" w:eastAsia="仿宋_GB2312"/>
          <w:color w:val="auto"/>
          <w:sz w:val="32"/>
          <w:szCs w:val="32"/>
          <w:lang w:eastAsia="zh-CN"/>
        </w:rPr>
        <w:t>增加</w:t>
      </w:r>
      <w:r>
        <w:rPr>
          <w:rFonts w:hint="eastAsia" w:ascii="Times New Roman" w:hAnsi="Times New Roman" w:eastAsia="仿宋_GB2312"/>
          <w:color w:val="auto"/>
          <w:sz w:val="32"/>
          <w:szCs w:val="32"/>
          <w:lang w:val="en-US" w:eastAsia="zh-CN"/>
        </w:rPr>
        <w:t>0.51</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增加</w:t>
      </w:r>
      <w:r>
        <w:rPr>
          <w:rFonts w:hint="eastAsia" w:ascii="Times New Roman" w:hAnsi="Times New Roman" w:eastAsia="仿宋_GB2312"/>
          <w:color w:val="auto"/>
          <w:sz w:val="32"/>
          <w:szCs w:val="32"/>
          <w:lang w:val="en-US" w:eastAsia="zh-CN"/>
        </w:rPr>
        <w:t>50.00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，增加的原因是</w:t>
      </w:r>
      <w:r>
        <w:rPr>
          <w:rFonts w:hint="eastAsia" w:ascii="Times New Roman" w:hAnsi="Times New Roman" w:eastAsia="仿宋_GB2312"/>
          <w:color w:val="auto"/>
          <w:sz w:val="32"/>
          <w:szCs w:val="32"/>
          <w:lang w:val="en-US" w:eastAsia="zh-CN"/>
        </w:rPr>
        <w:t>2023年省厅真抓实干现场考评检查频次增加。</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pPr>
        <w:pStyle w:val="15"/>
        <w:ind w:firstLine="640" w:firstLineChars="200"/>
        <w:rPr>
          <w:rFonts w:hint="default" w:ascii="Times New Roman" w:hAnsi="Times New Roman" w:eastAsia="仿宋_GB2312"/>
          <w:color w:val="auto"/>
          <w:sz w:val="32"/>
          <w:szCs w:val="32"/>
          <w:lang w:val="en-US"/>
        </w:rPr>
      </w:pPr>
      <w:r>
        <w:rPr>
          <w:rFonts w:hint="eastAsia" w:ascii="Times New Roman" w:hAnsi="Times New Roman" w:eastAsia="仿宋_GB2312"/>
          <w:color w:val="auto"/>
          <w:sz w:val="32"/>
          <w:szCs w:val="32"/>
          <w:lang w:val="en-US" w:eastAsia="zh-CN"/>
        </w:rPr>
        <w:t>公务用车运行维护费支出预算控制数为11.5万元，支出决算为11.5万元，完成预算的100%，</w:t>
      </w:r>
      <w:r>
        <w:rPr>
          <w:rFonts w:hint="eastAsia" w:ascii="Times New Roman" w:hAnsi="Times New Roman" w:eastAsia="仿宋_GB2312"/>
          <w:color w:val="auto"/>
          <w:sz w:val="32"/>
          <w:szCs w:val="32"/>
        </w:rPr>
        <w:t>与上年相比增加</w:t>
      </w:r>
      <w:r>
        <w:rPr>
          <w:rFonts w:hint="eastAsia" w:ascii="Times New Roman" w:hAnsi="Times New Roman" w:eastAsia="仿宋_GB2312"/>
          <w:color w:val="auto"/>
          <w:sz w:val="32"/>
          <w:szCs w:val="32"/>
          <w:lang w:val="en-US" w:eastAsia="zh-CN"/>
        </w:rPr>
        <w:t>0.71</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增长</w:t>
      </w:r>
      <w:r>
        <w:rPr>
          <w:rFonts w:hint="eastAsia" w:ascii="Times New Roman" w:hAnsi="Times New Roman" w:eastAsia="仿宋_GB2312"/>
          <w:color w:val="auto"/>
          <w:sz w:val="32"/>
          <w:szCs w:val="32"/>
          <w:lang w:val="en-US" w:eastAsia="zh-CN"/>
        </w:rPr>
        <w:t>6.55</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增</w:t>
      </w:r>
      <w:r>
        <w:rPr>
          <w:rFonts w:hint="eastAsia" w:ascii="Times New Roman" w:hAnsi="Times New Roman" w:eastAsia="仿宋_GB2312"/>
          <w:color w:val="auto"/>
          <w:sz w:val="32"/>
          <w:szCs w:val="32"/>
          <w:lang w:eastAsia="zh-CN"/>
        </w:rPr>
        <w:t>加</w:t>
      </w:r>
      <w:r>
        <w:rPr>
          <w:rFonts w:hint="eastAsia" w:ascii="Times New Roman" w:hAnsi="Times New Roman" w:eastAsia="仿宋_GB2312"/>
          <w:color w:val="auto"/>
          <w:sz w:val="32"/>
          <w:szCs w:val="32"/>
        </w:rPr>
        <w:t>的主要原因是</w:t>
      </w:r>
      <w:r>
        <w:rPr>
          <w:rFonts w:hint="eastAsia" w:ascii="Times New Roman" w:hAnsi="Times New Roman" w:eastAsia="仿宋_GB2312"/>
          <w:color w:val="auto"/>
          <w:sz w:val="32"/>
          <w:szCs w:val="32"/>
          <w:lang w:val="en-US" w:eastAsia="zh-CN"/>
        </w:rPr>
        <w:t>2023年真抓实干考核督查增加。</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年度“三公”经费财政拨款支出决算中</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公务接待费支出决算</w:t>
      </w:r>
      <w:r>
        <w:rPr>
          <w:rFonts w:hint="eastAsia" w:ascii="Times New Roman" w:hAnsi="Times New Roman" w:eastAsia="仿宋_GB2312"/>
          <w:color w:val="auto"/>
          <w:sz w:val="32"/>
          <w:szCs w:val="32"/>
          <w:lang w:val="en-US" w:eastAsia="zh-CN"/>
        </w:rPr>
        <w:t>1.53</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11.74</w:t>
      </w:r>
      <w:r>
        <w:rPr>
          <w:rFonts w:hint="eastAsia" w:ascii="Times New Roman" w:hAnsi="Times New Roman" w:eastAsia="仿宋_GB2312"/>
          <w:color w:val="auto"/>
          <w:sz w:val="32"/>
          <w:szCs w:val="32"/>
        </w:rPr>
        <w:t>%,因公出国（境）费支出决算</w:t>
      </w:r>
      <w:r>
        <w:rPr>
          <w:rFonts w:hint="default" w:ascii="Times New Roman" w:hAnsi="Times New Roman" w:eastAsia="仿宋_GB2312"/>
          <w:color w:val="auto"/>
          <w:sz w:val="32"/>
          <w:szCs w:val="32"/>
          <w:lang w:val="en-US"/>
        </w:rPr>
        <w:t>0.00</w:t>
      </w:r>
      <w:r>
        <w:rPr>
          <w:rFonts w:hint="eastAsia" w:ascii="Times New Roman" w:hAnsi="Times New Roman" w:eastAsia="仿宋_GB2312"/>
          <w:color w:val="auto"/>
          <w:sz w:val="32"/>
          <w:szCs w:val="32"/>
        </w:rPr>
        <w:t>万元,公务用车购置费及运行维护费支出决算</w:t>
      </w:r>
      <w:r>
        <w:rPr>
          <w:rFonts w:hint="eastAsia" w:ascii="Times New Roman" w:hAnsi="Times New Roman" w:eastAsia="仿宋_GB2312"/>
          <w:color w:val="auto"/>
          <w:sz w:val="32"/>
          <w:szCs w:val="32"/>
          <w:lang w:val="en-US" w:eastAsia="zh-CN"/>
        </w:rPr>
        <w:t>11.50</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88.26</w:t>
      </w:r>
      <w:r>
        <w:rPr>
          <w:rFonts w:hint="eastAsia" w:ascii="Times New Roman" w:hAnsi="Times New Roman" w:eastAsia="仿宋_GB2312"/>
          <w:color w:val="auto"/>
          <w:sz w:val="32"/>
          <w:szCs w:val="32"/>
        </w:rPr>
        <w:t>%。其中：</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default" w:ascii="Times New Roman" w:hAnsi="Times New Roman" w:eastAsia="仿宋_GB2312"/>
          <w:sz w:val="32"/>
          <w:szCs w:val="32"/>
          <w:lang w:val="en-US"/>
        </w:rPr>
        <w:t>0.00</w:t>
      </w:r>
      <w:r>
        <w:rPr>
          <w:rFonts w:hint="eastAsia" w:ascii="Times New Roman" w:hAnsi="Times New Roman" w:eastAsia="仿宋_GB2312"/>
          <w:sz w:val="32"/>
          <w:szCs w:val="32"/>
        </w:rPr>
        <w:t>万元，全年安排因公出国（境）团组</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个，累计</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1.53</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110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r>
        <w:rPr>
          <w:rFonts w:hint="eastAsia" w:ascii="仿宋" w:hAnsi="仿宋" w:eastAsia="仿宋" w:cs="仿宋"/>
          <w:bCs/>
          <w:color w:val="auto"/>
          <w:kern w:val="2"/>
          <w:sz w:val="32"/>
          <w:szCs w:val="32"/>
          <w:highlight w:val="none"/>
          <w:lang w:val="en-US" w:eastAsia="zh-CN" w:bidi="ar-SA"/>
        </w:rPr>
        <w:t>主要是各县市区交通部门衔接工作、迎接上级部门检查、调研等发生的接待支出</w:t>
      </w:r>
      <w:r>
        <w:rPr>
          <w:rFonts w:hint="eastAsia" w:ascii="Times New Roman" w:hAnsi="Times New Roman" w:eastAsia="仿宋_GB2312"/>
          <w:color w:val="auto"/>
          <w:sz w:val="32"/>
          <w:szCs w:val="32"/>
        </w:rPr>
        <w:t>。</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11.50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其中：公务用车购置费</w:t>
      </w:r>
      <w:r>
        <w:rPr>
          <w:rFonts w:hint="eastAsia" w:ascii="Times New Roman" w:hAnsi="Times New Roman" w:eastAsia="仿宋_GB2312"/>
          <w:color w:val="auto"/>
          <w:sz w:val="32"/>
          <w:szCs w:val="32"/>
          <w:lang w:val="en-US" w:eastAsia="zh-CN"/>
        </w:rPr>
        <w:t>0.00</w:t>
      </w:r>
      <w:r>
        <w:rPr>
          <w:rFonts w:hint="eastAsia" w:ascii="Times New Roman" w:hAnsi="Times New Roman" w:eastAsia="仿宋_GB2312"/>
          <w:color w:val="auto"/>
          <w:sz w:val="32"/>
          <w:szCs w:val="32"/>
        </w:rPr>
        <w:t>万元。公务用车运行维护费</w:t>
      </w:r>
      <w:r>
        <w:rPr>
          <w:rFonts w:hint="eastAsia" w:ascii="Times New Roman" w:hAnsi="Times New Roman" w:eastAsia="仿宋_GB2312"/>
          <w:color w:val="auto"/>
          <w:sz w:val="32"/>
          <w:szCs w:val="32"/>
          <w:lang w:val="en-US" w:eastAsia="zh-CN"/>
        </w:rPr>
        <w:t>11.50</w:t>
      </w:r>
      <w:r>
        <w:rPr>
          <w:rFonts w:hint="eastAsia" w:ascii="Times New Roman" w:hAnsi="Times New Roman" w:eastAsia="仿宋_GB2312"/>
          <w:color w:val="auto"/>
          <w:sz w:val="32"/>
          <w:szCs w:val="32"/>
        </w:rPr>
        <w:t>万元，</w:t>
      </w:r>
      <w:r>
        <w:rPr>
          <w:rFonts w:hint="eastAsia" w:ascii="仿宋" w:hAnsi="仿宋" w:eastAsia="仿宋" w:cs="仿宋"/>
          <w:bCs/>
          <w:color w:val="auto"/>
          <w:kern w:val="2"/>
          <w:sz w:val="32"/>
          <w:szCs w:val="32"/>
          <w:highlight w:val="none"/>
          <w:lang w:val="en-US" w:eastAsia="zh-CN" w:bidi="ar-SA"/>
        </w:rPr>
        <w:t>主要是用于公务车辆维修、车辆保险及车辆油料费等支出。</w:t>
      </w:r>
      <w:r>
        <w:rPr>
          <w:rFonts w:hint="eastAsia" w:ascii="Times New Roman" w:hAnsi="Times New Roman" w:eastAsia="仿宋_GB2312"/>
          <w:color w:val="auto"/>
          <w:sz w:val="32"/>
          <w:szCs w:val="32"/>
        </w:rPr>
        <w:t>截止202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年12月31日，我单位开支财政拨款的公务用车保有量为</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辆。</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5"/>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color w:val="auto"/>
          <w:sz w:val="32"/>
          <w:szCs w:val="32"/>
        </w:rPr>
        <w:t xml:space="preserve"> 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年度政府性基金预算财政拨款收入</w:t>
      </w:r>
      <w:r>
        <w:rPr>
          <w:rFonts w:hint="eastAsia" w:ascii="Times New Roman" w:hAnsi="Times New Roman" w:eastAsia="仿宋_GB2312"/>
          <w:color w:val="auto"/>
          <w:sz w:val="32"/>
          <w:szCs w:val="32"/>
          <w:lang w:val="en-US" w:eastAsia="zh-CN"/>
        </w:rPr>
        <w:t>0.00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支出</w:t>
      </w:r>
      <w:r>
        <w:rPr>
          <w:rFonts w:hint="eastAsia" w:ascii="Times New Roman" w:hAnsi="Times New Roman" w:eastAsia="仿宋_GB2312"/>
          <w:color w:val="auto"/>
          <w:sz w:val="32"/>
          <w:szCs w:val="32"/>
          <w:lang w:val="en-US" w:eastAsia="zh-CN"/>
        </w:rPr>
        <w:t>0.00</w:t>
      </w:r>
      <w:r>
        <w:rPr>
          <w:rFonts w:hint="eastAsia" w:ascii="Times New Roman" w:hAnsi="Times New Roman" w:eastAsia="仿宋_GB2312"/>
          <w:color w:val="auto"/>
          <w:sz w:val="32"/>
          <w:szCs w:val="32"/>
        </w:rPr>
        <w:t>万元。</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lang w:val="en-US" w:eastAsia="zh-CN"/>
        </w:rPr>
        <w:t>国有资本经营预算财政拨款收入</w:t>
      </w:r>
      <w:r>
        <w:rPr>
          <w:rFonts w:hint="eastAsia" w:ascii="黑体" w:hAnsi="黑体" w:eastAsia="黑体" w:cs="黑体"/>
          <w:b w:val="0"/>
          <w:bCs/>
          <w:sz w:val="32"/>
          <w:szCs w:val="32"/>
          <w:lang w:val="en-US" w:eastAsia="zh-CN"/>
        </w:rPr>
        <w:t>支出决算情况说明</w:t>
      </w:r>
    </w:p>
    <w:p>
      <w:pPr>
        <w:pStyle w:val="15"/>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stheme="minorBidi"/>
          <w:color w:val="auto"/>
          <w:kern w:val="2"/>
          <w:sz w:val="32"/>
          <w:szCs w:val="32"/>
          <w:lang w:val="en-US" w:eastAsia="zh-CN" w:bidi="ar-SA"/>
        </w:rPr>
        <w:t>2023年本单位国有资本经营预算财政拨款收入0万元，支出0万元。</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十、关于机关运行经费支出说明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eastAsia="zh-CN"/>
        </w:rPr>
        <w:t>我单位</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年度机关运行经费支出</w:t>
      </w:r>
      <w:r>
        <w:rPr>
          <w:rFonts w:hint="eastAsia" w:ascii="Times New Roman" w:hAnsi="Times New Roman" w:eastAsia="仿宋_GB2312"/>
          <w:color w:val="auto"/>
          <w:sz w:val="32"/>
          <w:szCs w:val="32"/>
          <w:lang w:val="en-US" w:eastAsia="zh-CN"/>
        </w:rPr>
        <w:t>32.37</w:t>
      </w:r>
      <w:r>
        <w:rPr>
          <w:rFonts w:hint="eastAsia" w:ascii="Times New Roman" w:hAnsi="Times New Roman" w:eastAsia="仿宋_GB2312"/>
          <w:color w:val="auto"/>
          <w:sz w:val="32"/>
          <w:szCs w:val="32"/>
        </w:rPr>
        <w:t>万元，比</w:t>
      </w:r>
      <w:r>
        <w:rPr>
          <w:rFonts w:hint="eastAsia" w:ascii="Times New Roman" w:hAnsi="Times New Roman" w:eastAsia="仿宋_GB2312"/>
          <w:color w:val="auto"/>
          <w:sz w:val="32"/>
          <w:szCs w:val="32"/>
          <w:lang w:val="en-US" w:eastAsia="zh-CN"/>
        </w:rPr>
        <w:t>2022年减少32.01</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val="en-US" w:eastAsia="zh-CN"/>
        </w:rPr>
        <w:t>下降49.72</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主要原因是：2023年进行主水管道改造，厉行节约。</w:t>
      </w:r>
      <w:r>
        <w:rPr>
          <w:rFonts w:hint="eastAsia" w:ascii="仿宋" w:hAnsi="仿宋" w:eastAsia="仿宋" w:cs="仿宋"/>
          <w:bCs/>
          <w:color w:val="auto"/>
          <w:kern w:val="2"/>
          <w:sz w:val="32"/>
          <w:szCs w:val="32"/>
          <w:highlight w:val="none"/>
          <w:lang w:val="en-US" w:eastAsia="zh-CN" w:bidi="ar-SA"/>
        </w:rPr>
        <w:t>按照市政府“过紧日子”的要求，压缩一般性支出，控制机关运行经费，降低机关运行成本。</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十一、一般性支出情况说明</w:t>
      </w:r>
    </w:p>
    <w:p>
      <w:pPr>
        <w:pStyle w:val="15"/>
        <w:keepNext w:val="0"/>
        <w:keepLines w:val="0"/>
        <w:pageBreakBefore w:val="0"/>
        <w:widowControl w:val="0"/>
        <w:tabs>
          <w:tab w:val="left" w:pos="8190"/>
        </w:tabs>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w:t>
      </w:r>
      <w:r>
        <w:rPr>
          <w:rFonts w:hint="eastAsia" w:ascii="Times New Roman" w:hAnsi="Times New Roman" w:eastAsia="仿宋_GB2312"/>
          <w:color w:val="auto"/>
          <w:sz w:val="32"/>
          <w:szCs w:val="32"/>
          <w:lang w:eastAsia="zh-CN"/>
        </w:rPr>
        <w:t>我单位</w:t>
      </w:r>
      <w:r>
        <w:rPr>
          <w:rFonts w:hint="eastAsia" w:ascii="Times New Roman" w:hAnsi="Times New Roman" w:eastAsia="仿宋_GB2312"/>
          <w:color w:val="auto"/>
          <w:sz w:val="32"/>
          <w:szCs w:val="32"/>
        </w:rPr>
        <w:t>开支会议费</w:t>
      </w:r>
      <w:r>
        <w:rPr>
          <w:rFonts w:hint="eastAsia" w:ascii="Times New Roman" w:hAnsi="Times New Roman" w:eastAsia="仿宋_GB2312"/>
          <w:color w:val="auto"/>
          <w:sz w:val="32"/>
          <w:szCs w:val="32"/>
          <w:lang w:val="en-US" w:eastAsia="zh-CN"/>
        </w:rPr>
        <w:t>8.02</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年初预算</w:t>
      </w:r>
      <w:r>
        <w:rPr>
          <w:rFonts w:hint="eastAsia" w:ascii="Times New Roman" w:hAnsi="Times New Roman" w:eastAsia="仿宋_GB2312"/>
          <w:color w:val="auto"/>
          <w:sz w:val="32"/>
          <w:szCs w:val="32"/>
          <w:lang w:val="en-US" w:eastAsia="zh-CN"/>
        </w:rPr>
        <w:t>0万元。</w:t>
      </w:r>
      <w:r>
        <w:rPr>
          <w:rFonts w:hint="eastAsia" w:ascii="Times New Roman" w:hAnsi="Times New Roman" w:eastAsia="仿宋_GB2312"/>
          <w:color w:val="auto"/>
          <w:sz w:val="32"/>
          <w:szCs w:val="32"/>
          <w:lang w:eastAsia="zh-CN"/>
        </w:rPr>
        <w:t>其中：</w:t>
      </w:r>
      <w:r>
        <w:rPr>
          <w:rFonts w:hint="eastAsia" w:ascii="Times New Roman" w:hAnsi="Times New Roman" w:eastAsia="仿宋_GB2312"/>
          <w:color w:val="auto"/>
          <w:sz w:val="32"/>
          <w:szCs w:val="32"/>
        </w:rPr>
        <w:t>召开</w:t>
      </w:r>
      <w:r>
        <w:rPr>
          <w:rFonts w:hint="eastAsia" w:ascii="Times New Roman" w:hAnsi="Times New Roman" w:eastAsia="仿宋_GB2312"/>
          <w:color w:val="auto"/>
          <w:sz w:val="32"/>
          <w:szCs w:val="32"/>
          <w:lang w:val="en-US" w:eastAsia="zh-CN"/>
        </w:rPr>
        <w:t>2023年全市</w:t>
      </w:r>
      <w:r>
        <w:rPr>
          <w:rFonts w:hint="eastAsia" w:ascii="Times New Roman" w:hAnsi="Times New Roman" w:eastAsia="仿宋_GB2312"/>
          <w:color w:val="auto"/>
          <w:sz w:val="32"/>
          <w:szCs w:val="32"/>
          <w:lang w:eastAsia="zh-CN"/>
        </w:rPr>
        <w:t>交通安全生产例会</w:t>
      </w:r>
      <w:r>
        <w:rPr>
          <w:rFonts w:hint="eastAsia" w:ascii="Times New Roman" w:hAnsi="Times New Roman" w:eastAsia="仿宋_GB2312"/>
          <w:color w:val="auto"/>
          <w:sz w:val="32"/>
          <w:szCs w:val="32"/>
        </w:rPr>
        <w:t>会议</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lang w:eastAsia="zh-CN"/>
        </w:rPr>
        <w:t>次</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lang w:eastAsia="zh-CN"/>
        </w:rPr>
        <w:t>人数为</w:t>
      </w:r>
      <w:r>
        <w:rPr>
          <w:rFonts w:hint="eastAsia" w:ascii="Times New Roman" w:hAnsi="Times New Roman" w:eastAsia="仿宋_GB2312"/>
          <w:color w:val="auto"/>
          <w:sz w:val="32"/>
          <w:szCs w:val="32"/>
          <w:lang w:val="en-US" w:eastAsia="zh-CN"/>
        </w:rPr>
        <w:t>60</w:t>
      </w:r>
      <w:r>
        <w:rPr>
          <w:rFonts w:hint="eastAsia" w:ascii="Times New Roman" w:hAnsi="Times New Roman" w:eastAsia="仿宋_GB2312"/>
          <w:color w:val="auto"/>
          <w:sz w:val="32"/>
          <w:szCs w:val="32"/>
        </w:rPr>
        <w:t>人</w:t>
      </w:r>
      <w:r>
        <w:rPr>
          <w:rFonts w:hint="eastAsia" w:ascii="Times New Roman" w:hAnsi="Times New Roman" w:eastAsia="仿宋_GB2312"/>
          <w:color w:val="auto"/>
          <w:sz w:val="32"/>
          <w:szCs w:val="32"/>
          <w:lang w:val="en-US" w:eastAsia="zh-CN"/>
        </w:rPr>
        <w:t>/次</w:t>
      </w:r>
      <w:r>
        <w:rPr>
          <w:rFonts w:hint="eastAsia" w:ascii="Times New Roman" w:hAnsi="Times New Roman" w:eastAsia="仿宋_GB2312"/>
          <w:color w:val="auto"/>
          <w:sz w:val="32"/>
          <w:szCs w:val="32"/>
        </w:rPr>
        <w:t>，内容为总结安全生产工作情况，部署安全生产工作任务</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highlight w:val="none"/>
          <w:lang w:eastAsia="zh-CN"/>
        </w:rPr>
        <w:t>召开十四五规划中期评估县市区座谈会，人数为</w:t>
      </w:r>
      <w:r>
        <w:rPr>
          <w:rFonts w:hint="eastAsia" w:ascii="Times New Roman" w:hAnsi="Times New Roman" w:eastAsia="仿宋_GB2312"/>
          <w:color w:val="auto"/>
          <w:sz w:val="32"/>
          <w:szCs w:val="32"/>
          <w:highlight w:val="none"/>
          <w:lang w:val="en-US" w:eastAsia="zh-CN"/>
        </w:rPr>
        <w:t>70</w:t>
      </w:r>
      <w:r>
        <w:rPr>
          <w:rFonts w:hint="eastAsia" w:ascii="Times New Roman" w:hAnsi="Times New Roman" w:eastAsia="仿宋_GB2312"/>
          <w:color w:val="auto"/>
          <w:sz w:val="32"/>
          <w:szCs w:val="32"/>
          <w:highlight w:val="none"/>
          <w:lang w:eastAsia="zh-CN"/>
        </w:rPr>
        <w:t>人</w:t>
      </w:r>
      <w:r>
        <w:rPr>
          <w:rFonts w:hint="eastAsia" w:ascii="Times New Roman" w:hAnsi="Times New Roman" w:eastAsia="仿宋_GB2312"/>
          <w:color w:val="auto"/>
          <w:sz w:val="32"/>
          <w:szCs w:val="32"/>
          <w:highlight w:val="none"/>
          <w:lang w:val="en-US" w:eastAsia="zh-CN"/>
        </w:rPr>
        <w:t>，内容为介绍本地区“十四五”规划实施情况、经验做法、存在的问题及请求事项和调研座谈交流;省交通厅在怀召开全省普通国省道停缓建项目约谈会，</w:t>
      </w:r>
      <w:r>
        <w:rPr>
          <w:rFonts w:hint="eastAsia" w:ascii="Times New Roman" w:hAnsi="Times New Roman" w:eastAsia="仿宋_GB2312"/>
          <w:color w:val="auto"/>
          <w:sz w:val="32"/>
          <w:szCs w:val="32"/>
          <w:highlight w:val="none"/>
          <w:lang w:eastAsia="zh-CN"/>
        </w:rPr>
        <w:t>人数为</w:t>
      </w:r>
      <w:r>
        <w:rPr>
          <w:rFonts w:hint="eastAsia" w:ascii="Times New Roman" w:hAnsi="Times New Roman" w:eastAsia="仿宋_GB2312"/>
          <w:color w:val="auto"/>
          <w:sz w:val="32"/>
          <w:szCs w:val="32"/>
          <w:highlight w:val="none"/>
          <w:lang w:val="en-US" w:eastAsia="zh-CN"/>
        </w:rPr>
        <w:t>54</w:t>
      </w:r>
      <w:r>
        <w:rPr>
          <w:rFonts w:hint="eastAsia" w:ascii="Times New Roman" w:hAnsi="Times New Roman" w:eastAsia="仿宋_GB2312"/>
          <w:color w:val="auto"/>
          <w:sz w:val="32"/>
          <w:szCs w:val="32"/>
          <w:highlight w:val="none"/>
          <w:lang w:eastAsia="zh-CN"/>
        </w:rPr>
        <w:t>人</w:t>
      </w:r>
      <w:r>
        <w:rPr>
          <w:rFonts w:hint="eastAsia" w:ascii="Times New Roman" w:hAnsi="Times New Roman" w:eastAsia="仿宋_GB2312"/>
          <w:color w:val="auto"/>
          <w:sz w:val="32"/>
          <w:szCs w:val="32"/>
          <w:highlight w:val="none"/>
          <w:lang w:val="en-US" w:eastAsia="zh-CN"/>
        </w:rPr>
        <w:t>，内容为推动和调度国省道项目的实施;召开全国推进客货邮视频会、12328监督服务工作推进会国防工作会、财政部湖南监管局国省补助资金绩效评价现场会。</w:t>
      </w:r>
    </w:p>
    <w:p>
      <w:pPr>
        <w:pStyle w:val="15"/>
        <w:keepNext w:val="0"/>
        <w:keepLines w:val="0"/>
        <w:pageBreakBefore w:val="0"/>
        <w:widowControl w:val="0"/>
        <w:tabs>
          <w:tab w:val="left" w:pos="8190"/>
        </w:tabs>
        <w:kinsoku/>
        <w:wordWrap/>
        <w:overflowPunct/>
        <w:topLinePunct w:val="0"/>
        <w:bidi w:val="0"/>
        <w:snapToGrid/>
        <w:spacing w:line="600" w:lineRule="exact"/>
        <w:ind w:left="958" w:leftChars="304" w:hanging="320" w:hangingChars="10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2023年本部门开支培训费0万元，年初预算0万元。</w:t>
      </w:r>
    </w:p>
    <w:p>
      <w:pPr>
        <w:pStyle w:val="15"/>
        <w:keepNext w:val="0"/>
        <w:keepLines w:val="0"/>
        <w:pageBreakBefore w:val="0"/>
        <w:widowControl w:val="0"/>
        <w:tabs>
          <w:tab w:val="left" w:pos="8190"/>
        </w:tabs>
        <w:kinsoku/>
        <w:wordWrap/>
        <w:overflowPunct/>
        <w:topLinePunct w:val="0"/>
        <w:bidi w:val="0"/>
        <w:snapToGrid/>
        <w:spacing w:line="600" w:lineRule="exact"/>
        <w:ind w:left="958" w:leftChars="304" w:hanging="320" w:hangingChars="100"/>
        <w:textAlignment w:val="auto"/>
        <w:rPr>
          <w:rFonts w:hint="eastAsia" w:ascii="黑体" w:hAnsi="黑体" w:eastAsia="黑体" w:cs="黑体"/>
          <w:b w:val="0"/>
          <w:bCs/>
          <w:sz w:val="32"/>
          <w:szCs w:val="32"/>
        </w:rPr>
      </w:pPr>
      <w:r>
        <w:rPr>
          <w:rFonts w:hint="eastAsia" w:ascii="Times New Roman" w:hAnsi="Times New Roman" w:eastAsia="仿宋_GB2312"/>
          <w:color w:val="auto"/>
          <w:sz w:val="32"/>
          <w:szCs w:val="32"/>
          <w:lang w:val="en-US" w:eastAsia="zh-CN"/>
        </w:rPr>
        <w:t>2023年我局无</w:t>
      </w:r>
      <w:r>
        <w:rPr>
          <w:rFonts w:hint="eastAsia" w:ascii="Times New Roman" w:hAnsi="Times New Roman" w:eastAsia="仿宋_GB2312"/>
          <w:color w:val="auto"/>
          <w:sz w:val="32"/>
          <w:szCs w:val="32"/>
        </w:rPr>
        <w:t>节庆、晚会、论坛、赛事活动</w:t>
      </w:r>
      <w:r>
        <w:rPr>
          <w:rFonts w:hint="eastAsia" w:ascii="Times New Roman" w:hAnsi="Times New Roman" w:eastAsia="仿宋_GB2312"/>
          <w:color w:val="auto"/>
          <w:sz w:val="32"/>
          <w:szCs w:val="32"/>
          <w:lang w:eastAsia="zh-CN"/>
        </w:rPr>
        <w:t>开支</w:t>
      </w:r>
      <w:r>
        <w:rPr>
          <w:rFonts w:hint="eastAsia" w:ascii="Times New Roman" w:hAnsi="Times New Roman" w:eastAsia="仿宋_GB2312"/>
          <w:color w:val="auto"/>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十二、关于政府采购支出说明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Times New Roman" w:hAnsi="Times New Roman" w:eastAsia="仿宋_GB2312"/>
          <w:color w:val="auto"/>
          <w:sz w:val="32"/>
          <w:szCs w:val="32"/>
        </w:rPr>
        <w:t>本部门202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年度政府采购支出总额</w:t>
      </w:r>
      <w:r>
        <w:rPr>
          <w:rFonts w:hint="default" w:ascii="Times New Roman" w:hAnsi="Times New Roman" w:eastAsia="仿宋_GB2312"/>
          <w:color w:val="auto"/>
          <w:sz w:val="32"/>
          <w:szCs w:val="32"/>
          <w:lang w:val="en-US"/>
        </w:rPr>
        <w:t>280.73</w:t>
      </w:r>
      <w:r>
        <w:rPr>
          <w:rFonts w:hint="eastAsia" w:ascii="Times New Roman" w:hAnsi="Times New Roman" w:eastAsia="仿宋_GB2312"/>
          <w:color w:val="auto"/>
          <w:sz w:val="32"/>
          <w:szCs w:val="32"/>
        </w:rPr>
        <w:t>万元，其中：政府采购服务支出</w:t>
      </w:r>
      <w:r>
        <w:rPr>
          <w:rFonts w:hint="default" w:ascii="Times New Roman" w:hAnsi="Times New Roman" w:eastAsia="仿宋_GB2312"/>
          <w:color w:val="auto"/>
          <w:sz w:val="32"/>
          <w:szCs w:val="32"/>
          <w:lang w:val="en-US" w:eastAsia="zh-CN"/>
        </w:rPr>
        <w:t>280.73</w:t>
      </w:r>
      <w:r>
        <w:rPr>
          <w:rFonts w:hint="eastAsia" w:ascii="Times New Roman" w:hAnsi="Times New Roman" w:eastAsia="仿宋_GB2312"/>
          <w:color w:val="auto"/>
          <w:sz w:val="32"/>
          <w:szCs w:val="32"/>
        </w:rPr>
        <w:t>万元。授予中小企业合同金额</w:t>
      </w:r>
      <w:r>
        <w:rPr>
          <w:rFonts w:hint="default" w:ascii="Times New Roman" w:hAnsi="Times New Roman" w:eastAsia="仿宋_GB2312"/>
          <w:color w:val="auto"/>
          <w:sz w:val="32"/>
          <w:szCs w:val="32"/>
          <w:lang w:val="en-US" w:eastAsia="zh-CN"/>
        </w:rPr>
        <w:t>280.73</w:t>
      </w:r>
      <w:r>
        <w:rPr>
          <w:rFonts w:hint="eastAsia" w:ascii="Times New Roman" w:hAnsi="Times New Roman" w:eastAsia="仿宋_GB2312"/>
          <w:color w:val="auto"/>
          <w:sz w:val="32"/>
          <w:szCs w:val="32"/>
        </w:rPr>
        <w:t>万元，占政府采购支出总额的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%，其中：授予小微企业合同金额</w:t>
      </w:r>
      <w:r>
        <w:rPr>
          <w:rFonts w:hint="default" w:ascii="Times New Roman" w:hAnsi="Times New Roman" w:eastAsia="仿宋_GB2312"/>
          <w:color w:val="auto"/>
          <w:sz w:val="32"/>
          <w:szCs w:val="32"/>
          <w:lang w:val="en-US" w:eastAsia="zh-CN"/>
        </w:rPr>
        <w:t>280.73</w:t>
      </w:r>
      <w:r>
        <w:rPr>
          <w:rFonts w:hint="eastAsia" w:ascii="Times New Roman" w:hAnsi="Times New Roman" w:eastAsia="仿宋_GB2312"/>
          <w:color w:val="auto"/>
          <w:sz w:val="32"/>
          <w:szCs w:val="32"/>
        </w:rPr>
        <w:t>万元，占政府采购支出总额</w:t>
      </w:r>
      <w:r>
        <w:rPr>
          <w:rFonts w:hint="eastAsia" w:ascii="Times New Roman" w:hAnsi="Times New Roman" w:eastAsia="仿宋_GB2312"/>
          <w:color w:val="auto"/>
          <w:sz w:val="32"/>
          <w:szCs w:val="32"/>
          <w:lang w:eastAsia="zh-CN"/>
        </w:rPr>
        <w:t>的</w:t>
      </w:r>
      <w:r>
        <w:rPr>
          <w:rFonts w:hint="default"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十三、关于国有资产占用情况说明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仿宋" w:hAnsi="仿宋" w:eastAsia="仿宋" w:cs="仿宋"/>
          <w:b w:val="0"/>
          <w:bCs w:val="0"/>
          <w:color w:val="auto"/>
          <w:kern w:val="2"/>
          <w:sz w:val="32"/>
          <w:szCs w:val="32"/>
          <w:lang w:val="en-US" w:eastAsia="zh-CN" w:bidi="ar-SA"/>
        </w:rPr>
        <w:t>截至2023年12月31日，本单位共有车辆3辆，其中，机要通信用车1辆、执法执勤用车2辆；单位价值50万元以上通用设备0台（套）；单位价值100万元以上专用设备0台（套）。</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十四、关于2023年度预算绩效情况的说明</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pStyle w:val="10"/>
        <w:keepNext w:val="0"/>
        <w:keepLines w:val="0"/>
        <w:widowControl/>
        <w:suppressLineNumbers w:val="0"/>
        <w:spacing w:before="0" w:beforeAutospacing="0" w:after="0" w:afterAutospacing="0" w:line="375" w:lineRule="atLeast"/>
        <w:ind w:left="0" w:right="0" w:firstLine="640"/>
        <w:jc w:val="both"/>
        <w:rPr>
          <w:rFonts w:hint="eastAsia" w:ascii="楷体" w:hAnsi="楷体" w:eastAsia="楷体" w:cs="楷体"/>
          <w:b/>
          <w:bCs/>
          <w:sz w:val="32"/>
          <w:szCs w:val="32"/>
          <w:lang w:eastAsia="zh-CN"/>
        </w:rPr>
      </w:pPr>
      <w:r>
        <w:rPr>
          <w:rFonts w:hint="eastAsia" w:ascii="仿宋_GB2312" w:hAnsi="仿宋_GB2312" w:eastAsia="仿宋_GB2312" w:cs="仿宋_GB2312"/>
          <w:color w:val="000000"/>
          <w:kern w:val="0"/>
          <w:sz w:val="32"/>
          <w:szCs w:val="32"/>
        </w:rPr>
        <w:t>根据预算绩效管理要求</w:t>
      </w:r>
      <w:bookmarkStart w:id="1" w:name="_GoBack"/>
      <w:bookmarkEnd w:id="1"/>
      <w:r>
        <w:rPr>
          <w:rFonts w:hint="eastAsia" w:ascii="仿宋_GB2312" w:hAnsi="仿宋_GB2312" w:eastAsia="仿宋_GB2312" w:cs="仿宋_GB2312"/>
          <w:color w:val="000000"/>
          <w:kern w:val="0"/>
          <w:sz w:val="32"/>
          <w:szCs w:val="32"/>
        </w:rPr>
        <w:t>，我</w:t>
      </w:r>
      <w:r>
        <w:rPr>
          <w:rFonts w:hint="eastAsia" w:ascii="仿宋_GB2312" w:hAnsi="仿宋_GB2312" w:eastAsia="仿宋_GB2312" w:cs="仿宋_GB2312"/>
          <w:color w:val="000000"/>
          <w:kern w:val="0"/>
          <w:sz w:val="32"/>
          <w:szCs w:val="32"/>
          <w:lang w:eastAsia="zh-CN"/>
        </w:rPr>
        <w:t>局认真</w:t>
      </w:r>
      <w:r>
        <w:rPr>
          <w:rFonts w:hint="eastAsia" w:ascii="仿宋_GB2312" w:hAnsi="仿宋_GB2312" w:eastAsia="仿宋_GB2312" w:cs="仿宋_GB2312"/>
          <w:color w:val="000000"/>
          <w:kern w:val="0"/>
          <w:sz w:val="32"/>
          <w:szCs w:val="32"/>
        </w:rPr>
        <w:t>开展整体支出绩效评价，涉及一般公共预算支出</w:t>
      </w:r>
      <w:r>
        <w:rPr>
          <w:rFonts w:hint="eastAsia" w:ascii="仿宋_GB2312" w:hAnsi="仿宋_GB2312" w:eastAsia="仿宋_GB2312" w:cs="仿宋_GB2312"/>
          <w:color w:val="000000"/>
          <w:kern w:val="0"/>
          <w:sz w:val="32"/>
          <w:szCs w:val="32"/>
          <w:lang w:val="en-US" w:eastAsia="zh-CN"/>
        </w:rPr>
        <w:t>1396.70</w:t>
      </w:r>
      <w:r>
        <w:rPr>
          <w:rFonts w:hint="eastAsia" w:ascii="仿宋_GB2312" w:hAnsi="仿宋_GB2312" w:eastAsia="仿宋_GB2312" w:cs="仿宋_GB2312"/>
          <w:color w:val="000000"/>
          <w:kern w:val="0"/>
          <w:sz w:val="32"/>
          <w:szCs w:val="32"/>
        </w:rPr>
        <w:t>万元，政府性基金预算支出</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，国有资本经营预算项目支出</w:t>
      </w:r>
      <w:r>
        <w:rPr>
          <w:rFonts w:hint="eastAsia" w:ascii="仿宋_GB2312" w:hAnsi="仿宋_GB2312" w:eastAsia="仿宋_GB2312" w:cs="仿宋_GB2312"/>
          <w:color w:val="000000"/>
          <w:kern w:val="0"/>
          <w:sz w:val="32"/>
          <w:szCs w:val="32"/>
          <w:lang w:val="en-US" w:eastAsia="zh-CN"/>
        </w:rPr>
        <w:t>0元</w:t>
      </w:r>
      <w:r>
        <w:rPr>
          <w:rFonts w:hint="eastAsia" w:ascii="仿宋_GB2312" w:hAnsi="仿宋_GB2312" w:eastAsia="仿宋_GB2312" w:cs="仿宋_GB2312"/>
          <w:color w:val="000000"/>
          <w:kern w:val="0"/>
          <w:sz w:val="32"/>
          <w:szCs w:val="32"/>
        </w:rPr>
        <w:t>。从评价情况来看，</w:t>
      </w:r>
      <w:r>
        <w:rPr>
          <w:rFonts w:hint="eastAsia" w:ascii="仿宋_GB2312" w:hAnsi="仿宋_GB2312" w:eastAsia="仿宋_GB2312" w:cs="仿宋_GB2312"/>
          <w:color w:val="000000"/>
          <w:kern w:val="0"/>
          <w:sz w:val="32"/>
          <w:szCs w:val="32"/>
          <w:lang w:val="en-US" w:eastAsia="zh-CN"/>
        </w:rPr>
        <w:t>2023</w:t>
      </w:r>
      <w:r>
        <w:rPr>
          <w:rFonts w:hint="eastAsia" w:ascii="仿宋_GB2312" w:hAnsi="仿宋_GB2312" w:eastAsia="仿宋_GB2312" w:cs="仿宋_GB2312"/>
          <w:color w:val="000000"/>
          <w:kern w:val="0"/>
          <w:sz w:val="32"/>
          <w:szCs w:val="32"/>
        </w:rPr>
        <w:t>年怀化市</w:t>
      </w:r>
      <w:r>
        <w:rPr>
          <w:rFonts w:hint="eastAsia" w:ascii="仿宋_GB2312" w:hAnsi="仿宋_GB2312" w:eastAsia="仿宋_GB2312" w:cs="仿宋_GB2312"/>
          <w:color w:val="000000"/>
          <w:kern w:val="0"/>
          <w:sz w:val="32"/>
          <w:szCs w:val="32"/>
          <w:lang w:eastAsia="zh-CN"/>
        </w:rPr>
        <w:t>交通运输局财政拨款</w:t>
      </w:r>
      <w:r>
        <w:rPr>
          <w:rFonts w:hint="eastAsia" w:ascii="仿宋_GB2312" w:hAnsi="仿宋_GB2312" w:eastAsia="仿宋_GB2312" w:cs="仿宋_GB2312"/>
          <w:color w:val="000000"/>
          <w:kern w:val="0"/>
          <w:sz w:val="32"/>
          <w:szCs w:val="32"/>
        </w:rPr>
        <w:t>总支出为</w:t>
      </w:r>
      <w:r>
        <w:rPr>
          <w:rFonts w:hint="eastAsia" w:ascii="仿宋_GB2312" w:hAnsi="仿宋_GB2312" w:eastAsia="仿宋_GB2312" w:cs="仿宋_GB2312"/>
          <w:color w:val="000000"/>
          <w:kern w:val="0"/>
          <w:sz w:val="32"/>
          <w:szCs w:val="32"/>
          <w:lang w:val="en-US" w:eastAsia="zh-CN"/>
        </w:rPr>
        <w:t>1396.70</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其中：</w:t>
      </w:r>
      <w:r>
        <w:rPr>
          <w:rFonts w:hint="eastAsia" w:ascii="仿宋_GB2312" w:hAnsi="仿宋_GB2312" w:eastAsia="仿宋_GB2312" w:cs="仿宋_GB2312"/>
          <w:color w:val="000000"/>
          <w:kern w:val="0"/>
          <w:sz w:val="32"/>
          <w:szCs w:val="32"/>
        </w:rPr>
        <w:t>基本支出</w:t>
      </w:r>
      <w:r>
        <w:rPr>
          <w:rFonts w:hint="eastAsia" w:ascii="仿宋_GB2312" w:hAnsi="仿宋_GB2312" w:eastAsia="仿宋_GB2312" w:cs="仿宋_GB2312"/>
          <w:color w:val="000000"/>
          <w:kern w:val="0"/>
          <w:sz w:val="32"/>
          <w:szCs w:val="32"/>
          <w:lang w:val="en-US" w:eastAsia="zh-CN"/>
        </w:rPr>
        <w:t>632.52万元，项目支出764.18万元</w:t>
      </w:r>
      <w:r>
        <w:rPr>
          <w:rFonts w:hint="eastAsia" w:ascii="仿宋_GB2312" w:hAnsi="仿宋_GB2312" w:eastAsia="仿宋_GB2312" w:cs="仿宋_GB2312"/>
          <w:color w:val="000000"/>
          <w:kern w:val="0"/>
          <w:sz w:val="32"/>
          <w:szCs w:val="32"/>
        </w:rPr>
        <w:t>。基本支出核算的主要内容是为保障</w:t>
      </w:r>
      <w:r>
        <w:rPr>
          <w:rFonts w:hint="eastAsia" w:ascii="仿宋_GB2312" w:hAnsi="仿宋_GB2312" w:eastAsia="仿宋_GB2312" w:cs="仿宋_GB2312"/>
          <w:color w:val="000000"/>
          <w:kern w:val="0"/>
          <w:sz w:val="32"/>
          <w:szCs w:val="32"/>
          <w:lang w:eastAsia="zh-CN"/>
        </w:rPr>
        <w:t>交通运输</w:t>
      </w:r>
      <w:r>
        <w:rPr>
          <w:rFonts w:hint="eastAsia" w:ascii="仿宋_GB2312" w:hAnsi="仿宋_GB2312" w:eastAsia="仿宋_GB2312" w:cs="仿宋_GB2312"/>
          <w:color w:val="000000"/>
          <w:kern w:val="0"/>
          <w:sz w:val="32"/>
          <w:szCs w:val="32"/>
        </w:rPr>
        <w:t>局机关正常运转、完成日常工作任务而发生的人员支出和公用支出，涉及范围为局机关在职及离退休人员。</w:t>
      </w:r>
      <w:r>
        <w:rPr>
          <w:rFonts w:hint="eastAsia" w:ascii="仿宋_GB2312" w:hAnsi="仿宋_GB2312" w:eastAsia="仿宋_GB2312" w:cs="仿宋_GB2312"/>
          <w:color w:val="000000"/>
          <w:kern w:val="0"/>
          <w:sz w:val="32"/>
          <w:szCs w:val="32"/>
          <w:lang w:eastAsia="zh-CN"/>
        </w:rPr>
        <w:t>项目支出核算的主要内容是交通运输局完成特定的工作任务或事业发展目标，在基本的预算支出以外，财政预算专款安排的支出。</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pStyle w:val="10"/>
        <w:spacing w:before="0" w:beforeAutospacing="0" w:after="75" w:afterAutospacing="0" w:line="510" w:lineRule="atLeast"/>
        <w:ind w:firstLine="640" w:firstLineChars="200"/>
        <w:jc w:val="both"/>
        <w:rPr>
          <w:rFonts w:hint="eastAsia" w:ascii="Times New Roman" w:hAnsi="Times New Roman" w:eastAsia="仿宋_GB2312"/>
          <w:color w:val="auto"/>
          <w:sz w:val="32"/>
          <w:szCs w:val="32"/>
        </w:rPr>
      </w:pPr>
      <w:r>
        <w:rPr>
          <w:rFonts w:hint="eastAsia" w:ascii="仿宋" w:hAnsi="仿宋" w:eastAsia="仿宋" w:cs="仿宋"/>
          <w:b w:val="0"/>
          <w:bCs w:val="0"/>
          <w:color w:val="auto"/>
          <w:kern w:val="2"/>
          <w:sz w:val="32"/>
          <w:szCs w:val="32"/>
          <w:lang w:val="en-US" w:eastAsia="zh-CN" w:bidi="ar-SA"/>
        </w:rPr>
        <w:t>根据《怀化市财政局关于开展202</w:t>
      </w:r>
      <w:r>
        <w:rPr>
          <w:rFonts w:hint="default" w:ascii="仿宋" w:hAnsi="仿宋" w:eastAsia="仿宋" w:cs="仿宋"/>
          <w:b w:val="0"/>
          <w:bCs w:val="0"/>
          <w:color w:val="auto"/>
          <w:kern w:val="2"/>
          <w:sz w:val="32"/>
          <w:szCs w:val="32"/>
          <w:lang w:val="en-US" w:eastAsia="zh-CN" w:bidi="ar-SA"/>
        </w:rPr>
        <w:t>3</w:t>
      </w:r>
      <w:r>
        <w:rPr>
          <w:rFonts w:hint="eastAsia" w:ascii="仿宋" w:hAnsi="仿宋" w:eastAsia="仿宋" w:cs="仿宋"/>
          <w:b w:val="0"/>
          <w:bCs w:val="0"/>
          <w:color w:val="auto"/>
          <w:kern w:val="2"/>
          <w:sz w:val="32"/>
          <w:szCs w:val="32"/>
          <w:lang w:val="en-US" w:eastAsia="zh-CN" w:bidi="ar-SA"/>
        </w:rPr>
        <w:t>年度部门整体支出与专项资金绩效自评工作的通知》（怀财绩〔2024〕46号）要求，现将我局对202</w:t>
      </w:r>
      <w:r>
        <w:rPr>
          <w:rFonts w:hint="default" w:ascii="仿宋" w:hAnsi="仿宋" w:eastAsia="仿宋" w:cs="仿宋"/>
          <w:b w:val="0"/>
          <w:bCs w:val="0"/>
          <w:color w:val="auto"/>
          <w:kern w:val="2"/>
          <w:sz w:val="32"/>
          <w:szCs w:val="32"/>
          <w:lang w:val="en-US" w:eastAsia="zh-CN" w:bidi="ar-SA"/>
        </w:rPr>
        <w:t>3</w:t>
      </w:r>
      <w:r>
        <w:rPr>
          <w:rFonts w:hint="eastAsia" w:ascii="仿宋" w:hAnsi="仿宋" w:eastAsia="仿宋" w:cs="仿宋"/>
          <w:b w:val="0"/>
          <w:bCs w:val="0"/>
          <w:color w:val="auto"/>
          <w:kern w:val="2"/>
          <w:sz w:val="32"/>
          <w:szCs w:val="32"/>
          <w:lang w:val="en-US" w:eastAsia="zh-CN" w:bidi="ar-SA"/>
        </w:rPr>
        <w:t>年度整体支出情况开展了绩效自评</w:t>
      </w:r>
      <w:r>
        <w:rPr>
          <w:rFonts w:hint="eastAsia" w:ascii="仿宋" w:hAnsi="仿宋" w:eastAsia="仿宋" w:cs="仿宋"/>
          <w:bCs/>
          <w:color w:val="auto"/>
          <w:kern w:val="2"/>
          <w:sz w:val="32"/>
          <w:szCs w:val="32"/>
          <w:highlight w:val="none"/>
          <w:lang w:val="en-US" w:eastAsia="zh-CN" w:bidi="ar-SA"/>
        </w:rPr>
        <w:t>。从评价情况来看，市级财政预算资金整体绩效评价良好。(202</w:t>
      </w:r>
      <w:r>
        <w:rPr>
          <w:rFonts w:hint="default" w:ascii="仿宋" w:hAnsi="仿宋" w:eastAsia="仿宋" w:cs="仿宋"/>
          <w:bCs/>
          <w:color w:val="auto"/>
          <w:kern w:val="2"/>
          <w:sz w:val="32"/>
          <w:szCs w:val="32"/>
          <w:highlight w:val="none"/>
          <w:lang w:val="en-US" w:eastAsia="zh-CN" w:bidi="ar-SA"/>
        </w:rPr>
        <w:t>3</w:t>
      </w:r>
      <w:r>
        <w:rPr>
          <w:rFonts w:hint="eastAsia" w:ascii="仿宋" w:hAnsi="仿宋" w:eastAsia="仿宋" w:cs="仿宋"/>
          <w:bCs/>
          <w:color w:val="auto"/>
          <w:kern w:val="2"/>
          <w:sz w:val="32"/>
          <w:szCs w:val="32"/>
          <w:highlight w:val="none"/>
          <w:lang w:val="en-US" w:eastAsia="zh-CN" w:bidi="ar-SA"/>
        </w:rPr>
        <w:t>年度交通部门整体绩效评价报告见附件二，202</w:t>
      </w:r>
      <w:r>
        <w:rPr>
          <w:rFonts w:hint="default" w:ascii="仿宋" w:hAnsi="仿宋" w:eastAsia="仿宋" w:cs="仿宋"/>
          <w:bCs/>
          <w:color w:val="auto"/>
          <w:kern w:val="2"/>
          <w:sz w:val="32"/>
          <w:szCs w:val="32"/>
          <w:highlight w:val="none"/>
          <w:lang w:val="en-US" w:eastAsia="zh-CN" w:bidi="ar-SA"/>
        </w:rPr>
        <w:t>3</w:t>
      </w:r>
      <w:r>
        <w:rPr>
          <w:rFonts w:hint="eastAsia" w:ascii="仿宋" w:hAnsi="仿宋" w:eastAsia="仿宋" w:cs="仿宋"/>
          <w:bCs/>
          <w:color w:val="auto"/>
          <w:kern w:val="2"/>
          <w:sz w:val="32"/>
          <w:szCs w:val="32"/>
          <w:highlight w:val="none"/>
          <w:lang w:val="en-US" w:eastAsia="zh-CN" w:bidi="ar-SA"/>
        </w:rPr>
        <w:t>年专项资金绩效报告见附件三)</w:t>
      </w:r>
      <w:r>
        <w:rPr>
          <w:rFonts w:hint="eastAsia" w:ascii="Times New Roman" w:hAnsi="Times New Roman" w:eastAsia="仿宋_GB2312"/>
          <w:color w:val="auto"/>
          <w:sz w:val="32"/>
          <w:szCs w:val="32"/>
        </w:rPr>
        <w:t>。</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keepNext w:val="0"/>
        <w:keepLines w:val="0"/>
        <w:pageBreakBefore w:val="0"/>
        <w:widowControl w:val="0"/>
        <w:kinsoku/>
        <w:wordWrap/>
        <w:overflowPunct/>
        <w:topLinePunct w:val="0"/>
        <w:autoSpaceDE/>
        <w:autoSpaceDN/>
        <w:bidi w:val="0"/>
        <w:adjustRightInd/>
        <w:snapToGrid w:val="0"/>
        <w:spacing w:line="620" w:lineRule="exact"/>
        <w:ind w:left="0"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一是预算内资金紧张，行政负担重，日常公用经费不足（公用经费标准按照1.2万元/人），特别是必要的人员支出社保费：生育保险、工伤保险、残保金、事业编制退休人员去世抚恤金等均由单位保障，挤占公用经费；二是市直交通运输局独立庭院办公，需承担办公楼、庭院内物业、维修等费用，公用经费严重不足，影响日常工作运转。</w:t>
      </w:r>
    </w:p>
    <w:p>
      <w:pPr>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br w:type="page"/>
      </w:r>
    </w:p>
    <w:p>
      <w:pPr>
        <w:pStyle w:val="2"/>
      </w:pPr>
    </w:p>
    <w:p>
      <w:pPr>
        <w:pStyle w:val="15"/>
        <w:jc w:val="center"/>
        <w:rPr>
          <w:sz w:val="72"/>
          <w:szCs w:val="72"/>
        </w:rPr>
      </w:pPr>
    </w:p>
    <w:p>
      <w:pPr>
        <w:pStyle w:val="15"/>
        <w:jc w:val="center"/>
        <w:rPr>
          <w:sz w:val="72"/>
          <w:szCs w:val="72"/>
        </w:rPr>
      </w:pPr>
    </w:p>
    <w:p>
      <w:pPr>
        <w:pStyle w:val="15"/>
        <w:jc w:val="both"/>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widowControl/>
        <w:ind w:firstLine="640" w:firstLineChars="200"/>
        <w:jc w:val="left"/>
        <w:rPr>
          <w:rFonts w:hint="eastAsia" w:ascii="仿宋" w:hAnsi="仿宋" w:eastAsia="仿宋" w:cs="仿宋"/>
          <w:bCs/>
          <w:color w:val="auto"/>
          <w:kern w:val="2"/>
          <w:sz w:val="32"/>
          <w:szCs w:val="32"/>
          <w:highlight w:val="none"/>
          <w:lang w:val="en-US" w:eastAsia="zh-CN" w:bidi="ar-SA"/>
        </w:rPr>
      </w:pPr>
      <w:r>
        <w:rPr>
          <w:rFonts w:hint="eastAsia" w:cs="黑体" w:asciiTheme="minorEastAsia" w:hAnsiTheme="minorEastAsia"/>
          <w:color w:val="000000"/>
          <w:kern w:val="0"/>
          <w:sz w:val="32"/>
          <w:szCs w:val="32"/>
        </w:rPr>
        <w:t>一、</w:t>
      </w:r>
      <w:r>
        <w:rPr>
          <w:rFonts w:hint="eastAsia" w:ascii="仿宋" w:hAnsi="仿宋" w:eastAsia="仿宋" w:cs="仿宋"/>
          <w:bCs/>
          <w:color w:val="auto"/>
          <w:kern w:val="2"/>
          <w:sz w:val="32"/>
          <w:szCs w:val="32"/>
          <w:highlight w:val="none"/>
          <w:lang w:val="en-US" w:eastAsia="zh-CN" w:bidi="ar-SA"/>
        </w:rPr>
        <w:t>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pPr>
        <w:pStyle w:val="15"/>
        <w:ind w:firstLine="640" w:firstLineChars="200"/>
        <w:rPr>
          <w:rFonts w:hint="eastAsia" w:ascii="仿宋" w:hAnsi="仿宋" w:eastAsia="仿宋" w:cs="仿宋"/>
          <w:bCs/>
          <w:color w:val="auto"/>
          <w:kern w:val="2"/>
          <w:sz w:val="32"/>
          <w:szCs w:val="32"/>
          <w:highlight w:val="none"/>
          <w:lang w:val="en-US" w:eastAsia="zh-CN" w:bidi="ar-SA"/>
        </w:rPr>
      </w:pPr>
      <w:r>
        <w:rPr>
          <w:rFonts w:hint="eastAsia" w:ascii="仿宋" w:hAnsi="仿宋" w:eastAsia="仿宋" w:cs="仿宋"/>
          <w:bCs/>
          <w:color w:val="auto"/>
          <w:kern w:val="2"/>
          <w:sz w:val="32"/>
          <w:szCs w:val="32"/>
          <w:highlight w:val="none"/>
          <w:lang w:val="en-US" w:eastAsia="zh-CN" w:bidi="ar-SA"/>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15"/>
        <w:jc w:val="both"/>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rPr>
          <w:sz w:val="72"/>
          <w:szCs w:val="72"/>
        </w:rPr>
      </w:pPr>
      <w:r>
        <w:rPr>
          <w:sz w:val="72"/>
          <w:szCs w:val="72"/>
        </w:rPr>
        <w:br w:type="page"/>
      </w: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5"/>
        <w:jc w:val="center"/>
        <w:rPr>
          <w:rFonts w:hint="eastAsia" w:ascii="方正小标宋_GBK" w:hAnsi="方正小标宋_GBK" w:eastAsia="方正小标宋_GBK" w:cs="方正小标宋_GBK"/>
          <w:sz w:val="70"/>
          <w:szCs w:val="70"/>
        </w:rPr>
      </w:pPr>
    </w:p>
    <w:p>
      <w:pPr>
        <w:pStyle w:val="15"/>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rFonts w:hint="eastAsia" w:ascii="楷体" w:hAnsi="楷体" w:eastAsia="楷体" w:cs="楷体"/>
          <w:b/>
          <w:bCs/>
          <w:sz w:val="32"/>
          <w:szCs w:val="32"/>
          <w:lang w:eastAsia="zh-CN"/>
        </w:rPr>
      </w:pPr>
      <w:r>
        <w:rPr>
          <w:sz w:val="72"/>
          <w:szCs w:val="72"/>
        </w:rPr>
        <w:br w:type="page"/>
      </w:r>
    </w:p>
    <w:p>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sz w:val="32"/>
          <w:szCs w:val="32"/>
          <w:lang w:val="en-US" w:eastAsia="zh-CN"/>
        </w:rPr>
      </w:pPr>
      <w:r>
        <w:rPr>
          <w:rFonts w:hint="eastAsia" w:ascii="楷体" w:hAnsi="楷体" w:eastAsia="楷体" w:cs="楷体"/>
          <w:b/>
          <w:bCs/>
          <w:sz w:val="32"/>
          <w:szCs w:val="32"/>
          <w:lang w:val="en-US" w:eastAsia="zh-CN"/>
        </w:rPr>
        <w:t>一、</w:t>
      </w:r>
      <w:r>
        <w:rPr>
          <w:rFonts w:hint="eastAsia" w:ascii="Times New Roman" w:hAnsi="Times New Roman" w:eastAsia="仿宋_GB2312"/>
          <w:sz w:val="32"/>
          <w:szCs w:val="32"/>
          <w:lang w:val="en-US" w:eastAsia="zh-CN"/>
        </w:rPr>
        <w:t>2023年度怀化市交通运输局决算公开表</w:t>
      </w:r>
    </w:p>
    <w:p>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仿宋" w:hAnsi="仿宋" w:eastAsia="仿宋" w:cs="仿宋"/>
          <w:bCs/>
          <w:color w:val="auto"/>
          <w:kern w:val="2"/>
          <w:sz w:val="32"/>
          <w:szCs w:val="32"/>
          <w:highlight w:val="none"/>
          <w:lang w:val="en-US" w:eastAsia="zh-CN" w:bidi="ar-SA"/>
        </w:rPr>
      </w:pPr>
      <w:r>
        <w:rPr>
          <w:rFonts w:hint="eastAsia" w:ascii="楷体" w:hAnsi="楷体" w:eastAsia="楷体" w:cs="楷体"/>
          <w:b/>
          <w:bCs/>
          <w:sz w:val="32"/>
          <w:szCs w:val="32"/>
          <w:lang w:val="en-US" w:eastAsia="zh-CN"/>
        </w:rPr>
        <w:t>二、</w:t>
      </w:r>
      <w:r>
        <w:rPr>
          <w:rFonts w:hint="eastAsia" w:ascii="Times New Roman" w:hAnsi="Times New Roman" w:eastAsia="仿宋_GB2312"/>
          <w:sz w:val="32"/>
          <w:szCs w:val="32"/>
          <w:lang w:val="en-US" w:eastAsia="zh-CN"/>
        </w:rPr>
        <w:t>2023年度怀化市交通运输局整体支出绩效自评报告</w:t>
      </w:r>
    </w:p>
    <w:p>
      <w:pPr>
        <w:pStyle w:val="15"/>
        <w:ind w:firstLine="640" w:firstLineChars="200"/>
        <w:rPr>
          <w:rFonts w:hint="default" w:ascii="仿宋" w:hAnsi="仿宋" w:eastAsia="仿宋" w:cs="仿宋"/>
          <w:bCs/>
          <w:color w:val="auto"/>
          <w:kern w:val="2"/>
          <w:sz w:val="32"/>
          <w:szCs w:val="32"/>
          <w:highlight w:val="none"/>
          <w:lang w:val="en-US" w:eastAsia="zh-CN" w:bidi="ar-SA"/>
        </w:rPr>
      </w:pPr>
      <w:r>
        <w:rPr>
          <w:rFonts w:hint="eastAsia" w:ascii="楷体" w:hAnsi="楷体" w:eastAsia="楷体" w:cs="楷体"/>
          <w:b/>
          <w:bCs/>
          <w:sz w:val="32"/>
          <w:szCs w:val="32"/>
          <w:lang w:val="en-US" w:eastAsia="zh-CN"/>
        </w:rPr>
        <w:t>三、</w:t>
      </w:r>
      <w:r>
        <w:rPr>
          <w:rFonts w:hint="eastAsia" w:ascii="仿宋" w:hAnsi="仿宋" w:eastAsia="仿宋" w:cs="仿宋"/>
          <w:b/>
          <w:bCs w:val="0"/>
          <w:color w:val="auto"/>
          <w:kern w:val="2"/>
          <w:sz w:val="32"/>
          <w:szCs w:val="32"/>
          <w:highlight w:val="none"/>
          <w:lang w:val="en-US" w:eastAsia="zh-CN" w:bidi="ar-SA"/>
        </w:rPr>
        <w:t>2023</w:t>
      </w:r>
      <w:r>
        <w:rPr>
          <w:rFonts w:hint="eastAsia" w:ascii="仿宋" w:hAnsi="仿宋" w:eastAsia="仿宋" w:cs="仿宋"/>
          <w:bCs/>
          <w:color w:val="auto"/>
          <w:kern w:val="2"/>
          <w:sz w:val="32"/>
          <w:szCs w:val="32"/>
          <w:highlight w:val="none"/>
          <w:lang w:val="en-US" w:eastAsia="zh-CN" w:bidi="ar-SA"/>
        </w:rPr>
        <w:t>年度怀化市交通运输局专项资金绩效报告</w:t>
      </w:r>
    </w:p>
    <w:p>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lang w:val="en-US" w:eastAsia="zh-CN"/>
        </w:rPr>
      </w:pPr>
    </w:p>
    <w:p>
      <w:pPr>
        <w:pStyle w:val="15"/>
        <w:jc w:val="center"/>
        <w:rPr>
          <w:sz w:val="72"/>
          <w:szCs w:val="72"/>
        </w:rPr>
      </w:pPr>
    </w:p>
    <w:p>
      <w:pPr>
        <w:pStyle w:val="15"/>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200B5"/>
    <w:multiLevelType w:val="singleLevel"/>
    <w:tmpl w:val="BDF200B5"/>
    <w:lvl w:ilvl="0" w:tentative="0">
      <w:start w:val="7"/>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iMmJmNTQyOWU3YmVmYmExYjY0MzJjM2QzZWQ1NW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9CB6A81"/>
    <w:rsid w:val="0C443E9F"/>
    <w:rsid w:val="15FF9EF6"/>
    <w:rsid w:val="18786026"/>
    <w:rsid w:val="1AFBCC1C"/>
    <w:rsid w:val="1D97DEFF"/>
    <w:rsid w:val="1DFF72E5"/>
    <w:rsid w:val="1EFC6F07"/>
    <w:rsid w:val="2FA40F64"/>
    <w:rsid w:val="2FDF85B8"/>
    <w:rsid w:val="2FFFEE04"/>
    <w:rsid w:val="347FC240"/>
    <w:rsid w:val="34DF85B0"/>
    <w:rsid w:val="3B8F36BC"/>
    <w:rsid w:val="3BDFFD4D"/>
    <w:rsid w:val="3E623DC1"/>
    <w:rsid w:val="491FF225"/>
    <w:rsid w:val="4FFD214C"/>
    <w:rsid w:val="5777D4F5"/>
    <w:rsid w:val="59DD8326"/>
    <w:rsid w:val="5B650DCE"/>
    <w:rsid w:val="5D1E33EB"/>
    <w:rsid w:val="5DEF592A"/>
    <w:rsid w:val="5F6F74FF"/>
    <w:rsid w:val="5FC6BB1E"/>
    <w:rsid w:val="5FF720F1"/>
    <w:rsid w:val="67FF5C0B"/>
    <w:rsid w:val="6EFC0924"/>
    <w:rsid w:val="6FB74722"/>
    <w:rsid w:val="6FBCFC34"/>
    <w:rsid w:val="6FEF8B7E"/>
    <w:rsid w:val="6FF180B7"/>
    <w:rsid w:val="71A6591B"/>
    <w:rsid w:val="737D59BA"/>
    <w:rsid w:val="758EE4D1"/>
    <w:rsid w:val="75DE5F04"/>
    <w:rsid w:val="77C37683"/>
    <w:rsid w:val="79FF515B"/>
    <w:rsid w:val="7D67D2D6"/>
    <w:rsid w:val="7E9E1962"/>
    <w:rsid w:val="7E9F11B4"/>
    <w:rsid w:val="7F37EC1E"/>
    <w:rsid w:val="7F7DCD9D"/>
    <w:rsid w:val="7F970A6F"/>
    <w:rsid w:val="7FAB4B3B"/>
    <w:rsid w:val="7FB9F9DC"/>
    <w:rsid w:val="7FBF01EB"/>
    <w:rsid w:val="7FC1FFF3"/>
    <w:rsid w:val="7FC69637"/>
    <w:rsid w:val="7FD39881"/>
    <w:rsid w:val="7FDF8620"/>
    <w:rsid w:val="7FEB9C52"/>
    <w:rsid w:val="7FF73DC7"/>
    <w:rsid w:val="7FF96CCA"/>
    <w:rsid w:val="7FFB242F"/>
    <w:rsid w:val="7FFDB408"/>
    <w:rsid w:val="7FFE4EEB"/>
    <w:rsid w:val="8F3FEBFB"/>
    <w:rsid w:val="95FB2B98"/>
    <w:rsid w:val="9A639BC2"/>
    <w:rsid w:val="9FF7D786"/>
    <w:rsid w:val="ABBFB23D"/>
    <w:rsid w:val="B75F9303"/>
    <w:rsid w:val="C3B4DA5A"/>
    <w:rsid w:val="CBFF70E0"/>
    <w:rsid w:val="CFF50B82"/>
    <w:rsid w:val="CFFFAD89"/>
    <w:rsid w:val="D53A5A13"/>
    <w:rsid w:val="DCED32C6"/>
    <w:rsid w:val="DFFE359E"/>
    <w:rsid w:val="DFFE4FFD"/>
    <w:rsid w:val="EEABED75"/>
    <w:rsid w:val="EFA61E6C"/>
    <w:rsid w:val="F56FDF51"/>
    <w:rsid w:val="F5E668FC"/>
    <w:rsid w:val="F6B69F17"/>
    <w:rsid w:val="F77F1D61"/>
    <w:rsid w:val="F7FED3A9"/>
    <w:rsid w:val="F8C9DB26"/>
    <w:rsid w:val="F97E8EAE"/>
    <w:rsid w:val="F9FB8C71"/>
    <w:rsid w:val="FAECB0B5"/>
    <w:rsid w:val="FB36E1A6"/>
    <w:rsid w:val="FB3BE134"/>
    <w:rsid w:val="FCFF4275"/>
    <w:rsid w:val="FD7FEEEA"/>
    <w:rsid w:val="FDFFB577"/>
    <w:rsid w:val="FEEA50FE"/>
    <w:rsid w:val="FF5987F4"/>
    <w:rsid w:val="FF7D47A9"/>
    <w:rsid w:val="FFCF21CB"/>
    <w:rsid w:val="FFF07615"/>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Normal Indent"/>
    <w:basedOn w:val="1"/>
    <w:qFormat/>
    <w:uiPriority w:val="0"/>
    <w:pPr>
      <w:ind w:firstLine="200" w:firstLineChars="200"/>
    </w:pPr>
  </w:style>
  <w:style w:type="paragraph" w:styleId="6">
    <w:name w:val="Body Text"/>
    <w:basedOn w:val="1"/>
    <w:next w:val="1"/>
    <w:qFormat/>
    <w:uiPriority w:val="0"/>
  </w:style>
  <w:style w:type="paragraph" w:styleId="7">
    <w:name w:val="Balloon Text"/>
    <w:basedOn w:val="1"/>
    <w:link w:val="17"/>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3">
    <w:name w:val="页眉 Char"/>
    <w:basedOn w:val="12"/>
    <w:link w:val="9"/>
    <w:qFormat/>
    <w:uiPriority w:val="99"/>
    <w:rPr>
      <w:sz w:val="18"/>
      <w:szCs w:val="18"/>
    </w:rPr>
  </w:style>
  <w:style w:type="character" w:customStyle="1" w:styleId="14">
    <w:name w:val="页脚 Char"/>
    <w:basedOn w:val="12"/>
    <w:link w:val="8"/>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7"/>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6214</Words>
  <Characters>6933</Characters>
  <Lines>63</Lines>
  <Paragraphs>18</Paragraphs>
  <TotalTime>3</TotalTime>
  <ScaleCrop>false</ScaleCrop>
  <LinksUpToDate>false</LinksUpToDate>
  <CharactersWithSpaces>6962</CharactersWithSpaces>
  <Application>WPS Office_11.8.2.1126_F1E327BC-269C-435d-A152-05C5408002CA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2020-07-09T10:32:00Z</dcterms:created>
  <dc:creator>李航 null</dc:creator>
  <cp:lastModifiedBy>greatwall</cp:lastModifiedBy>
  <cp:lastPrinted>2024-08-09T18:20:00Z</cp:lastPrinted>
  <dcterms:modified xsi:type="dcterms:W3CDTF">2024-09-24T11:51:06Z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2052-11.8.2.1126</vt:lpwstr>
  </property>
  <property fmtid="{D5CDD505-2E9C-101B-9397-08002B2CF9AE}" pid="3" name="ICV">
    <vt:lpwstr>8647231FFF516866A55AD966A4110036</vt:lpwstr>
  </property>
</Properties>
</file>