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Ansi="黑体"/>
          <w:sz w:val="36"/>
          <w:szCs w:val="36"/>
        </w:rPr>
      </w:pP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怀化市供销合作联合社</w:t>
      </w: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default" w:ascii="Times New Roman" w:hAnsi="Times New Roman" w:cs="Times New Roman"/>
          <w:bCs/>
          <w:sz w:val="32"/>
          <w:szCs w:val="32"/>
        </w:rPr>
        <w:t>怀化市供销合作联合社</w:t>
      </w:r>
      <w:r>
        <w:rPr>
          <w:rFonts w:hint="eastAsia"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eastAsia="zh-CN" w:bidi="ar-SA"/>
        </w:rPr>
      </w:pPr>
      <w:r>
        <w:rPr>
          <w:rFonts w:hint="default" w:ascii="Times New Roman" w:hAnsi="Times New Roman" w:eastAsia="仿宋_GB2312" w:cs="Times New Roman"/>
          <w:color w:val="000000"/>
          <w:kern w:val="0"/>
          <w:sz w:val="32"/>
          <w:szCs w:val="32"/>
          <w:lang w:eastAsia="zh-CN" w:bidi="ar-SA"/>
        </w:rPr>
        <w:t>九、国有资本经营预算收入支出决算情况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十二、关于政府采购支出说明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十四、关于202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beforeLines="50" w:afterLines="50" w:line="600" w:lineRule="exact"/>
        <w:rPr>
          <w:rFonts w:ascii="Times New Roman" w:hAnsi="Times New Roman" w:cs="Times New Roman"/>
          <w:bCs/>
          <w:sz w:val="32"/>
          <w:szCs w:val="32"/>
        </w:rPr>
      </w:pP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怀化市供销合作联合社概况</w:t>
      </w:r>
    </w:p>
    <w:p>
      <w:pPr>
        <w:pStyle w:val="3"/>
        <w:ind w:left="0" w:leftChars="0" w:firstLine="0" w:firstLineChars="0"/>
        <w:rPr>
          <w:rFonts w:ascii="Times New Roman" w:hAnsi="Times New Roman" w:cs="Times New Roman"/>
        </w:rPr>
      </w:pPr>
    </w:p>
    <w:p>
      <w:pPr>
        <w:pStyle w:val="15"/>
        <w:spacing w:line="600" w:lineRule="exact"/>
        <w:ind w:firstLine="800" w:firstLineChars="25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ascii="Calibri" w:hAnsi="Calibri" w:cs="Calibri"/>
          <w:i w:val="0"/>
          <w:caps w:val="0"/>
          <w:color w:val="000000" w:themeColor="text1"/>
          <w:spacing w:val="0"/>
          <w:sz w:val="21"/>
          <w:szCs w:val="21"/>
          <w14:textFill>
            <w14:solidFill>
              <w14:schemeClr w14:val="tx1"/>
            </w14:solidFill>
          </w14:textFill>
        </w:rPr>
      </w:pPr>
      <w:r>
        <w:rPr>
          <w:rFonts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（一）贯彻执行国家、省有关农村经济工作的方针、政策、法规。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hint="default" w:ascii="Calibri" w:hAnsi="Calibri" w:cs="Calibri"/>
          <w:i w:val="0"/>
          <w:caps w:val="0"/>
          <w:color w:val="000000" w:themeColor="text1"/>
          <w:spacing w:val="0"/>
          <w:sz w:val="21"/>
          <w:szCs w:val="21"/>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（二）研究拟定全市供销合作社的发展规划、体制改革方案；指导全市供销合作社的改革和发展，组织市供销社所属单位具体实施。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hint="default" w:ascii="Calibri" w:hAnsi="Calibri" w:cs="Calibri"/>
          <w:i w:val="0"/>
          <w:caps w:val="0"/>
          <w:color w:val="000000" w:themeColor="text1"/>
          <w:spacing w:val="0"/>
          <w:sz w:val="21"/>
          <w:szCs w:val="21"/>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（三）根据市人民政府授权，指导全市有关农业生产资料和农副产品政策性业务经营工作。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hint="default" w:ascii="Calibri" w:hAnsi="Calibri" w:cs="Calibri"/>
          <w:i w:val="0"/>
          <w:caps w:val="0"/>
          <w:color w:val="000000" w:themeColor="text1"/>
          <w:spacing w:val="0"/>
          <w:sz w:val="21"/>
          <w:szCs w:val="21"/>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（四）指导各级供销社开拓农</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村市场，推动全市供销社组织农民进入市场，发展农业产业化经营，为农业、农村和农民提供综合服务，建立和完善本系统为农业生产和农村经济发展服</w:t>
      </w: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务的体系；预测预报相关的市场信息。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hint="default" w:ascii="Calibri" w:hAnsi="Calibri" w:cs="Calibri"/>
          <w:i w:val="0"/>
          <w:caps w:val="0"/>
          <w:color w:val="000000" w:themeColor="text1"/>
          <w:spacing w:val="0"/>
          <w:sz w:val="21"/>
          <w:szCs w:val="21"/>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（五）指导和监督供销社系统的资产管理，依法维护供销社的合法权益。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hint="default" w:ascii="Calibri" w:hAnsi="Calibri" w:cs="Calibri"/>
          <w:i w:val="0"/>
          <w:caps w:val="0"/>
          <w:color w:val="000000" w:themeColor="text1"/>
          <w:spacing w:val="0"/>
          <w:sz w:val="21"/>
          <w:szCs w:val="21"/>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（六）指导供销社系统的科技开发和推广应用工作，推进科教兴社。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hint="default" w:ascii="Calibri" w:hAnsi="Calibri" w:cs="Calibri"/>
          <w:i w:val="0"/>
          <w:caps w:val="0"/>
          <w:color w:val="000000" w:themeColor="text1"/>
          <w:spacing w:val="0"/>
          <w:sz w:val="21"/>
          <w:szCs w:val="21"/>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（七）研究制订市供销社直属单位人事、财务、资产的管理制度，并组织实施，确保社有资产的保值增值。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（八）指导供销社系统组织建设、队伍建设和干部、职工教育培训工作。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（九）承办市委、市人民政府交办的其他事项。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suppressLineNumbers w:val="0"/>
        <w:kinsoku/>
        <w:wordWrap/>
        <w:overflowPunct/>
        <w:topLinePunct w:val="0"/>
        <w:autoSpaceDE/>
        <w:autoSpaceDN/>
        <w:bidi w:val="0"/>
        <w:adjustRightInd/>
        <w:snapToGrid/>
        <w:spacing w:line="600" w:lineRule="atLeast"/>
        <w:ind w:firstLine="640" w:firstLineChars="200"/>
        <w:jc w:val="both"/>
        <w:textAlignment w:val="auto"/>
        <w:rPr>
          <w:color w:val="000000" w:themeColor="text1"/>
          <w14:textFill>
            <w14:solidFill>
              <w14:schemeClr w14:val="tx1"/>
            </w14:solidFill>
          </w14:textFill>
        </w:rPr>
      </w:pPr>
      <w:r>
        <w:rPr>
          <w:rFonts w:ascii="Times New Roman" w:hAnsi="Times New Roman" w:eastAsia="仿宋_GB2312" w:cs="Times New Roman"/>
          <w:bCs/>
          <w:kern w:val="0"/>
          <w:sz w:val="32"/>
          <w:szCs w:val="32"/>
        </w:rPr>
        <w:t>（一）内设机构设置。怀化市供销合作联合社内设机构包括：</w:t>
      </w:r>
      <w:r>
        <w:rPr>
          <w:rFonts w:hint="eastAsia" w:ascii="仿宋_GB2312" w:hAnsi="宋体"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办公室、财会科、合作安全科、经贸发展科、监督审计科（监事会办公室）、人事科、农村电子商务科，共7个科室。怀化市供销合作联合社编制数为29人。202</w:t>
      </w:r>
      <w:r>
        <w:rPr>
          <w:rFonts w:hint="default" w:ascii="仿宋_GB2312" w:hAnsi="宋体" w:eastAsia="仿宋_GB2312" w:cs="仿宋_GB2312"/>
          <w:i w:val="0"/>
          <w:caps w:val="0"/>
          <w:color w:val="000000" w:themeColor="text1"/>
          <w:spacing w:val="0"/>
          <w:kern w:val="0"/>
          <w:sz w:val="32"/>
          <w:szCs w:val="32"/>
          <w:shd w:val="clear" w:fill="FFFFFF"/>
          <w:lang w:eastAsia="zh-CN" w:bidi="ar"/>
          <w14:textFill>
            <w14:solidFill>
              <w14:schemeClr w14:val="tx1"/>
            </w14:solidFill>
          </w14:textFill>
        </w:rPr>
        <w:t>5</w:t>
      </w:r>
      <w:r>
        <w:rPr>
          <w:rFonts w:hint="eastAsia" w:ascii="仿宋_GB2312" w:hAnsi="宋体"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年底在职人员2</w:t>
      </w:r>
      <w:r>
        <w:rPr>
          <w:rFonts w:hint="default" w:ascii="仿宋_GB2312" w:hAnsi="宋体" w:eastAsia="仿宋_GB2312" w:cs="仿宋_GB2312"/>
          <w:i w:val="0"/>
          <w:caps w:val="0"/>
          <w:color w:val="000000" w:themeColor="text1"/>
          <w:spacing w:val="0"/>
          <w:kern w:val="0"/>
          <w:sz w:val="32"/>
          <w:szCs w:val="32"/>
          <w:shd w:val="clear" w:fill="FFFFFF"/>
          <w:lang w:eastAsia="zh-CN" w:bidi="ar"/>
          <w14:textFill>
            <w14:solidFill>
              <w14:schemeClr w14:val="tx1"/>
            </w14:solidFill>
          </w14:textFill>
        </w:rPr>
        <w:t>8</w:t>
      </w:r>
      <w:r>
        <w:rPr>
          <w:rFonts w:hint="eastAsia" w:ascii="仿宋_GB2312" w:hAnsi="宋体"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人，离退休人员</w:t>
      </w:r>
      <w:r>
        <w:rPr>
          <w:rFonts w:hint="default" w:ascii="仿宋_GB2312" w:hAnsi="宋体" w:eastAsia="仿宋_GB2312" w:cs="仿宋_GB2312"/>
          <w:i w:val="0"/>
          <w:caps w:val="0"/>
          <w:color w:val="000000" w:themeColor="text1"/>
          <w:spacing w:val="0"/>
          <w:kern w:val="0"/>
          <w:sz w:val="32"/>
          <w:szCs w:val="32"/>
          <w:shd w:val="clear" w:fill="FFFFFF"/>
          <w:lang w:eastAsia="zh-CN" w:bidi="ar"/>
          <w14:textFill>
            <w14:solidFill>
              <w14:schemeClr w14:val="tx1"/>
            </w14:solidFill>
          </w14:textFill>
        </w:rPr>
        <w:t>41</w:t>
      </w:r>
      <w:r>
        <w:rPr>
          <w:rFonts w:hint="eastAsia" w:ascii="仿宋_GB2312" w:hAnsi="宋体"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人，合计</w:t>
      </w:r>
      <w:r>
        <w:rPr>
          <w:rFonts w:hint="default" w:ascii="仿宋_GB2312" w:hAnsi="宋体" w:eastAsia="仿宋_GB2312" w:cs="仿宋_GB2312"/>
          <w:i w:val="0"/>
          <w:caps w:val="0"/>
          <w:color w:val="000000" w:themeColor="text1"/>
          <w:spacing w:val="0"/>
          <w:kern w:val="0"/>
          <w:sz w:val="32"/>
          <w:szCs w:val="32"/>
          <w:shd w:val="clear" w:fill="FFFFFF"/>
          <w:lang w:eastAsia="zh-CN" w:bidi="ar"/>
          <w14:textFill>
            <w14:solidFill>
              <w14:schemeClr w14:val="tx1"/>
            </w14:solidFill>
          </w14:textFill>
        </w:rPr>
        <w:t>69</w:t>
      </w:r>
      <w:r>
        <w:rPr>
          <w:rFonts w:hint="eastAsia" w:ascii="仿宋_GB2312" w:hAnsi="宋体"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人。</w:t>
      </w:r>
    </w:p>
    <w:p>
      <w:pPr>
        <w:keepNext w:val="0"/>
        <w:keepLines w:val="0"/>
        <w:pageBreakBefore w:val="0"/>
        <w:widowControl/>
        <w:suppressLineNumbers w:val="0"/>
        <w:kinsoku/>
        <w:wordWrap/>
        <w:overflowPunct/>
        <w:topLinePunct w:val="0"/>
        <w:autoSpaceDE/>
        <w:autoSpaceDN/>
        <w:bidi w:val="0"/>
        <w:adjustRightInd/>
        <w:snapToGrid/>
        <w:spacing w:line="600" w:lineRule="atLeast"/>
        <w:ind w:firstLine="640" w:firstLineChars="200"/>
        <w:jc w:val="both"/>
        <w:textAlignment w:val="auto"/>
        <w:rPr>
          <w:color w:val="000000" w:themeColor="text1"/>
          <w14:textFill>
            <w14:solidFill>
              <w14:schemeClr w14:val="tx1"/>
            </w14:solidFill>
          </w14:textFill>
        </w:rPr>
      </w:pPr>
      <w:r>
        <w:rPr>
          <w:rFonts w:ascii="Times New Roman" w:hAnsi="Times New Roman" w:eastAsia="仿宋_GB2312" w:cs="Times New Roman"/>
          <w:bCs/>
          <w:kern w:val="0"/>
          <w:sz w:val="32"/>
          <w:szCs w:val="32"/>
        </w:rPr>
        <w:t>（二）决算单位构成。</w:t>
      </w:r>
      <w:r>
        <w:rPr>
          <w:rFonts w:ascii="仿宋_GB2312" w:hAnsi="宋体"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怀化市供销合作联合社</w:t>
      </w:r>
      <w:r>
        <w:rPr>
          <w:rFonts w:hint="eastAsia" w:ascii="仿宋_GB2312" w:hAnsi="宋体"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202</w:t>
      </w:r>
      <w:r>
        <w:rPr>
          <w:rFonts w:hint="default" w:ascii="仿宋_GB2312" w:hAnsi="宋体" w:eastAsia="仿宋_GB2312" w:cs="仿宋_GB2312"/>
          <w:i w:val="0"/>
          <w:caps w:val="0"/>
          <w:color w:val="000000" w:themeColor="text1"/>
          <w:spacing w:val="0"/>
          <w:kern w:val="0"/>
          <w:sz w:val="32"/>
          <w:szCs w:val="32"/>
          <w:shd w:val="clear" w:fill="FFFFFF"/>
          <w:lang w:eastAsia="zh-CN" w:bidi="ar"/>
          <w14:textFill>
            <w14:solidFill>
              <w14:schemeClr w14:val="tx1"/>
            </w14:solidFill>
          </w14:textFill>
        </w:rPr>
        <w:t>5</w:t>
      </w:r>
      <w:r>
        <w:rPr>
          <w:rFonts w:hint="eastAsia" w:ascii="仿宋_GB2312" w:hAnsi="宋体"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年部门决算汇总公开单位构成包括：怀化市供销合作联合社本级。</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pStyle w:val="14"/>
        <w:keepNext w:val="0"/>
        <w:keepLines w:val="0"/>
        <w:pageBreakBefore w:val="0"/>
        <w:kinsoku/>
        <w:wordWrap/>
        <w:overflowPunct/>
        <w:topLinePunct w:val="0"/>
        <w:bidi w:val="0"/>
        <w:jc w:val="center"/>
        <w:textAlignment w:val="auto"/>
        <w:rPr>
          <w:rFonts w:hint="eastAsia" w:ascii="方正仿宋_GBK" w:hAnsi="方正仿宋_GBK" w:eastAsia="方正仿宋_GBK" w:cs="方正仿宋_GBK"/>
          <w:color w:val="000000" w:themeColor="text1"/>
          <w:sz w:val="52"/>
          <w:szCs w:val="52"/>
          <w14:textFill>
            <w14:solidFill>
              <w14:schemeClr w14:val="tx1"/>
            </w14:solidFill>
          </w14:textFill>
        </w:rPr>
      </w:pPr>
      <w:r>
        <w:rPr>
          <w:rFonts w:hint="eastAsia" w:ascii="方正仿宋_GBK" w:hAnsi="方正仿宋_GBK" w:eastAsia="方正仿宋_GBK" w:cs="方正仿宋_GBK"/>
          <w:color w:val="000000" w:themeColor="text1"/>
          <w:sz w:val="52"/>
          <w:szCs w:val="52"/>
          <w14:textFill>
            <w14:solidFill>
              <w14:schemeClr w14:val="tx1"/>
            </w14:solidFill>
          </w14:textFill>
        </w:rPr>
        <w:t>(见附件)</w:t>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jc w:val="center"/>
        <w:rPr>
          <w:rFonts w:ascii="Times New Roman" w:hAnsi="Times New Roman" w:eastAsia="方正小标宋_GBK" w:cs="Times New Roman"/>
          <w:sz w:val="72"/>
          <w:szCs w:val="72"/>
        </w:rPr>
      </w:pPr>
    </w:p>
    <w:p>
      <w:pPr>
        <w:pStyle w:val="14"/>
        <w:jc w:val="center"/>
        <w:rPr>
          <w:rFonts w:ascii="Times New Roman" w:hAnsi="Times New Roman" w:eastAsia="方正小标宋_GBK" w:cs="Times New Roman"/>
          <w:sz w:val="72"/>
          <w:szCs w:val="72"/>
        </w:rPr>
      </w:pPr>
    </w:p>
    <w:p>
      <w:pPr>
        <w:pStyle w:val="14"/>
        <w:jc w:val="center"/>
        <w:rPr>
          <w:rFonts w:ascii="Times New Roman" w:hAnsi="Times New Roman" w:eastAsia="方正小标宋_GBK"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cs="Times New Roman"/>
          <w:sz w:val="32"/>
          <w:szCs w:val="3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default" w:ascii="Times New Roman" w:hAnsi="Times New Roman" w:eastAsia="仿宋_GB2312" w:cs="Times New Roman"/>
          <w:sz w:val="32"/>
          <w:szCs w:val="32"/>
        </w:rPr>
        <w:t>704.54</w:t>
      </w:r>
      <w:r>
        <w:rPr>
          <w:rFonts w:ascii="Times New Roman" w:hAnsi="Times New Roman" w:eastAsia="仿宋_GB2312" w:cs="Times New Roman"/>
          <w:sz w:val="32"/>
          <w:szCs w:val="32"/>
        </w:rPr>
        <w:t>万元。与上年相比，减少</w:t>
      </w:r>
      <w:r>
        <w:rPr>
          <w:rFonts w:hint="default" w:ascii="Times New Roman" w:hAnsi="Times New Roman" w:eastAsia="仿宋_GB2312" w:cs="Times New Roman"/>
          <w:sz w:val="32"/>
          <w:szCs w:val="32"/>
        </w:rPr>
        <w:t>29.14</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rPr>
        <w:t>4</w:t>
      </w:r>
      <w:r>
        <w:rPr>
          <w:rFonts w:ascii="Times New Roman" w:hAnsi="Times New Roman" w:eastAsia="仿宋_GB2312" w:cs="Times New Roman"/>
          <w:sz w:val="32"/>
          <w:szCs w:val="32"/>
        </w:rPr>
        <w:t>%，主要是因为综合改革项目经费减少</w:t>
      </w:r>
      <w:r>
        <w:rPr>
          <w:rFonts w:hint="eastAsia"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w:t>
      </w:r>
      <w:r>
        <w:rPr>
          <w:rFonts w:hint="eastAsia" w:ascii="Times New Roman" w:hAnsi="Times New Roman" w:eastAsia="仿宋_GB2312" w:cs="Times New Roman"/>
          <w:color w:val="000000"/>
          <w:sz w:val="32"/>
          <w:szCs w:val="32"/>
        </w:rPr>
        <w:t>资金使用效率，合理保障</w:t>
      </w:r>
      <w:r>
        <w:rPr>
          <w:rFonts w:hint="default" w:ascii="Times New Roman" w:hAnsi="Times New Roman" w:eastAsia="仿宋_GB2312" w:cs="Times New Roman"/>
          <w:color w:val="000000"/>
          <w:sz w:val="32"/>
          <w:szCs w:val="32"/>
        </w:rPr>
        <w:t>供销社综合改革、农村电子商务、化肥淡季储备等重点支出，</w:t>
      </w:r>
      <w:r>
        <w:rPr>
          <w:rFonts w:hint="eastAsia" w:ascii="Times New Roman" w:hAnsi="Times New Roman" w:eastAsia="仿宋_GB2312" w:cs="Times New Roman"/>
          <w:color w:val="000000"/>
          <w:sz w:val="32"/>
          <w:szCs w:val="32"/>
        </w:rPr>
        <w:t>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default" w:ascii="Times New Roman" w:hAnsi="Times New Roman" w:eastAsia="仿宋_GB2312" w:cs="Times New Roman"/>
          <w:sz w:val="32"/>
          <w:szCs w:val="32"/>
        </w:rPr>
        <w:t>704.54</w:t>
      </w:r>
      <w:r>
        <w:rPr>
          <w:rFonts w:ascii="Times New Roman" w:hAnsi="Times New Roman" w:eastAsia="仿宋_GB2312" w:cs="Times New Roman"/>
          <w:sz w:val="32"/>
          <w:szCs w:val="32"/>
        </w:rPr>
        <w:t>万元，其中：财政拨款收入</w:t>
      </w:r>
      <w:r>
        <w:rPr>
          <w:rFonts w:hint="default" w:ascii="Times New Roman" w:hAnsi="Times New Roman" w:eastAsia="仿宋_GB2312" w:cs="Times New Roman"/>
          <w:sz w:val="32"/>
          <w:szCs w:val="32"/>
        </w:rPr>
        <w:t>704.54</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default" w:ascii="Times New Roman" w:hAnsi="Times New Roman" w:eastAsia="仿宋_GB2312" w:cs="Times New Roman"/>
          <w:sz w:val="32"/>
          <w:szCs w:val="32"/>
        </w:rPr>
        <w:t>704.54</w:t>
      </w:r>
      <w:r>
        <w:rPr>
          <w:rFonts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rPr>
        <w:t>619.29</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87.90</w:t>
      </w:r>
      <w:r>
        <w:rPr>
          <w:rFonts w:ascii="Times New Roman" w:hAnsi="Times New Roman" w:eastAsia="仿宋_GB2312" w:cs="Times New Roman"/>
          <w:sz w:val="32"/>
          <w:szCs w:val="32"/>
        </w:rPr>
        <w:t>%；项目支出</w:t>
      </w:r>
      <w:r>
        <w:rPr>
          <w:rFonts w:hint="default" w:ascii="Times New Roman" w:hAnsi="Times New Roman" w:eastAsia="仿宋_GB2312" w:cs="Times New Roman"/>
          <w:sz w:val="32"/>
          <w:szCs w:val="32"/>
        </w:rPr>
        <w:t>85.25</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12.10</w:t>
      </w:r>
      <w:r>
        <w:rPr>
          <w:rFonts w:ascii="Times New Roman" w:hAnsi="Times New Roman" w:eastAsia="仿宋_GB2312" w:cs="Times New Roman"/>
          <w:sz w:val="32"/>
          <w:szCs w:val="32"/>
        </w:rPr>
        <w:t>%；上缴上级支出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default" w:ascii="Times New Roman" w:hAnsi="Times New Roman" w:eastAsia="仿宋_GB2312" w:cs="Times New Roman"/>
          <w:sz w:val="32"/>
          <w:szCs w:val="32"/>
        </w:rPr>
        <w:t>704.54</w:t>
      </w:r>
      <w:r>
        <w:rPr>
          <w:rFonts w:ascii="Times New Roman" w:hAnsi="Times New Roman" w:eastAsia="仿宋_GB2312" w:cs="Times New Roman"/>
          <w:sz w:val="32"/>
          <w:szCs w:val="32"/>
        </w:rPr>
        <w:t>万元，与上年相比，减少</w:t>
      </w:r>
      <w:r>
        <w:rPr>
          <w:rFonts w:hint="default" w:ascii="Times New Roman" w:hAnsi="Times New Roman" w:eastAsia="仿宋_GB2312" w:cs="Times New Roman"/>
          <w:sz w:val="32"/>
          <w:szCs w:val="32"/>
        </w:rPr>
        <w:t>29.14</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rPr>
        <w:t>4</w:t>
      </w:r>
      <w:r>
        <w:rPr>
          <w:rFonts w:ascii="Times New Roman" w:hAnsi="Times New Roman" w:eastAsia="仿宋_GB2312" w:cs="Times New Roman"/>
          <w:sz w:val="32"/>
          <w:szCs w:val="32"/>
        </w:rPr>
        <w:t>%，主要是因为综合改革项目经费减少</w:t>
      </w:r>
      <w:r>
        <w:rPr>
          <w:rFonts w:hint="eastAsia"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default" w:ascii="Times New Roman" w:hAnsi="Times New Roman" w:eastAsia="仿宋_GB2312" w:cs="Times New Roman"/>
          <w:sz w:val="32"/>
          <w:szCs w:val="32"/>
        </w:rPr>
        <w:t>704.54</w:t>
      </w:r>
      <w:r>
        <w:rPr>
          <w:rFonts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%，与上年相比，财政拨款支出，减少</w:t>
      </w:r>
      <w:r>
        <w:rPr>
          <w:rFonts w:hint="default" w:ascii="Times New Roman" w:hAnsi="Times New Roman" w:eastAsia="仿宋_GB2312" w:cs="Times New Roman"/>
          <w:sz w:val="32"/>
          <w:szCs w:val="32"/>
        </w:rPr>
        <w:t>29.14</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rPr>
        <w:t>4</w:t>
      </w:r>
      <w:r>
        <w:rPr>
          <w:rFonts w:ascii="Times New Roman" w:hAnsi="Times New Roman" w:eastAsia="仿宋_GB2312" w:cs="Times New Roman"/>
          <w:sz w:val="32"/>
          <w:szCs w:val="32"/>
        </w:rPr>
        <w:t>%，主要是因为综合改革项目经费减少</w:t>
      </w:r>
      <w:r>
        <w:rPr>
          <w:rFonts w:hint="eastAsia"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default" w:ascii="Times New Roman" w:hAnsi="Times New Roman" w:eastAsia="仿宋_GB2312" w:cs="Times New Roman"/>
          <w:sz w:val="32"/>
          <w:szCs w:val="32"/>
        </w:rPr>
        <w:t>704.54</w:t>
      </w:r>
      <w:r>
        <w:rPr>
          <w:rFonts w:ascii="Times New Roman" w:hAnsi="Times New Roman" w:eastAsia="仿宋_GB2312" w:cs="Times New Roman"/>
          <w:sz w:val="32"/>
          <w:szCs w:val="32"/>
        </w:rPr>
        <w:t>万元，主要用于以下方面：</w:t>
      </w:r>
      <w:r>
        <w:rPr>
          <w:rFonts w:hint="eastAsia" w:ascii="Times New Roman" w:hAnsi="Times New Roman" w:eastAsia="仿宋_GB2312"/>
          <w:color w:val="000000" w:themeColor="text1"/>
          <w:sz w:val="32"/>
          <w:szCs w:val="32"/>
          <w:lang w:val="en-US" w:eastAsia="zh-CN"/>
          <w14:textFill>
            <w14:solidFill>
              <w14:schemeClr w14:val="tx1"/>
            </w14:solidFill>
          </w14:textFill>
        </w:rPr>
        <w:t>社会保障和就业（类）支出</w:t>
      </w:r>
      <w:r>
        <w:rPr>
          <w:rFonts w:hint="default" w:ascii="Times New Roman" w:hAnsi="Times New Roman" w:eastAsia="仿宋_GB2312"/>
          <w:color w:val="000000" w:themeColor="text1"/>
          <w:sz w:val="32"/>
          <w:szCs w:val="32"/>
          <w:lang w:eastAsia="zh-CN"/>
          <w14:textFill>
            <w14:solidFill>
              <w14:schemeClr w14:val="tx1"/>
            </w14:solidFill>
          </w14:textFill>
        </w:rPr>
        <w:t>134.80</w:t>
      </w:r>
      <w:r>
        <w:rPr>
          <w:rFonts w:hint="eastAsia" w:ascii="Times New Roman" w:hAnsi="Times New Roman" w:eastAsia="仿宋_GB2312"/>
          <w:color w:val="000000" w:themeColor="text1"/>
          <w:sz w:val="32"/>
          <w:szCs w:val="32"/>
          <w:lang w:val="en-US"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14:textFill>
            <w14:solidFill>
              <w14:schemeClr w14:val="tx1"/>
            </w14:solidFill>
          </w14:textFill>
        </w:rPr>
        <w:t>19.13</w:t>
      </w:r>
      <w:r>
        <w:rPr>
          <w:rFonts w:hint="eastAsia" w:ascii="Times New Roman" w:hAnsi="Times New Roman" w:eastAsia="仿宋_GB2312"/>
          <w:color w:val="000000" w:themeColor="text1"/>
          <w:sz w:val="32"/>
          <w:szCs w:val="32"/>
          <w:lang w:val="en-US" w:eastAsia="zh-CN"/>
          <w14:textFill>
            <w14:solidFill>
              <w14:schemeClr w14:val="tx1"/>
            </w14:solidFill>
          </w14:textFill>
        </w:rPr>
        <w:t>%；</w:t>
      </w:r>
      <w:r>
        <w:rPr>
          <w:rFonts w:hint="default" w:ascii="Times New Roman" w:hAnsi="Times New Roman" w:eastAsia="仿宋_GB2312"/>
          <w:color w:val="000000" w:themeColor="text1"/>
          <w:sz w:val="32"/>
          <w:szCs w:val="32"/>
          <w:lang w:eastAsia="zh-CN"/>
          <w14:textFill>
            <w14:solidFill>
              <w14:schemeClr w14:val="tx1"/>
            </w14:solidFill>
          </w14:textFill>
        </w:rPr>
        <w:t>卫生健康支出18.55万元，</w:t>
      </w:r>
      <w:r>
        <w:rPr>
          <w:rFonts w:hint="eastAsia" w:ascii="Times New Roman" w:hAnsi="Times New Roman" w:eastAsia="仿宋_GB2312"/>
          <w:color w:val="000000" w:themeColor="text1"/>
          <w:sz w:val="32"/>
          <w:szCs w:val="32"/>
          <w:lang w:val="en-US" w:eastAsia="zh-CN"/>
          <w14:textFill>
            <w14:solidFill>
              <w14:schemeClr w14:val="tx1"/>
            </w14:solidFill>
          </w14:textFill>
        </w:rPr>
        <w:t>占</w:t>
      </w:r>
      <w:r>
        <w:rPr>
          <w:rFonts w:hint="default" w:ascii="Times New Roman" w:hAnsi="Times New Roman" w:eastAsia="仿宋_GB2312" w:cs="Times New Roman"/>
          <w:color w:val="000000" w:themeColor="text1"/>
          <w:sz w:val="32"/>
          <w:szCs w:val="32"/>
          <w14:textFill>
            <w14:solidFill>
              <w14:schemeClr w14:val="tx1"/>
            </w14:solidFill>
          </w14:textFill>
        </w:rPr>
        <w:t>2.63</w:t>
      </w:r>
      <w:r>
        <w:rPr>
          <w:rFonts w:hint="eastAsia" w:ascii="Times New Roman" w:hAnsi="Times New Roman" w:eastAsia="仿宋_GB2312"/>
          <w:color w:val="000000" w:themeColor="text1"/>
          <w:sz w:val="32"/>
          <w:szCs w:val="32"/>
          <w:lang w:val="en-US" w:eastAsia="zh-CN"/>
          <w14:textFill>
            <w14:solidFill>
              <w14:schemeClr w14:val="tx1"/>
            </w14:solidFill>
          </w14:textFill>
        </w:rPr>
        <w:t>%；商业服务业等（类）支出</w:t>
      </w:r>
      <w:r>
        <w:rPr>
          <w:rFonts w:hint="default" w:ascii="Times New Roman" w:hAnsi="Times New Roman" w:eastAsia="仿宋_GB2312"/>
          <w:color w:val="000000" w:themeColor="text1"/>
          <w:sz w:val="32"/>
          <w:szCs w:val="32"/>
          <w:lang w:eastAsia="zh-CN"/>
          <w14:textFill>
            <w14:solidFill>
              <w14:schemeClr w14:val="tx1"/>
            </w14:solidFill>
          </w14:textFill>
        </w:rPr>
        <w:t>513.70</w:t>
      </w:r>
      <w:r>
        <w:rPr>
          <w:rFonts w:hint="eastAsia" w:ascii="Times New Roman" w:hAnsi="Times New Roman" w:eastAsia="仿宋_GB2312"/>
          <w:color w:val="000000" w:themeColor="text1"/>
          <w:sz w:val="32"/>
          <w:szCs w:val="32"/>
          <w:lang w:val="en-US"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14:textFill>
            <w14:solidFill>
              <w14:schemeClr w14:val="tx1"/>
            </w14:solidFill>
          </w14:textFill>
        </w:rPr>
        <w:t>72.91</w:t>
      </w:r>
      <w:r>
        <w:rPr>
          <w:rFonts w:hint="eastAsia" w:ascii="Times New Roman" w:hAnsi="Times New Roman" w:eastAsia="仿宋_GB2312"/>
          <w:color w:val="000000" w:themeColor="text1"/>
          <w:sz w:val="32"/>
          <w:szCs w:val="32"/>
          <w:lang w:val="en-US" w:eastAsia="zh-CN"/>
          <w14:textFill>
            <w14:solidFill>
              <w14:schemeClr w14:val="tx1"/>
            </w14:solidFill>
          </w14:textFill>
        </w:rPr>
        <w:t>%</w:t>
      </w:r>
      <w:r>
        <w:rPr>
          <w:rFonts w:hint="default" w:ascii="Times New Roman" w:hAnsi="Times New Roman" w:eastAsia="仿宋_GB2312"/>
          <w:color w:val="000000" w:themeColor="text1"/>
          <w:sz w:val="32"/>
          <w:szCs w:val="32"/>
          <w:lang w:eastAsia="zh-CN"/>
          <w14:textFill>
            <w14:solidFill>
              <w14:schemeClr w14:val="tx1"/>
            </w14:solidFill>
          </w14:textFill>
        </w:rPr>
        <w:t>；住房保障支出37.49万元，占5.32%</w:t>
      </w:r>
      <w:r>
        <w:rPr>
          <w:rFonts w:hint="eastAsia" w:ascii="Times New Roman" w:hAnsi="Times New Roman" w:eastAsia="仿宋_GB2312"/>
          <w:color w:val="000000" w:themeColor="text1"/>
          <w:sz w:val="32"/>
          <w:szCs w:val="32"/>
          <w:lang w:val="en-US" w:eastAsia="zh-CN"/>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default" w:ascii="Times New Roman" w:hAnsi="Times New Roman" w:eastAsia="仿宋_GB2312" w:cs="Times New Roman"/>
          <w:sz w:val="32"/>
          <w:szCs w:val="32"/>
        </w:rPr>
        <w:t>722.75</w:t>
      </w:r>
      <w:r>
        <w:rPr>
          <w:rFonts w:ascii="Times New Roman" w:hAnsi="Times New Roman" w:eastAsia="仿宋_GB2312" w:cs="Times New Roman"/>
          <w:sz w:val="32"/>
          <w:szCs w:val="32"/>
        </w:rPr>
        <w:t>万元，支出决算数为</w:t>
      </w:r>
      <w:r>
        <w:rPr>
          <w:rFonts w:hint="default" w:ascii="Times New Roman" w:hAnsi="Times New Roman" w:eastAsia="仿宋_GB2312" w:cs="Times New Roman"/>
          <w:sz w:val="32"/>
          <w:szCs w:val="32"/>
        </w:rPr>
        <w:t>704.54</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rPr>
        <w:t>97.48</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社会保障和就业支出（类）行政事业单位养老支出（款）</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行政单位离退休</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（项）。</w:t>
      </w:r>
    </w:p>
    <w:p>
      <w:pPr>
        <w:pStyle w:val="14"/>
        <w:overflowPunct w:val="0"/>
        <w:autoSpaceDE/>
        <w:autoSpaceDN/>
        <w:spacing w:line="600" w:lineRule="exact"/>
        <w:ind w:firstLine="640" w:firstLineChars="200"/>
        <w:jc w:val="both"/>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年初预算为</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31.94</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万元，支出决算为</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24.50</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万元，</w:t>
      </w:r>
      <w:r>
        <w:rPr>
          <w:rFonts w:ascii="Times New Roman" w:hAnsi="Times New Roman" w:eastAsia="仿宋_GB2312" w:cs="Times New Roman"/>
          <w:sz w:val="32"/>
          <w:szCs w:val="32"/>
        </w:rPr>
        <w:t>完成年初预算的</w:t>
      </w:r>
      <w:r>
        <w:rPr>
          <w:rFonts w:hint="default" w:ascii="Times New Roman" w:hAnsi="Times New Roman" w:eastAsia="仿宋_GB2312" w:cs="Times New Roman"/>
          <w:sz w:val="32"/>
          <w:szCs w:val="32"/>
        </w:rPr>
        <w:t>76.71</w:t>
      </w:r>
      <w:r>
        <w:rPr>
          <w:rFonts w:ascii="Times New Roman" w:hAnsi="Times New Roman" w:eastAsia="仿宋_GB2312" w:cs="Times New Roman"/>
          <w:sz w:val="32"/>
          <w:szCs w:val="32"/>
        </w:rPr>
        <w:t>%，</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决算数</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小于</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年初预算数的主要原因是：</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提前退休人员转正式退休，发的退休费减少</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社会保障和就业支出（类）行政事业单位养老支出（款）</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机关事业单位基本养老保险缴费支出</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（项）。</w:t>
      </w:r>
    </w:p>
    <w:p>
      <w:pPr>
        <w:pStyle w:val="14"/>
        <w:overflowPunct w:val="0"/>
        <w:autoSpaceDE/>
        <w:autoSpaceDN/>
        <w:spacing w:line="600" w:lineRule="exact"/>
        <w:ind w:firstLine="640" w:firstLineChars="200"/>
        <w:jc w:val="both"/>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年初预算为</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44.33</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万元，支出决算为</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44.61</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万元，</w:t>
      </w:r>
      <w:r>
        <w:rPr>
          <w:rFonts w:ascii="Times New Roman" w:hAnsi="Times New Roman" w:eastAsia="仿宋_GB2312" w:cs="Times New Roman"/>
          <w:sz w:val="32"/>
          <w:szCs w:val="32"/>
        </w:rPr>
        <w:t>完成年初预算的</w:t>
      </w:r>
      <w:r>
        <w:rPr>
          <w:rFonts w:hint="default" w:ascii="Times New Roman" w:hAnsi="Times New Roman" w:eastAsia="仿宋_GB2312" w:cs="Times New Roman"/>
          <w:sz w:val="32"/>
          <w:szCs w:val="32"/>
        </w:rPr>
        <w:t>100.63</w:t>
      </w:r>
      <w:r>
        <w:rPr>
          <w:rFonts w:ascii="Times New Roman" w:hAnsi="Times New Roman" w:eastAsia="仿宋_GB2312" w:cs="Times New Roman"/>
          <w:sz w:val="32"/>
          <w:szCs w:val="32"/>
        </w:rPr>
        <w:t>%，</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决算数</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大于</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年初预算数的主要原因是：</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新招录了两名工作人员，养老保险增加</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社会保障和就业支出（类）行政事业单位养老支出（款）</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其他行政事业单位养老支出</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（项）。</w:t>
      </w:r>
    </w:p>
    <w:p>
      <w:pPr>
        <w:pStyle w:val="14"/>
        <w:overflowPunct w:val="0"/>
        <w:autoSpaceDE/>
        <w:autoSpaceDN/>
        <w:spacing w:line="600" w:lineRule="exact"/>
        <w:ind w:firstLine="640" w:firstLineChars="200"/>
        <w:jc w:val="both"/>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年初预算为</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62.50</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万元，支出决算为</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65.70</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万元，</w:t>
      </w:r>
      <w:r>
        <w:rPr>
          <w:rFonts w:ascii="Times New Roman" w:hAnsi="Times New Roman" w:eastAsia="仿宋_GB2312" w:cs="Times New Roman"/>
          <w:sz w:val="32"/>
          <w:szCs w:val="32"/>
        </w:rPr>
        <w:t>完成年初预算的</w:t>
      </w:r>
      <w:r>
        <w:rPr>
          <w:rFonts w:hint="default" w:ascii="Times New Roman" w:hAnsi="Times New Roman" w:eastAsia="仿宋_GB2312" w:cs="Times New Roman"/>
          <w:sz w:val="32"/>
          <w:szCs w:val="32"/>
        </w:rPr>
        <w:t>105.12</w:t>
      </w:r>
      <w:r>
        <w:rPr>
          <w:rFonts w:ascii="Times New Roman" w:hAnsi="Times New Roman" w:eastAsia="仿宋_GB2312" w:cs="Times New Roman"/>
          <w:sz w:val="32"/>
          <w:szCs w:val="32"/>
        </w:rPr>
        <w:t>%，</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决算数</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大于</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年初预算数的主要原因是：</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退休人员增加，离退休人员春节生活补助增加</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卫生健康支出</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（类）</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行政事业单位医疗</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（款）</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行政单位医疗</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（项）。</w:t>
      </w:r>
    </w:p>
    <w:p>
      <w:pPr>
        <w:pStyle w:val="14"/>
        <w:overflowPunct w:val="0"/>
        <w:autoSpaceDE/>
        <w:autoSpaceDN/>
        <w:spacing w:line="600" w:lineRule="exact"/>
        <w:ind w:firstLine="640" w:firstLineChars="200"/>
        <w:jc w:val="both"/>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rPr>
        <w:t>17.64</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18.55</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rPr>
        <w:t>105.1</w:t>
      </w:r>
      <w:r>
        <w:rPr>
          <w:rFonts w:hint="default" w:ascii="Times New Roman" w:hAnsi="Times New Roman" w:eastAsia="仿宋_GB2312" w:cs="Times New Roman"/>
          <w:sz w:val="32"/>
          <w:szCs w:val="32"/>
        </w:rPr>
        <w:t>6</w:t>
      </w:r>
      <w:bookmarkStart w:id="0" w:name="_GoBack"/>
      <w:bookmarkEnd w:id="0"/>
      <w:r>
        <w:rPr>
          <w:rFonts w:ascii="Times New Roman" w:hAnsi="Times New Roman" w:eastAsia="仿宋_GB2312" w:cs="Times New Roman"/>
          <w:sz w:val="32"/>
          <w:szCs w:val="32"/>
        </w:rPr>
        <w:t>%，决算数大于年初预算数的主要原因是：</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新招录了两名工作人员，医疗保险增加</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5</w:t>
      </w:r>
      <w:r>
        <w:rPr>
          <w:rFonts w:ascii="Times New Roman" w:hAnsi="Times New Roman" w:eastAsia="仿宋_GB2312" w:cs="Times New Roman"/>
          <w:sz w:val="32"/>
          <w:szCs w:val="32"/>
        </w:rPr>
        <w:t>、</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商业服务业等支出（类）商业流通事务（款）行政运行（项）。</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rPr>
        <w:t>369.45</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425.69</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rPr>
        <w:t>115.22</w:t>
      </w:r>
      <w:r>
        <w:rPr>
          <w:rFonts w:ascii="Times New Roman" w:hAnsi="Times New Roman" w:eastAsia="仿宋_GB2312" w:cs="Times New Roman"/>
          <w:sz w:val="32"/>
          <w:szCs w:val="32"/>
        </w:rPr>
        <w:t>%，决算数大于年初预算数的主要原因是：</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新招录了两名工作人员</w:t>
      </w:r>
      <w:r>
        <w:rPr>
          <w:rFonts w:ascii="Times New Roman" w:hAnsi="Times New Roman" w:eastAsia="仿宋_GB2312" w:cs="Times New Roman"/>
          <w:sz w:val="32"/>
          <w:szCs w:val="32"/>
        </w:rPr>
        <w:t>。</w:t>
      </w:r>
    </w:p>
    <w:p>
      <w:pPr>
        <w:pStyle w:val="9"/>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75" w:afterAutospacing="0" w:line="560" w:lineRule="atLeast"/>
        <w:ind w:left="0" w:right="0" w:firstLine="640"/>
        <w:jc w:val="both"/>
        <w:textAlignment w:val="auto"/>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商业服务业等支出（类）商业流通事务（款）</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一般行政管理事务</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（项）。</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75" w:afterAutospacing="0" w:line="560" w:lineRule="atLeast"/>
        <w:ind w:right="0" w:rightChars="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rPr>
        <w:t>157.5</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85.25</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rPr>
        <w:t>54.13</w:t>
      </w:r>
      <w:r>
        <w:rPr>
          <w:rFonts w:ascii="Times New Roman" w:hAnsi="Times New Roman" w:eastAsia="仿宋_GB2312" w:cs="Times New Roman"/>
          <w:sz w:val="32"/>
          <w:szCs w:val="32"/>
        </w:rPr>
        <w:t>%，决算数小于年初预算数的主要原因是：</w:t>
      </w:r>
      <w:r>
        <w:rPr>
          <w:rFonts w:ascii="Times New Roman" w:hAnsi="Times New Roman" w:eastAsia="仿宋_GB2312" w:cs="Times New Roman"/>
          <w:color w:val="000000" w:themeColor="text1"/>
          <w:sz w:val="32"/>
          <w:szCs w:val="32"/>
          <w14:textFill>
            <w14:solidFill>
              <w14:schemeClr w14:val="tx1"/>
            </w14:solidFill>
          </w14:textFill>
        </w:rPr>
        <w:t>化肥淡季储备项目未完结，需下年度支付。</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75" w:afterAutospacing="0" w:line="560" w:lineRule="atLeast"/>
        <w:ind w:left="0" w:right="0" w:firstLine="640"/>
        <w:jc w:val="both"/>
        <w:textAlignment w:val="auto"/>
        <w:rPr>
          <w:rFonts w:hint="default" w:ascii="Times New Roman" w:hAnsi="Times New Roman" w:eastAsia="仿宋_GB2312" w:cs="黑体"/>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sz w:val="32"/>
          <w:szCs w:val="32"/>
        </w:rPr>
        <w:t>7、</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商业服务业等支出（类）商业流通事务（款）其他商业流通事务支出（项）。</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rPr>
        <w:t>3.31</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2.76</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rPr>
        <w:t>83.38</w:t>
      </w:r>
      <w:r>
        <w:rPr>
          <w:rFonts w:ascii="Times New Roman" w:hAnsi="Times New Roman" w:eastAsia="仿宋_GB2312" w:cs="Times New Roman"/>
          <w:sz w:val="32"/>
          <w:szCs w:val="32"/>
        </w:rPr>
        <w:t>%，决算数小于年初预算数的主要原因是：</w:t>
      </w:r>
      <w:r>
        <w:rPr>
          <w:rFonts w:ascii="Times New Roman" w:hAnsi="Times New Roman" w:eastAsia="仿宋_GB2312" w:cs="Times New Roman"/>
          <w:color w:val="000000" w:themeColor="text1"/>
          <w:sz w:val="32"/>
          <w:szCs w:val="32"/>
          <w14:textFill>
            <w14:solidFill>
              <w14:schemeClr w14:val="tx1"/>
            </w14:solidFill>
          </w14:textFill>
        </w:rPr>
        <w:t>一个遗属去世，减少了遗属补助支出。</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8</w:t>
      </w:r>
      <w:r>
        <w:rPr>
          <w:rFonts w:ascii="Times New Roman" w:hAnsi="Times New Roman" w:eastAsia="仿宋_GB2312" w:cs="Times New Roman"/>
          <w:sz w:val="32"/>
          <w:szCs w:val="32"/>
        </w:rPr>
        <w:t>、住房保障支出（类）住房改革支出（款）住房公积金（项）。</w:t>
      </w:r>
    </w:p>
    <w:p>
      <w:pPr>
        <w:pStyle w:val="14"/>
        <w:overflowPunct w:val="0"/>
        <w:autoSpaceDE/>
        <w:autoSpaceDN/>
        <w:spacing w:line="600" w:lineRule="exact"/>
        <w:ind w:firstLine="640" w:firstLineChars="200"/>
        <w:jc w:val="both"/>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rPr>
        <w:t>36.08</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37.49</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rPr>
        <w:t>103.91</w:t>
      </w:r>
      <w:r>
        <w:rPr>
          <w:rFonts w:ascii="Times New Roman" w:hAnsi="Times New Roman" w:eastAsia="仿宋_GB2312" w:cs="Times New Roman"/>
          <w:sz w:val="32"/>
          <w:szCs w:val="32"/>
        </w:rPr>
        <w:t>%，决算数大于年初预算数的主要原因是：</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新招录了两名工作人员，住房公积金支出增加</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w:t>
      </w:r>
    </w:p>
    <w:p>
      <w:pPr>
        <w:pStyle w:val="14"/>
        <w:overflowPunct w:val="0"/>
        <w:autoSpaceDE/>
        <w:autoSpaceDN/>
        <w:spacing w:line="600" w:lineRule="exact"/>
        <w:ind w:firstLine="640" w:firstLineChars="200"/>
        <w:jc w:val="both"/>
        <w:rPr>
          <w:rFonts w:hint="default"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rPr>
        <w:t>按照支出功能分类，</w:t>
      </w:r>
      <w:r>
        <w:rPr>
          <w:rFonts w:hint="default" w:ascii="Times New Roman" w:hAnsi="Times New Roman" w:eastAsia="仿宋_GB2312" w:cs="Times New Roman"/>
          <w:sz w:val="32"/>
          <w:szCs w:val="32"/>
        </w:rPr>
        <w:t>商业服务业</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rPr>
        <w:t>支出</w:t>
      </w:r>
      <w:r>
        <w:rPr>
          <w:rFonts w:hint="eastAsia" w:ascii="Times New Roman" w:hAnsi="Times New Roman" w:eastAsia="仿宋_GB2312" w:cs="Times New Roman"/>
          <w:sz w:val="32"/>
          <w:szCs w:val="32"/>
        </w:rPr>
        <w:t>方面的支出规模较大，主要是：</w:t>
      </w:r>
      <w:r>
        <w:rPr>
          <w:rFonts w:hint="default" w:ascii="Times New Roman" w:hAnsi="Times New Roman" w:eastAsia="仿宋_GB2312" w:cs="Times New Roman"/>
          <w:sz w:val="32"/>
          <w:szCs w:val="32"/>
        </w:rPr>
        <w:t>行政运行</w:t>
      </w:r>
      <w:r>
        <w:rPr>
          <w:rFonts w:hint="eastAsia" w:ascii="Times New Roman" w:hAnsi="Times New Roman" w:eastAsia="仿宋_GB2312" w:cs="Times New Roman"/>
          <w:sz w:val="32"/>
          <w:szCs w:val="32"/>
        </w:rPr>
        <w:t>，2025年度决算数为</w:t>
      </w:r>
      <w:r>
        <w:rPr>
          <w:rFonts w:hint="default" w:ascii="Times New Roman" w:hAnsi="Times New Roman" w:eastAsia="仿宋_GB2312" w:cs="Times New Roman"/>
          <w:sz w:val="32"/>
          <w:szCs w:val="32"/>
        </w:rPr>
        <w:t>425.69</w:t>
      </w:r>
      <w:r>
        <w:rPr>
          <w:rFonts w:hint="eastAsia" w:ascii="Times New Roman" w:hAnsi="Times New Roman" w:eastAsia="仿宋_GB2312" w:cs="Times New Roman"/>
          <w:sz w:val="32"/>
          <w:szCs w:val="32"/>
        </w:rPr>
        <w:t>万元，占财政拨款支出总额的</w:t>
      </w:r>
      <w:r>
        <w:rPr>
          <w:rFonts w:hint="default" w:ascii="Times New Roman" w:hAnsi="Times New Roman" w:eastAsia="仿宋_GB2312" w:cs="Times New Roman"/>
          <w:sz w:val="32"/>
          <w:szCs w:val="32"/>
        </w:rPr>
        <w:t>60.42</w:t>
      </w:r>
      <w:r>
        <w:rPr>
          <w:rFonts w:hint="eastAsia" w:ascii="Times New Roman" w:hAnsi="Times New Roman" w:eastAsia="仿宋_GB2312" w:cs="Times New Roman"/>
          <w:sz w:val="32"/>
          <w:szCs w:val="32"/>
        </w:rPr>
        <w:t>%，主要用于</w:t>
      </w:r>
      <w:r>
        <w:rPr>
          <w:rFonts w:hint="default" w:ascii="Times New Roman" w:hAnsi="Times New Roman" w:eastAsia="仿宋_GB2312" w:cs="Times New Roman"/>
          <w:sz w:val="32"/>
          <w:szCs w:val="32"/>
        </w:rPr>
        <w:t>干部职工工资福利支出、机关运转支出</w:t>
      </w:r>
      <w:r>
        <w:rPr>
          <w:rFonts w:hint="eastAsia" w:ascii="Times New Roman" w:hAnsi="Times New Roman" w:eastAsia="仿宋_GB2312" w:cs="Times New Roman"/>
          <w:sz w:val="32"/>
          <w:szCs w:val="32"/>
        </w:rPr>
        <w:t>等方面</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default" w:ascii="Times New Roman" w:hAnsi="Times New Roman" w:eastAsia="仿宋_GB2312" w:cs="Times New Roman"/>
          <w:sz w:val="32"/>
          <w:szCs w:val="32"/>
        </w:rPr>
        <w:t>619.29</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default" w:ascii="Times New Roman" w:hAnsi="Times New Roman" w:eastAsia="仿宋_GB2312" w:cs="Times New Roman"/>
          <w:sz w:val="32"/>
          <w:szCs w:val="32"/>
        </w:rPr>
        <w:t>543.76</w:t>
      </w:r>
      <w:r>
        <w:rPr>
          <w:rFonts w:ascii="Times New Roman" w:hAnsi="Times New Roman" w:eastAsia="仿宋_GB2312" w:cs="Times New Roman"/>
          <w:sz w:val="32"/>
          <w:szCs w:val="32"/>
        </w:rPr>
        <w:t>万元，占基本支出的</w:t>
      </w:r>
      <w:r>
        <w:rPr>
          <w:rFonts w:hint="default" w:ascii="Times New Roman" w:hAnsi="Times New Roman" w:eastAsia="仿宋_GB2312" w:cs="Times New Roman"/>
          <w:sz w:val="32"/>
          <w:szCs w:val="32"/>
        </w:rPr>
        <w:t>87.80</w:t>
      </w:r>
      <w:r>
        <w:rPr>
          <w:rFonts w:ascii="Times New Roman" w:hAnsi="Times New Roman" w:eastAsia="仿宋_GB2312" w:cs="Times New Roman"/>
          <w:sz w:val="32"/>
          <w:szCs w:val="32"/>
        </w:rPr>
        <w:t>%,主要包括</w:t>
      </w:r>
      <w:r>
        <w:rPr>
          <w:rFonts w:hint="default" w:ascii="Times New Roman" w:hAnsi="Times New Roman" w:eastAsia="仿宋_GB2312" w:cs="Times New Roman"/>
          <w:sz w:val="32"/>
          <w:szCs w:val="32"/>
        </w:rPr>
        <w:t>基本工资163.74万元、津贴补贴74.43万元、奖金119.84万元、机关事业单位基本养老保险缴费44.61万元、职工基本医疗保险缴费18.55万元、住房公积金37.49万元、离休费16.64万元、生活补助68.46万元等。</w:t>
      </w:r>
    </w:p>
    <w:p>
      <w:pPr>
        <w:pStyle w:val="14"/>
        <w:overflowPunct w:val="0"/>
        <w:autoSpaceDE/>
        <w:autoSpaceDN/>
        <w:spacing w:line="600" w:lineRule="exact"/>
        <w:ind w:firstLine="640" w:firstLineChars="200"/>
        <w:jc w:val="both"/>
        <w:rPr>
          <w:rFonts w:hint="default" w:ascii="Ubuntu" w:hAnsi="Ubuntu" w:eastAsia="Ubuntu" w:cs="Ubuntu"/>
          <w:i w:val="0"/>
          <w:caps w:val="0"/>
          <w:color w:val="0F1115"/>
          <w:spacing w:val="0"/>
          <w:sz w:val="24"/>
          <w:szCs w:val="24"/>
        </w:rPr>
      </w:pPr>
      <w:r>
        <w:rPr>
          <w:rFonts w:hint="default" w:ascii="Times New Roman" w:hAnsi="Times New Roman" w:eastAsia="仿宋_GB2312" w:cs="Times New Roman"/>
          <w:b/>
          <w:bCs/>
          <w:color w:val="000000"/>
          <w:sz w:val="32"/>
          <w:szCs w:val="32"/>
          <w:lang w:val="en-US" w:eastAsia="zh-CN" w:bidi="ar-SA"/>
        </w:rPr>
        <w:t>公用经费</w:t>
      </w:r>
      <w:r>
        <w:rPr>
          <w:rFonts w:hint="default" w:ascii="Times New Roman" w:hAnsi="Times New Roman" w:eastAsia="仿宋_GB2312" w:cs="Times New Roman"/>
          <w:color w:val="000000"/>
          <w:sz w:val="32"/>
          <w:szCs w:val="32"/>
          <w:lang w:val="en-US" w:eastAsia="zh-CN" w:bidi="ar-SA"/>
        </w:rPr>
        <w:t>75.53万元，占基本支出的12.20%，主要包括办公费1.32万元、水费0.72万元、邮电费0.23万元、差旅费0.58万元、维修（护）费0.84万元、培训费0.07万元、工会经费9.04万元、福利费35.32万元、公务用车运行维护费0.50万元、其他交通费用25.79万元、其他商品和服务支出1.12万元等。</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default" w:ascii="Times New Roman" w:hAnsi="Times New Roman" w:eastAsia="仿宋_GB2312" w:cs="Times New Roman"/>
          <w:sz w:val="32"/>
          <w:szCs w:val="32"/>
        </w:rPr>
        <w:t>5.65</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2.19</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38.76</w:t>
      </w:r>
      <w:r>
        <w:rPr>
          <w:rFonts w:ascii="Times New Roman" w:hAnsi="Times New Roman" w:eastAsia="仿宋_GB2312" w:cs="Times New Roman"/>
          <w:sz w:val="32"/>
          <w:szCs w:val="32"/>
        </w:rPr>
        <w:t>%；与上年相比减少</w:t>
      </w:r>
      <w:r>
        <w:rPr>
          <w:rFonts w:hint="default" w:ascii="Times New Roman" w:hAnsi="Times New Roman" w:eastAsia="仿宋_GB2312" w:cs="Times New Roman"/>
          <w:sz w:val="32"/>
          <w:szCs w:val="32"/>
        </w:rPr>
        <w:t>1.92</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rPr>
        <w:t>46.7</w:t>
      </w:r>
      <w:r>
        <w:rPr>
          <w:rFonts w:ascii="Times New Roman" w:hAnsi="Times New Roman" w:eastAsia="仿宋_GB2312" w:cs="Times New Roman"/>
          <w:sz w:val="32"/>
          <w:szCs w:val="32"/>
        </w:rPr>
        <w:t>%。决算数小于预算数的主要原因是公车修理费用减少。决算数小于上年数的主要原因是公车修理费用减少。</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1.因公出国（境）费支出预算为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度安排因公出国（境）团组</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个，累计</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人次。</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default" w:ascii="Times New Roman" w:hAnsi="Times New Roman" w:eastAsia="仿宋_GB2312" w:cs="Times New Roman"/>
          <w:sz w:val="32"/>
          <w:szCs w:val="32"/>
        </w:rPr>
        <w:t>3.76</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1.19</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31.65</w:t>
      </w:r>
      <w:r>
        <w:rPr>
          <w:rFonts w:ascii="Times New Roman" w:hAnsi="Times New Roman" w:eastAsia="仿宋_GB2312" w:cs="Times New Roman"/>
          <w:sz w:val="32"/>
          <w:szCs w:val="32"/>
        </w:rPr>
        <w:t>%；与上年相比减少</w:t>
      </w:r>
      <w:r>
        <w:rPr>
          <w:rFonts w:hint="default" w:ascii="Times New Roman" w:hAnsi="Times New Roman" w:eastAsia="仿宋_GB2312" w:cs="Times New Roman"/>
          <w:sz w:val="32"/>
          <w:szCs w:val="32"/>
        </w:rPr>
        <w:t>1.85</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rPr>
        <w:t>60.8</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default" w:ascii="Times New Roman" w:hAnsi="Times New Roman" w:eastAsia="仿宋_GB2312" w:cs="Times New Roman"/>
          <w:sz w:val="32"/>
          <w:szCs w:val="32"/>
        </w:rPr>
        <w:t>3.76</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1.19</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ascii="Times New Roman" w:hAnsi="Times New Roman" w:eastAsia="仿宋_GB2312" w:cs="Times New Roman"/>
          <w:sz w:val="36"/>
          <w:szCs w:val="36"/>
        </w:rPr>
        <w:t>公车加油、高速过路费、公车维修费等</w:t>
      </w:r>
      <w:r>
        <w:rPr>
          <w:rFonts w:ascii="Times New Roman" w:hAnsi="Times New Roman" w:eastAsia="仿宋_GB2312" w:cs="Times New Roman"/>
          <w:sz w:val="32"/>
          <w:szCs w:val="32"/>
        </w:rPr>
        <w:t>支出，完成预算的</w:t>
      </w:r>
      <w:r>
        <w:rPr>
          <w:rFonts w:hint="default" w:ascii="Times New Roman" w:hAnsi="Times New Roman" w:eastAsia="仿宋_GB2312" w:cs="Times New Roman"/>
          <w:sz w:val="32"/>
          <w:szCs w:val="32"/>
        </w:rPr>
        <w:t>31.65</w:t>
      </w:r>
      <w:r>
        <w:rPr>
          <w:rFonts w:ascii="Times New Roman" w:hAnsi="Times New Roman" w:eastAsia="仿宋_GB2312" w:cs="Times New Roman"/>
          <w:sz w:val="32"/>
          <w:szCs w:val="32"/>
        </w:rPr>
        <w:t>%；与上年相比减少</w:t>
      </w:r>
      <w:r>
        <w:rPr>
          <w:rFonts w:hint="default" w:ascii="Times New Roman" w:hAnsi="Times New Roman" w:eastAsia="仿宋_GB2312" w:cs="Times New Roman"/>
          <w:sz w:val="32"/>
          <w:szCs w:val="32"/>
        </w:rPr>
        <w:t>1.85</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rPr>
        <w:t>60.8</w:t>
      </w:r>
      <w:r>
        <w:rPr>
          <w:rFonts w:ascii="Times New Roman" w:hAnsi="Times New Roman" w:eastAsia="仿宋_GB2312" w:cs="Times New Roman"/>
          <w:sz w:val="32"/>
          <w:szCs w:val="32"/>
        </w:rPr>
        <w:t>%。决算数小于预算数的主要原因是公车修理费用减少。决算数小于上年数的主要原因是公车修理费用减少。截止202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default" w:ascii="Times New Roman" w:hAnsi="Times New Roman" w:eastAsia="仿宋_GB2312" w:cs="Times New Roman"/>
          <w:sz w:val="32"/>
          <w:szCs w:val="32"/>
        </w:rPr>
        <w:t>1</w:t>
      </w:r>
      <w:r>
        <w:rPr>
          <w:rFonts w:ascii="Times New Roman" w:hAnsi="Times New Roman" w:eastAsia="仿宋_GB2312" w:cs="Times New Roman"/>
          <w:sz w:val="32"/>
          <w:szCs w:val="32"/>
        </w:rPr>
        <w:t>辆。</w:t>
      </w:r>
      <w:r>
        <w:rPr>
          <w:rFonts w:ascii="Times New Roman" w:hAnsi="Times New Roman" w:eastAsia="楷体_GB2312" w:cs="Times New Roman"/>
          <w:b/>
          <w:bCs/>
          <w:i/>
          <w:color w:val="auto"/>
          <w:sz w:val="32"/>
          <w:szCs w:val="32"/>
        </w:rPr>
        <w:t>（三公经费支出口径应在专业名词解释中予以说明）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default" w:ascii="Times New Roman" w:hAnsi="Times New Roman" w:eastAsia="仿宋_GB2312" w:cs="Times New Roman"/>
          <w:sz w:val="32"/>
          <w:szCs w:val="32"/>
        </w:rPr>
        <w:t>1.89</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1</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52.91</w:t>
      </w:r>
      <w:r>
        <w:rPr>
          <w:rFonts w:ascii="Times New Roman" w:hAnsi="Times New Roman" w:eastAsia="仿宋_GB2312" w:cs="Times New Roman"/>
          <w:sz w:val="32"/>
          <w:szCs w:val="32"/>
        </w:rPr>
        <w:t>%；与上年相比减少</w:t>
      </w:r>
      <w:r>
        <w:rPr>
          <w:rFonts w:hint="default" w:ascii="Times New Roman" w:hAnsi="Times New Roman" w:eastAsia="仿宋_GB2312" w:cs="Times New Roman"/>
          <w:sz w:val="32"/>
          <w:szCs w:val="32"/>
        </w:rPr>
        <w:t>0.07</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rPr>
        <w:t>6.5</w:t>
      </w:r>
      <w:r>
        <w:rPr>
          <w:rFonts w:ascii="Times New Roman" w:hAnsi="Times New Roman" w:eastAsia="仿宋_GB2312" w:cs="Times New Roman"/>
          <w:sz w:val="32"/>
          <w:szCs w:val="32"/>
        </w:rPr>
        <w:t>%。决算数小于预算数的主要原因是厉行节约减少公务接待次数。决算数小于上年数的主要原因是厉行节约减少公务接待次数。</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default" w:ascii="Times New Roman" w:hAnsi="Times New Roman" w:eastAsia="仿宋_GB2312" w:cs="Times New Roman"/>
          <w:sz w:val="32"/>
          <w:szCs w:val="32"/>
        </w:rPr>
        <w:t>12</w:t>
      </w:r>
      <w:r>
        <w:rPr>
          <w:rFonts w:ascii="Times New Roman" w:hAnsi="Times New Roman" w:eastAsia="仿宋_GB2312" w:cs="Times New Roman"/>
          <w:sz w:val="32"/>
          <w:szCs w:val="32"/>
        </w:rPr>
        <w:t>个、来宾</w:t>
      </w:r>
      <w:r>
        <w:rPr>
          <w:rFonts w:hint="default" w:ascii="Times New Roman" w:hAnsi="Times New Roman" w:eastAsia="仿宋_GB2312" w:cs="Times New Roman"/>
          <w:sz w:val="32"/>
          <w:szCs w:val="32"/>
        </w:rPr>
        <w:t>39</w:t>
      </w:r>
      <w:r>
        <w:rPr>
          <w:rFonts w:ascii="Times New Roman" w:hAnsi="Times New Roman" w:eastAsia="仿宋_GB2312" w:cs="Times New Roman"/>
          <w:sz w:val="32"/>
          <w:szCs w:val="32"/>
        </w:rPr>
        <w:t>人次，主要是综合改革调研等活动发生的接待支出。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hint="default" w:ascii="Times New Roman" w:hAnsi="Times New Roman" w:eastAsia="仿宋_GB2312"/>
          <w:color w:val="000000" w:themeColor="text1"/>
          <w:sz w:val="32"/>
          <w:szCs w:val="32"/>
          <w:lang w:eastAsia="zh-CN"/>
          <w14:textFill>
            <w14:solidFill>
              <w14:schemeClr w14:val="tx1"/>
            </w14:solidFill>
          </w14:textFill>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万元；年初结转和结余</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万元，项目支出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万元；年末结转和结余</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color w:val="000000" w:themeColor="text1"/>
          <w:sz w:val="32"/>
          <w:szCs w:val="32"/>
          <w:lang w:val="en-US" w:eastAsia="zh-CN"/>
          <w14:textFill>
            <w14:solidFill>
              <w14:schemeClr w14:val="tx1"/>
            </w14:solidFill>
          </w14:textFill>
        </w:rPr>
        <w:t>本单位无政府性基金收支</w:t>
      </w:r>
      <w:r>
        <w:rPr>
          <w:rFonts w:hint="default" w:ascii="Times New Roman" w:hAnsi="Times New Roman" w:eastAsia="仿宋_GB2312"/>
          <w:color w:val="000000" w:themeColor="text1"/>
          <w:sz w:val="32"/>
          <w:szCs w:val="32"/>
          <w:lang w:eastAsia="zh-CN"/>
          <w14:textFill>
            <w14:solidFill>
              <w14:schemeClr w14:val="tx1"/>
            </w14:solidFill>
          </w14:textFill>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75" w:afterAutospacing="0" w:line="600" w:lineRule="atLeast"/>
        <w:ind w:left="0" w:right="0" w:firstLine="640"/>
        <w:jc w:val="both"/>
        <w:textAlignment w:val="auto"/>
        <w:rPr>
          <w:rFonts w:ascii="微软雅黑" w:hAnsi="微软雅黑" w:eastAsia="微软雅黑" w:cs="微软雅黑"/>
          <w:i w:val="0"/>
          <w:caps w:val="0"/>
          <w:color w:val="000000" w:themeColor="text1"/>
          <w:spacing w:val="0"/>
          <w:sz w:val="24"/>
          <w:szCs w:val="24"/>
          <w14:textFill>
            <w14:solidFill>
              <w14:schemeClr w14:val="tx1"/>
            </w14:solidFill>
          </w14:textFill>
        </w:rPr>
      </w:pPr>
      <w:r>
        <w:rPr>
          <w:rFonts w:ascii="黑体" w:hAnsi="宋体" w:eastAsia="黑体" w:cs="黑体"/>
          <w:i w:val="0"/>
          <w:caps w:val="0"/>
          <w:color w:val="000000" w:themeColor="text1"/>
          <w:spacing w:val="0"/>
          <w:sz w:val="32"/>
          <w:szCs w:val="32"/>
          <w:shd w:val="clear" w:fill="FFFFFF"/>
          <w14:textFill>
            <w14:solidFill>
              <w14:schemeClr w14:val="tx1"/>
            </w14:solidFill>
          </w14:textFill>
        </w:rPr>
        <w:t>九、国有资本经营预算收入支出决算情况</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75" w:afterAutospacing="0" w:line="560" w:lineRule="atLeast"/>
        <w:ind w:left="0" w:right="0" w:firstLine="640"/>
        <w:jc w:val="both"/>
        <w:textAlignment w:val="auto"/>
        <w:rPr>
          <w:rFonts w:hint="default" w:ascii="Times New Roman" w:hAnsi="Times New Roman" w:eastAsia="仿宋_GB2312" w:cs="黑体"/>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本单位无国有资本经营预算收入支出。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default" w:ascii="Times New Roman" w:hAnsi="Times New Roman" w:eastAsia="仿宋_GB2312" w:cs="Times New Roman"/>
          <w:sz w:val="32"/>
          <w:szCs w:val="32"/>
        </w:rPr>
        <w:t>75.53</w:t>
      </w:r>
      <w:r>
        <w:rPr>
          <w:rFonts w:ascii="Times New Roman" w:hAnsi="Times New Roman" w:eastAsia="仿宋_GB2312" w:cs="Times New Roman"/>
          <w:sz w:val="32"/>
          <w:szCs w:val="32"/>
        </w:rPr>
        <w:t>万元，比上年决算数增加</w:t>
      </w:r>
      <w:r>
        <w:rPr>
          <w:rFonts w:hint="default" w:ascii="Times New Roman" w:hAnsi="Times New Roman" w:eastAsia="仿宋_GB2312" w:cs="Times New Roman"/>
          <w:sz w:val="32"/>
          <w:szCs w:val="32"/>
        </w:rPr>
        <w:t>23.79</w:t>
      </w:r>
      <w:r>
        <w:rPr>
          <w:rFonts w:ascii="Times New Roman" w:hAnsi="Times New Roman" w:eastAsia="仿宋_GB2312" w:cs="Times New Roman"/>
          <w:sz w:val="32"/>
          <w:szCs w:val="32"/>
        </w:rPr>
        <w:t>万元，增长</w:t>
      </w:r>
      <w:r>
        <w:rPr>
          <w:rFonts w:hint="default" w:ascii="Times New Roman" w:hAnsi="Times New Roman" w:eastAsia="仿宋_GB2312" w:cs="Times New Roman"/>
          <w:sz w:val="32"/>
          <w:szCs w:val="32"/>
        </w:rPr>
        <w:t>46</w:t>
      </w:r>
      <w:r>
        <w:rPr>
          <w:rFonts w:ascii="Times New Roman" w:hAnsi="Times New Roman" w:eastAsia="仿宋_GB2312" w:cs="Times New Roman"/>
          <w:sz w:val="32"/>
          <w:szCs w:val="32"/>
        </w:rPr>
        <w:t>%。主要原因是：</w:t>
      </w:r>
      <w:r>
        <w:rPr>
          <w:rFonts w:hint="default" w:ascii="Times New Roman" w:hAnsi="Times New Roman" w:eastAsia="仿宋_GB2312" w:cs="黑体"/>
          <w:color w:val="000000" w:themeColor="text1"/>
          <w:kern w:val="0"/>
          <w:sz w:val="32"/>
          <w:szCs w:val="32"/>
          <w:lang w:eastAsia="zh-CN" w:bidi="ar-SA"/>
          <w14:textFill>
            <w14:solidFill>
              <w14:schemeClr w14:val="tx1"/>
            </w14:solidFill>
          </w14:textFill>
        </w:rPr>
        <w:t>新招录了两名工作人员，且2024年将部分日常公用经费支付了301经济科目的费用</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十一、一般性支出情况说明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default" w:ascii="Times New Roman" w:hAnsi="Times New Roman" w:eastAsia="仿宋_GB2312" w:cs="Times New Roman"/>
          <w:sz w:val="32"/>
          <w:szCs w:val="32"/>
        </w:rPr>
        <w:t>0.18</w:t>
      </w:r>
      <w:r>
        <w:rPr>
          <w:rFonts w:ascii="Times New Roman" w:hAnsi="Times New Roman" w:eastAsia="仿宋_GB2312" w:cs="Times New Roman"/>
          <w:sz w:val="32"/>
          <w:szCs w:val="32"/>
        </w:rPr>
        <w:t>万元，用于召开一届理事会五次全会暨监事会四次全会会议</w:t>
      </w:r>
      <w:r>
        <w:rPr>
          <w:rFonts w:hint="default" w:ascii="Times New Roman" w:hAnsi="Times New Roman" w:eastAsia="仿宋_GB2312" w:cs="Times New Roman"/>
          <w:sz w:val="32"/>
          <w:szCs w:val="32"/>
        </w:rPr>
        <w:t>0.10万元</w:t>
      </w:r>
      <w:r>
        <w:rPr>
          <w:rFonts w:ascii="Times New Roman" w:hAnsi="Times New Roman" w:eastAsia="仿宋_GB2312" w:cs="Times New Roman"/>
          <w:sz w:val="32"/>
          <w:szCs w:val="32"/>
        </w:rPr>
        <w:t>，人数</w:t>
      </w:r>
      <w:r>
        <w:rPr>
          <w:rFonts w:hint="default" w:ascii="Times New Roman" w:hAnsi="Times New Roman" w:eastAsia="仿宋_GB2312" w:cs="Times New Roman"/>
          <w:sz w:val="32"/>
          <w:szCs w:val="32"/>
        </w:rPr>
        <w:t>29</w:t>
      </w:r>
      <w:r>
        <w:rPr>
          <w:rFonts w:ascii="Times New Roman" w:hAnsi="Times New Roman" w:eastAsia="仿宋_GB2312" w:cs="Times New Roman"/>
          <w:sz w:val="32"/>
          <w:szCs w:val="32"/>
        </w:rPr>
        <w:t>人，内容为传达上级有关会议精神，按程序调整市社理事会理事、监事会监事等；用于召开流动供销及综合改革会议</w:t>
      </w:r>
      <w:r>
        <w:rPr>
          <w:rFonts w:hint="default" w:ascii="Times New Roman" w:hAnsi="Times New Roman" w:eastAsia="仿宋_GB2312" w:cs="Times New Roman"/>
          <w:sz w:val="32"/>
          <w:szCs w:val="32"/>
        </w:rPr>
        <w:t>0.08万元</w:t>
      </w:r>
      <w:r>
        <w:rPr>
          <w:rFonts w:ascii="Times New Roman" w:hAnsi="Times New Roman" w:eastAsia="仿宋_GB2312" w:cs="Times New Roman"/>
          <w:sz w:val="32"/>
          <w:szCs w:val="32"/>
        </w:rPr>
        <w:t>，人数</w:t>
      </w:r>
      <w:r>
        <w:rPr>
          <w:rFonts w:hint="default" w:ascii="Times New Roman" w:hAnsi="Times New Roman" w:eastAsia="仿宋_GB2312" w:cs="Times New Roman"/>
          <w:sz w:val="32"/>
          <w:szCs w:val="32"/>
        </w:rPr>
        <w:t>24</w:t>
      </w:r>
      <w:r>
        <w:rPr>
          <w:rFonts w:ascii="Times New Roman" w:hAnsi="Times New Roman" w:eastAsia="仿宋_GB2312" w:cs="Times New Roman"/>
          <w:sz w:val="32"/>
          <w:szCs w:val="32"/>
        </w:rPr>
        <w:t>人，内容举行“流动供销”赋权赋能签约仪式、召开“流动供销”暨综合改革工作推进会等；开支培训费</w:t>
      </w:r>
      <w:r>
        <w:rPr>
          <w:rFonts w:hint="default" w:ascii="Times New Roman" w:hAnsi="Times New Roman" w:eastAsia="仿宋_GB2312" w:cs="Times New Roman"/>
          <w:sz w:val="32"/>
          <w:szCs w:val="32"/>
        </w:rPr>
        <w:t>0.07</w:t>
      </w:r>
      <w:r>
        <w:rPr>
          <w:rFonts w:ascii="Times New Roman" w:hAnsi="Times New Roman" w:eastAsia="仿宋_GB2312" w:cs="Times New Roman"/>
          <w:sz w:val="32"/>
          <w:szCs w:val="32"/>
        </w:rPr>
        <w:t>万元，用于开展事业单位工作人员继续教育培训，人数</w:t>
      </w:r>
      <w:r>
        <w:rPr>
          <w:rFonts w:hint="default" w:ascii="Times New Roman" w:hAnsi="Times New Roman" w:eastAsia="仿宋_GB2312" w:cs="Times New Roman"/>
          <w:sz w:val="32"/>
          <w:szCs w:val="32"/>
        </w:rPr>
        <w:t>2</w:t>
      </w:r>
      <w:r>
        <w:rPr>
          <w:rFonts w:ascii="Times New Roman" w:hAnsi="Times New Roman" w:eastAsia="仿宋_GB2312" w:cs="Times New Roman"/>
          <w:sz w:val="32"/>
          <w:szCs w:val="32"/>
        </w:rPr>
        <w:t>人，内容为事业单位工作人员有关业务知识。</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color w:val="auto"/>
          <w:sz w:val="32"/>
          <w:szCs w:val="32"/>
        </w:rPr>
        <w:t>十二</w:t>
      </w:r>
      <w:r>
        <w:rPr>
          <w:rFonts w:ascii="Times New Roman" w:hAnsi="Times New Roman" w:cs="Times New Roman"/>
          <w:bCs/>
          <w:sz w:val="32"/>
          <w:szCs w:val="32"/>
        </w:rPr>
        <w:t>、关于政府采购支出说明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default" w:ascii="Times New Roman" w:hAnsi="Times New Roman" w:eastAsia="仿宋_GB2312" w:cs="Times New Roman"/>
          <w:sz w:val="32"/>
          <w:szCs w:val="32"/>
        </w:rPr>
        <w:t>17.18</w:t>
      </w:r>
      <w:r>
        <w:rPr>
          <w:rFonts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rPr>
        <w:t>7.60</w:t>
      </w:r>
      <w:r>
        <w:rPr>
          <w:rFonts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rPr>
        <w:t>9.57</w:t>
      </w:r>
      <w:r>
        <w:rPr>
          <w:rFonts w:ascii="Times New Roman" w:hAnsi="Times New Roman" w:eastAsia="仿宋_GB2312" w:cs="Times New Roman"/>
          <w:sz w:val="32"/>
          <w:szCs w:val="32"/>
        </w:rPr>
        <w:t>万元。授予中小企业合同金额</w:t>
      </w:r>
      <w:r>
        <w:rPr>
          <w:rFonts w:hint="default" w:ascii="Times New Roman" w:hAnsi="Times New Roman" w:eastAsia="仿宋_GB2312" w:cs="Times New Roman"/>
          <w:sz w:val="32"/>
          <w:szCs w:val="32"/>
        </w:rPr>
        <w:t>17.18</w:t>
      </w:r>
      <w:r>
        <w:rPr>
          <w:rFonts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%，其中：授予小微企业合同金额</w:t>
      </w:r>
      <w:r>
        <w:rPr>
          <w:rFonts w:hint="default" w:ascii="Times New Roman" w:hAnsi="Times New Roman" w:eastAsia="仿宋_GB2312" w:cs="Times New Roman"/>
          <w:sz w:val="32"/>
          <w:szCs w:val="32"/>
        </w:rPr>
        <w:t>12.51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default" w:ascii="Times New Roman" w:hAnsi="Times New Roman" w:eastAsia="仿宋_GB2312" w:cs="Times New Roman"/>
          <w:color w:val="auto"/>
          <w:sz w:val="32"/>
          <w:szCs w:val="32"/>
        </w:rPr>
        <w:t>72.82</w:t>
      </w:r>
      <w:r>
        <w:rPr>
          <w:rFonts w:ascii="Times New Roman" w:hAnsi="Times New Roman" w:eastAsia="仿宋_GB2312" w:cs="Times New Roman"/>
          <w:color w:val="auto"/>
          <w:sz w:val="32"/>
          <w:szCs w:val="32"/>
        </w:rPr>
        <w:t>%。货物采购授予中小企业合同金额占货物支出金额的</w:t>
      </w:r>
      <w:r>
        <w:rPr>
          <w:rFonts w:hint="default"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%，工程采购授予中小企业合同金额占工程支出金额的</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default"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default"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default"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辆，其中，副部（省）级及以上领导用车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default"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000000" w:themeColor="text1"/>
          <w:sz w:val="32"/>
          <w:szCs w:val="32"/>
          <w:lang w:val="en-US" w:eastAsia="zh-CN"/>
          <w14:textFill>
            <w14:solidFill>
              <w14:schemeClr w14:val="tx1"/>
            </w14:solidFill>
          </w14:textFill>
        </w:rPr>
        <w:t>单位公务用车</w:t>
      </w:r>
      <w:r>
        <w:rPr>
          <w:rFonts w:ascii="Times New Roman" w:hAnsi="Times New Roman" w:eastAsia="仿宋_GB2312" w:cs="Times New Roman"/>
          <w:color w:val="auto"/>
          <w:sz w:val="32"/>
          <w:szCs w:val="32"/>
        </w:rPr>
        <w:t>；单位价值100万元以上设备（不含车辆）</w:t>
      </w:r>
      <w:r>
        <w:rPr>
          <w:rFonts w:hint="default"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pPr>
        <w:pStyle w:val="14"/>
        <w:keepNext w:val="0"/>
        <w:keepLines w:val="0"/>
        <w:pageBreakBefore w:val="0"/>
        <w:numPr>
          <w:ilvl w:val="0"/>
          <w:numId w:val="0"/>
        </w:numP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十四、关于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pPr>
        <w:pStyle w:val="14"/>
        <w:keepNext w:val="0"/>
        <w:keepLines w:val="0"/>
        <w:pageBreakBefore w:val="0"/>
        <w:numPr>
          <w:ilvl w:val="0"/>
          <w:numId w:val="0"/>
        </w:numPr>
        <w:kinsoku/>
        <w:wordWrap/>
        <w:overflowPunct w:val="0"/>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default" w:ascii="Times New Roman" w:hAnsi="Times New Roman" w:eastAsia="仿宋_GB2312" w:cs="Times New Roman"/>
          <w:kern w:val="0"/>
          <w:sz w:val="32"/>
          <w:szCs w:val="32"/>
        </w:rPr>
        <w:t>3</w:t>
      </w:r>
      <w:r>
        <w:rPr>
          <w:rFonts w:ascii="Times New Roman" w:hAnsi="Times New Roman" w:eastAsia="仿宋_GB2312" w:cs="Times New Roman"/>
          <w:kern w:val="0"/>
          <w:sz w:val="32"/>
          <w:szCs w:val="32"/>
        </w:rPr>
        <w:t xml:space="preserve"> 个，共涉及资金</w:t>
      </w:r>
      <w:r>
        <w:rPr>
          <w:rFonts w:hint="default" w:ascii="Times New Roman" w:hAnsi="Times New Roman" w:eastAsia="仿宋_GB2312" w:cs="Times New Roman"/>
          <w:kern w:val="0"/>
          <w:sz w:val="32"/>
          <w:szCs w:val="32"/>
        </w:rPr>
        <w:t>704.54</w:t>
      </w:r>
      <w:r>
        <w:rPr>
          <w:rFonts w:ascii="Times New Roman" w:hAnsi="Times New Roman" w:eastAsia="仿宋_GB2312" w:cs="Times New Roman"/>
          <w:kern w:val="0"/>
          <w:sz w:val="32"/>
          <w:szCs w:val="32"/>
        </w:rPr>
        <w:t>万元。其中，一般公共预算项目</w:t>
      </w:r>
      <w:r>
        <w:rPr>
          <w:rFonts w:hint="default" w:ascii="Times New Roman" w:hAnsi="Times New Roman" w:eastAsia="仿宋_GB2312" w:cs="Times New Roman"/>
          <w:kern w:val="0"/>
          <w:sz w:val="32"/>
          <w:szCs w:val="32"/>
        </w:rPr>
        <w:t>3</w:t>
      </w:r>
      <w:r>
        <w:rPr>
          <w:rFonts w:ascii="Times New Roman" w:hAnsi="Times New Roman" w:eastAsia="仿宋_GB2312" w:cs="Times New Roman"/>
          <w:kern w:val="0"/>
          <w:sz w:val="32"/>
          <w:szCs w:val="32"/>
        </w:rPr>
        <w:t xml:space="preserve"> 个</w:t>
      </w:r>
      <w:r>
        <w:rPr>
          <w:rFonts w:hint="default" w:ascii="Times New Roman" w:hAnsi="Times New Roman" w:eastAsia="仿宋_GB2312" w:cs="Times New Roman"/>
          <w:kern w:val="0"/>
          <w:sz w:val="32"/>
          <w:szCs w:val="32"/>
        </w:rPr>
        <w:t>85.25</w:t>
      </w:r>
      <w:r>
        <w:rPr>
          <w:rFonts w:ascii="Times New Roman" w:hAnsi="Times New Roman" w:eastAsia="仿宋_GB2312" w:cs="Times New Roman"/>
          <w:kern w:val="0"/>
          <w:sz w:val="32"/>
          <w:szCs w:val="32"/>
        </w:rPr>
        <w:t xml:space="preserve"> 万元，占一般公共预算支出总额的</w:t>
      </w:r>
      <w:r>
        <w:rPr>
          <w:rFonts w:hint="default" w:ascii="Times New Roman" w:hAnsi="Times New Roman" w:eastAsia="仿宋_GB2312" w:cs="Times New Roman"/>
          <w:kern w:val="0"/>
          <w:sz w:val="32"/>
          <w:szCs w:val="32"/>
        </w:rPr>
        <w:t>12.10</w:t>
      </w:r>
      <w:r>
        <w:rPr>
          <w:rFonts w:ascii="Times New Roman" w:hAnsi="Times New Roman" w:eastAsia="仿宋_GB2312" w:cs="Times New Roman"/>
          <w:kern w:val="0"/>
          <w:sz w:val="32"/>
          <w:szCs w:val="32"/>
        </w:rPr>
        <w:t>%；政府性基金预算项目</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万元，占政府性基金预算支出总额的</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%；国有资本经营预算项目</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万元，占国有资本经营预算支出总额的</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%；社会保险基金预算项目</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万元，占社会保险基金预算支出总额的</w:t>
      </w:r>
      <w:r>
        <w:rPr>
          <w:rFonts w:hint="default"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ascii="Times New Roman" w:hAnsi="Times New Roman" w:eastAsia="仿宋_GB2312" w:cs="Times New Roman"/>
          <w:sz w:val="32"/>
          <w:szCs w:val="32"/>
        </w:rPr>
        <w:t>供销社综合改革工作经费</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电子商务平台费</w:t>
      </w:r>
      <w:r>
        <w:rPr>
          <w:rFonts w:ascii="Times New Roman" w:hAnsi="Times New Roman" w:eastAsia="仿宋_GB2312" w:cs="Times New Roman"/>
          <w:kern w:val="0"/>
          <w:sz w:val="32"/>
          <w:szCs w:val="32"/>
        </w:rPr>
        <w:t>”化肥淡季储备“”等</w:t>
      </w:r>
      <w:r>
        <w:rPr>
          <w:rFonts w:hint="default" w:ascii="Times New Roman" w:hAnsi="Times New Roman" w:eastAsia="仿宋_GB2312" w:cs="Times New Roman"/>
          <w:sz w:val="32"/>
          <w:szCs w:val="32"/>
        </w:rPr>
        <w:t>3</w:t>
      </w:r>
      <w:r>
        <w:rPr>
          <w:rFonts w:ascii="Times New Roman" w:hAnsi="Times New Roman" w:eastAsia="仿宋_GB2312" w:cs="Times New Roman"/>
          <w:kern w:val="0"/>
          <w:sz w:val="32"/>
          <w:szCs w:val="32"/>
        </w:rPr>
        <w:t>个项目开展了部门评价，涉及一般公共预算支出</w:t>
      </w:r>
      <w:r>
        <w:rPr>
          <w:rFonts w:hint="default" w:ascii="Times New Roman" w:hAnsi="Times New Roman" w:eastAsia="仿宋_GB2312" w:cs="Times New Roman"/>
          <w:sz w:val="32"/>
          <w:szCs w:val="32"/>
        </w:rPr>
        <w:t>85.25</w:t>
      </w:r>
      <w:r>
        <w:rPr>
          <w:rFonts w:ascii="Times New Roman" w:hAnsi="Times New Roman" w:eastAsia="仿宋_GB2312" w:cs="Times New Roman"/>
          <w:kern w:val="0"/>
          <w:sz w:val="32"/>
          <w:szCs w:val="32"/>
        </w:rPr>
        <w:t>万元，政府性基金预算支出</w:t>
      </w:r>
      <w:r>
        <w:rPr>
          <w:rFonts w:hint="default" w:ascii="Times New Roman" w:hAnsi="Times New Roman" w:eastAsia="仿宋_GB2312" w:cs="Times New Roman"/>
          <w:sz w:val="32"/>
          <w:szCs w:val="32"/>
        </w:rPr>
        <w:t>0</w:t>
      </w:r>
      <w:r>
        <w:rPr>
          <w:rFonts w:ascii="Times New Roman" w:hAnsi="Times New Roman" w:eastAsia="仿宋_GB2312" w:cs="Times New Roman"/>
          <w:kern w:val="0"/>
          <w:sz w:val="32"/>
          <w:szCs w:val="32"/>
        </w:rPr>
        <w:t>万元，国有资本经营预算支出</w:t>
      </w:r>
      <w:r>
        <w:rPr>
          <w:rFonts w:hint="default" w:ascii="Times New Roman" w:hAnsi="Times New Roman" w:eastAsia="仿宋_GB2312" w:cs="Times New Roman"/>
          <w:sz w:val="32"/>
          <w:szCs w:val="32"/>
        </w:rPr>
        <w:t>0</w:t>
      </w:r>
      <w:r>
        <w:rPr>
          <w:rFonts w:ascii="Times New Roman" w:hAnsi="Times New Roman" w:eastAsia="仿宋_GB2312" w:cs="Times New Roman"/>
          <w:kern w:val="0"/>
          <w:sz w:val="32"/>
          <w:szCs w:val="32"/>
        </w:rPr>
        <w:t>万元，社会保险基金预算支出</w:t>
      </w:r>
      <w:r>
        <w:rPr>
          <w:rFonts w:hint="default"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r>
        <w:rPr>
          <w:rFonts w:hint="default" w:ascii="Times New Roman" w:hAnsi="Times New Roman" w:eastAsia="仿宋_GB2312" w:cs="Times New Roman"/>
          <w:b/>
          <w:bCs/>
          <w:kern w:val="0"/>
          <w:sz w:val="32"/>
          <w:szCs w:val="32"/>
        </w:rPr>
        <w:t>三是事前绩效评估开展情况。</w:t>
      </w:r>
      <w:r>
        <w:rPr>
          <w:rFonts w:hint="default" w:ascii="Times New Roman" w:hAnsi="Times New Roman" w:eastAsia="仿宋_GB2312" w:cs="Times New Roman"/>
          <w:kern w:val="0"/>
          <w:sz w:val="32"/>
          <w:szCs w:val="32"/>
        </w:rPr>
        <w:t>2025年度未组织对新增重大政策和重大项目开展事前绩效评估。</w:t>
      </w:r>
    </w:p>
    <w:p>
      <w:pPr>
        <w:pStyle w:val="9"/>
        <w:keepNext w:val="0"/>
        <w:keepLines w:val="0"/>
        <w:pageBreakBefore w:val="0"/>
        <w:widowControl/>
        <w:suppressLineNumbers w:val="0"/>
        <w:shd w:val="clear" w:color="auto" w:fill="FFFFFF"/>
        <w:kinsoku/>
        <w:wordWrap/>
        <w:topLinePunct w:val="0"/>
        <w:autoSpaceDE/>
        <w:autoSpaceDN/>
        <w:bidi w:val="0"/>
        <w:snapToGrid/>
        <w:spacing w:beforeAutospacing="0" w:afterAutospacing="0"/>
        <w:ind w:left="0" w:right="0" w:firstLine="640" w:firstLineChars="200"/>
        <w:textAlignment w:val="auto"/>
        <w:rPr>
          <w:rFonts w:hint="default"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default" w:ascii="Times New Roman" w:hAnsi="Times New Roman" w:eastAsia="仿宋_GB2312" w:cs="Times New Roman"/>
          <w:sz w:val="32"/>
          <w:szCs w:val="32"/>
        </w:rPr>
        <w:t>718.49</w:t>
      </w:r>
      <w:r>
        <w:rPr>
          <w:rFonts w:ascii="Times New Roman" w:hAnsi="Times New Roman" w:eastAsia="仿宋_GB2312" w:cs="Times New Roman"/>
          <w:sz w:val="32"/>
          <w:szCs w:val="32"/>
        </w:rPr>
        <w:t>万元，执行数</w:t>
      </w:r>
      <w:r>
        <w:rPr>
          <w:rFonts w:hint="default" w:ascii="Times New Roman" w:hAnsi="Times New Roman" w:eastAsia="仿宋_GB2312" w:cs="Times New Roman"/>
          <w:sz w:val="32"/>
          <w:szCs w:val="32"/>
        </w:rPr>
        <w:t>704.54</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98.06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default" w:ascii="Times New Roman" w:hAnsi="Times New Roman" w:eastAsia="仿宋_GB2312" w:cs="Times New Roman"/>
          <w:sz w:val="32"/>
          <w:szCs w:val="32"/>
        </w:rPr>
        <w:t>99.81</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“优秀”。</w:t>
      </w:r>
      <w:r>
        <w:rPr>
          <w:rFonts w:ascii="Times New Roman" w:hAnsi="Times New Roman" w:eastAsia="仿宋_GB2312" w:cs="Times New Roman"/>
          <w:kern w:val="0"/>
          <w:sz w:val="32"/>
          <w:szCs w:val="32"/>
        </w:rPr>
        <w:t>绩效目标完成情况：</w:t>
      </w:r>
      <w:r>
        <w:rPr>
          <w:rFonts w:hint="default" w:ascii="Times New Roman" w:hAnsi="Times New Roman" w:eastAsia="仿宋_GB2312" w:cs="Times New Roman"/>
          <w:kern w:val="0"/>
          <w:sz w:val="32"/>
          <w:szCs w:val="32"/>
        </w:rPr>
        <w:t>一是深化综合改革，夯实组织体系，基层社建设提质增效，启动建设“千县千社”示范基层社的涉农县8个，建设“五有三好五统一”标准基层社示范社14个，“三年筑基”行动新建基层社36个、提质改造基层社145个；二是聚焦主责主业，精准为农服务，农产品销售工作成效显著，建设了荆坪古村“供销小院”、榆树湾综合体“新晃三宝”样板店，联合湖南省供销集团在怀化开展社区新零售，开设10家社区服务实体店，建设7个供销基地农场；三是农资保供作用充分发挥，深度开展农资化肥淡储工作，着力确保农资质优价稳供、供应安全可靠。发现的主要问题及原因：一是预算编制需进一步科学完善，未能完全贯彻“零基预算”理念；二是项目进展执行力度需进一步加强，预算执行均衡性有待提高。下一步改进措施：一是科学编制预算，不断提高预算编制质量；二是加强绩效考评，不断提升预算执行力度。</w:t>
      </w:r>
    </w:p>
    <w:p>
      <w:pPr>
        <w:pStyle w:val="9"/>
        <w:keepNext w:val="0"/>
        <w:keepLines w:val="0"/>
        <w:pageBreakBefore w:val="0"/>
        <w:widowControl/>
        <w:suppressLineNumbers w:val="0"/>
        <w:shd w:val="clear" w:color="auto" w:fill="FFFFFF"/>
        <w:kinsoku/>
        <w:wordWrap/>
        <w:topLinePunct w:val="0"/>
        <w:autoSpaceDE/>
        <w:autoSpaceDN/>
        <w:bidi w:val="0"/>
        <w:snapToGrid/>
        <w:spacing w:beforeAutospacing="0" w:afterAutospacing="0"/>
        <w:ind w:left="0" w:right="0" w:firstLine="640" w:firstLineChars="200"/>
        <w:textAlignment w:val="auto"/>
        <w:rPr>
          <w:rFonts w:hint="default"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二是部门评价结果。</w:t>
      </w:r>
      <w:r>
        <w:rPr>
          <w:rFonts w:hint="default" w:ascii="Times New Roman" w:hAnsi="Times New Roman" w:eastAsia="仿宋_GB2312" w:cs="Times New Roman"/>
          <w:kern w:val="0"/>
          <w:sz w:val="32"/>
          <w:szCs w:val="32"/>
        </w:rPr>
        <w:t>供销社综合改革经费项目全年预算数80万元，执行数74.77万元，完成预算的93.46%，部门评价得分99.35分，评价等级为“优秀”。电子商务平台服务费项目全年预算数7.5万元，执行数7.5万元，完成预算的100%，部门评价得分100分，评价等级为“优秀”。2024-2025年度化肥淡季储备专项经费项目全年预算数70万元，执行数2.99万元，完成预算的4.27%，部门评价得分90.40分，评价等级为“优秀”（化肥淡季储备工作为跨年度工作，剩余资金待第三方会计师事务所审计完成后支付）。发现的主要问题及原因：一是绩效评价意识不强；二是内控制度不够完善，职责分工不明确，流程管理不够清晰；三是项目自评步骤和方法还有待完善。下一步改进措施：一是加强项目期中监督管理，确保项目按计划完成；二是建议加强对绩效自评资料的监督和管理，建立健全“事前明确绩效目标，事中加强监督管理，事后实施绩效评价”的专项资金管理体系；三是规范项目管理，建立健全各项管理制度。</w:t>
      </w:r>
    </w:p>
    <w:p>
      <w:pPr>
        <w:pStyle w:val="9"/>
        <w:keepNext w:val="0"/>
        <w:keepLines w:val="0"/>
        <w:pageBreakBefore w:val="0"/>
        <w:widowControl/>
        <w:suppressLineNumbers w:val="0"/>
        <w:shd w:val="clear" w:color="auto" w:fill="FFFFFF"/>
        <w:kinsoku/>
        <w:wordWrap/>
        <w:topLinePunct w:val="0"/>
        <w:autoSpaceDE/>
        <w:autoSpaceDN/>
        <w:bidi w:val="0"/>
        <w:snapToGrid/>
        <w:spacing w:beforeAutospacing="0" w:afterAutospacing="0"/>
        <w:ind w:left="0" w:righ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bCs/>
          <w:kern w:val="0"/>
          <w:sz w:val="32"/>
          <w:szCs w:val="32"/>
        </w:rPr>
        <w:t>三是事前绩效评估结果。</w:t>
      </w:r>
      <w:r>
        <w:rPr>
          <w:rFonts w:hint="default" w:ascii="Times New Roman" w:hAnsi="Times New Roman" w:eastAsia="仿宋_GB2312" w:cs="Times New Roman"/>
          <w:kern w:val="0"/>
          <w:sz w:val="32"/>
          <w:szCs w:val="32"/>
        </w:rPr>
        <w:t>2025年度未开展重大项目事前绩效评估。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70" w:beforeAutospacing="0" w:after="0" w:afterAutospacing="0" w:line="273" w:lineRule="atLeast"/>
        <w:ind w:left="23" w:right="0" w:firstLine="669"/>
        <w:jc w:val="both"/>
        <w:textAlignment w:val="baseline"/>
        <w:rPr>
          <w:rFonts w:hint="default" w:ascii="Times New Roman" w:hAnsi="Times New Roman" w:eastAsia="仿宋_GB2312" w:cs="Times New Roman"/>
          <w:kern w:val="0"/>
          <w:sz w:val="32"/>
          <w:szCs w:val="32"/>
          <w:lang w:val="en-US" w:eastAsia="zh-CN"/>
        </w:rPr>
      </w:pPr>
      <w:r>
        <w:rPr>
          <w:rFonts w:ascii="Times New Roman" w:hAnsi="Times New Roman" w:eastAsia="楷体_GB2312" w:cs="Times New Roman"/>
          <w:b/>
          <w:bCs/>
          <w:color w:val="auto"/>
          <w:kern w:val="2"/>
          <w:sz w:val="32"/>
          <w:szCs w:val="32"/>
        </w:rPr>
        <w:t>（三）评价结果应用情况。</w:t>
      </w:r>
      <w:r>
        <w:rPr>
          <w:rFonts w:hint="default" w:ascii="Times New Roman" w:hAnsi="Times New Roman" w:eastAsia="仿宋_GB2312" w:cs="Times New Roman"/>
          <w:color w:val="auto"/>
          <w:sz w:val="32"/>
          <w:szCs w:val="32"/>
          <w:lang w:val="en-US" w:eastAsia="zh-CN"/>
        </w:rPr>
        <w:t>绩效自评结果将作为下年部门预算安排的重要依据，与预算调整和项目安排挂钩。</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keepNext w:val="0"/>
        <w:keepLines w:val="0"/>
        <w:pageBreakBefore w:val="0"/>
        <w:widowControl/>
        <w:kinsoku/>
        <w:wordWrap/>
        <w:overflowPunct/>
        <w:topLinePunct w:val="0"/>
        <w:bidi w:val="0"/>
        <w:ind w:firstLine="640" w:firstLineChars="200"/>
        <w:jc w:val="both"/>
        <w:textAlignment w:val="auto"/>
        <w:rPr>
          <w:rFonts w:ascii="Calibri" w:hAnsi="Calibri" w:cs="Calibri"/>
          <w:i w:val="0"/>
          <w:caps w:val="0"/>
          <w:color w:val="000000" w:themeColor="text1"/>
          <w:spacing w:val="0"/>
          <w:sz w:val="21"/>
          <w:szCs w:val="21"/>
          <w14:textFill>
            <w14:solidFill>
              <w14:schemeClr w14:val="tx1"/>
            </w14:solidFill>
          </w14:textFill>
        </w:rPr>
      </w:pPr>
      <w:r>
        <w:rPr>
          <w:rFonts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一、基本支出：指单位为保障其机构正常运转、完成日常工作任务而发生的人员支出和公用支出。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60" w:lineRule="atLeast"/>
        <w:ind w:left="0" w:right="0" w:firstLine="640"/>
        <w:jc w:val="both"/>
        <w:textAlignment w:val="auto"/>
        <w:rPr>
          <w:rFonts w:hint="default" w:ascii="Calibri" w:hAnsi="Calibri" w:cs="Calibri"/>
          <w:i w:val="0"/>
          <w:caps w:val="0"/>
          <w:color w:val="000000" w:themeColor="text1"/>
          <w:spacing w:val="0"/>
          <w:sz w:val="21"/>
          <w:szCs w:val="21"/>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二、项目支出：指单位为完成特定行政任务和事业发展目标在基本支出之外所发生的支出。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60" w:lineRule="atLeast"/>
        <w:ind w:left="0" w:right="0" w:firstLine="640"/>
        <w:jc w:val="both"/>
        <w:textAlignment w:val="auto"/>
        <w:rPr>
          <w:rFonts w:hint="default" w:ascii="Calibri" w:hAnsi="Calibri" w:cs="Calibri"/>
          <w:i w:val="0"/>
          <w:caps w:val="0"/>
          <w:color w:val="000000" w:themeColor="text1"/>
          <w:spacing w:val="0"/>
          <w:sz w:val="21"/>
          <w:szCs w:val="21"/>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三、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60" w:lineRule="atLeast"/>
        <w:ind w:left="0" w:right="0" w:firstLine="640"/>
        <w:jc w:val="both"/>
        <w:textAlignment w:val="auto"/>
        <w:rPr>
          <w:rFonts w:hint="default" w:ascii="Calibri" w:hAnsi="Calibri" w:cs="Calibri"/>
          <w:i w:val="0"/>
          <w:caps w:val="0"/>
          <w:color w:val="000000" w:themeColor="text1"/>
          <w:spacing w:val="0"/>
          <w:sz w:val="21"/>
          <w:szCs w:val="21"/>
          <w14:textFill>
            <w14:solidFill>
              <w14:schemeClr w14:val="tx1"/>
            </w14:solidFill>
          </w14:textFill>
        </w:rPr>
      </w:pPr>
      <w:r>
        <w:rPr>
          <w:rFonts w:hint="eastAsia" w:ascii="仿宋_GB2312" w:hAnsi="Calibri" w:eastAsia="仿宋_GB2312" w:cs="仿宋_GB2312"/>
          <w:i w:val="0"/>
          <w:caps w:val="0"/>
          <w:color w:val="000000" w:themeColor="text1"/>
          <w:spacing w:val="0"/>
          <w:kern w:val="0"/>
          <w:sz w:val="32"/>
          <w:szCs w:val="32"/>
          <w:shd w:val="clear" w:fill="FFFFFF"/>
          <w:lang w:val="en-US" w:eastAsia="zh-CN" w:bidi="ar"/>
          <w14:textFill>
            <w14:solidFill>
              <w14:schemeClr w14:val="tx1"/>
            </w14:solidFill>
          </w14:textFill>
        </w:rPr>
        <w:t>四、“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4"/>
        <w:jc w:val="center"/>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default" w:ascii="Times New Roman" w:hAnsi="Times New Roman" w:eastAsia="仿宋_GB2312" w:cs="Times New Roman"/>
          <w:b w:val="0"/>
          <w:color w:val="000000"/>
          <w:kern w:val="0"/>
          <w:sz w:val="32"/>
          <w:szCs w:val="32"/>
          <w:lang w:eastAsia="zh-CN" w:bidi="ar-SA"/>
        </w:rPr>
      </w:pPr>
      <w:r>
        <w:rPr>
          <w:rFonts w:hint="default" w:ascii="Times New Roman" w:hAnsi="Times New Roman" w:eastAsia="仿宋_GB2312" w:cs="Times New Roman"/>
          <w:b/>
          <w:bCs/>
          <w:color w:val="000000"/>
          <w:kern w:val="0"/>
          <w:sz w:val="32"/>
          <w:szCs w:val="32"/>
          <w:lang w:val="en-US" w:eastAsia="zh-CN" w:bidi="ar-SA"/>
        </w:rPr>
        <w:t>一、</w:t>
      </w:r>
      <w:r>
        <w:rPr>
          <w:rFonts w:hint="default" w:ascii="Times New Roman" w:hAnsi="Times New Roman" w:eastAsia="仿宋_GB2312" w:cs="Times New Roman"/>
          <w:b w:val="0"/>
          <w:color w:val="000000"/>
          <w:kern w:val="0"/>
          <w:sz w:val="32"/>
          <w:szCs w:val="32"/>
          <w:lang w:val="en-US" w:eastAsia="zh-CN" w:bidi="ar-SA"/>
        </w:rPr>
        <w:fldChar w:fldCharType="begin"/>
      </w:r>
      <w:r>
        <w:rPr>
          <w:rFonts w:hint="default" w:ascii="Times New Roman" w:hAnsi="Times New Roman" w:eastAsia="仿宋_GB2312" w:cs="Times New Roman"/>
          <w:b w:val="0"/>
          <w:color w:val="000000"/>
          <w:kern w:val="0"/>
          <w:sz w:val="32"/>
          <w:szCs w:val="32"/>
          <w:lang w:val="en-US" w:eastAsia="zh-CN" w:bidi="ar-SA"/>
        </w:rPr>
        <w:instrText xml:space="preserve"> HYPERLINK "https://www.huaihua.gov.cn/gxs/c100581/202310/a5000a3756c54c7a9d36e55e5f8bd332/files/c875acd6b1dd454b85a6d84941c7d41d.XLS" \t "/home/greatwall/文档\\x/_blank" </w:instrText>
      </w:r>
      <w:r>
        <w:rPr>
          <w:rFonts w:hint="default" w:ascii="Times New Roman" w:hAnsi="Times New Roman" w:eastAsia="仿宋_GB2312" w:cs="Times New Roman"/>
          <w:b w:val="0"/>
          <w:color w:val="000000"/>
          <w:kern w:val="0"/>
          <w:sz w:val="32"/>
          <w:szCs w:val="32"/>
          <w:lang w:val="en-US" w:eastAsia="zh-CN" w:bidi="ar-SA"/>
        </w:rPr>
        <w:fldChar w:fldCharType="separate"/>
      </w:r>
      <w:r>
        <w:rPr>
          <w:rFonts w:hint="default" w:ascii="Times New Roman" w:hAnsi="Times New Roman" w:eastAsia="仿宋_GB2312" w:cs="Times New Roman"/>
          <w:b w:val="0"/>
          <w:color w:val="000000"/>
          <w:kern w:val="0"/>
          <w:sz w:val="32"/>
          <w:szCs w:val="32"/>
          <w:lang w:val="en-US" w:eastAsia="zh-CN" w:bidi="ar-SA"/>
        </w:rPr>
        <w:t>怀化市供销合作联合社202</w:t>
      </w:r>
      <w:r>
        <w:rPr>
          <w:rFonts w:hint="default" w:ascii="Times New Roman" w:hAnsi="Times New Roman" w:eastAsia="仿宋_GB2312" w:cs="Times New Roman"/>
          <w:b w:val="0"/>
          <w:color w:val="000000"/>
          <w:kern w:val="0"/>
          <w:sz w:val="32"/>
          <w:szCs w:val="32"/>
          <w:lang w:eastAsia="zh-CN" w:bidi="ar-SA"/>
        </w:rPr>
        <w:t>5</w:t>
      </w:r>
      <w:r>
        <w:rPr>
          <w:rFonts w:hint="default" w:ascii="Times New Roman" w:hAnsi="Times New Roman" w:eastAsia="仿宋_GB2312" w:cs="Times New Roman"/>
          <w:b w:val="0"/>
          <w:color w:val="000000"/>
          <w:kern w:val="0"/>
          <w:sz w:val="32"/>
          <w:szCs w:val="32"/>
          <w:lang w:val="en-US" w:eastAsia="zh-CN" w:bidi="ar-SA"/>
        </w:rPr>
        <w:t>年度决算公开</w:t>
      </w:r>
      <w:r>
        <w:rPr>
          <w:rFonts w:hint="default" w:ascii="Times New Roman" w:hAnsi="Times New Roman" w:eastAsia="仿宋_GB2312" w:cs="Times New Roman"/>
          <w:b w:val="0"/>
          <w:color w:val="000000"/>
          <w:kern w:val="0"/>
          <w:sz w:val="32"/>
          <w:szCs w:val="32"/>
          <w:lang w:val="en-US" w:eastAsia="zh-CN" w:bidi="ar-SA"/>
        </w:rPr>
        <w:fldChar w:fldCharType="end"/>
      </w:r>
      <w:r>
        <w:rPr>
          <w:rFonts w:hint="default" w:ascii="Times New Roman" w:hAnsi="Times New Roman" w:eastAsia="仿宋_GB2312" w:cs="Times New Roman"/>
          <w:b w:val="0"/>
          <w:color w:val="000000"/>
          <w:kern w:val="0"/>
          <w:sz w:val="32"/>
          <w:szCs w:val="32"/>
          <w:lang w:val="en-US" w:eastAsia="zh-CN" w:bidi="ar-SA"/>
        </w:rPr>
        <w:t>表</w:t>
      </w:r>
      <w:r>
        <w:rPr>
          <w:rFonts w:hint="default" w:ascii="Times New Roman" w:hAnsi="Times New Roman" w:eastAsia="仿宋_GB2312" w:cs="Times New Roman"/>
          <w:b w:val="0"/>
          <w:color w:val="000000"/>
          <w:kern w:val="0"/>
          <w:sz w:val="32"/>
          <w:szCs w:val="32"/>
          <w:lang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Times New Roman" w:hAnsi="Times New Roman" w:eastAsia="仿宋_GB2312" w:cs="Times New Roman"/>
          <w:b w:val="0"/>
          <w:color w:val="000000"/>
          <w:kern w:val="0"/>
          <w:sz w:val="32"/>
          <w:szCs w:val="32"/>
          <w:lang w:val="en-US" w:eastAsia="zh-CN" w:bidi="ar-SA"/>
        </w:rPr>
      </w:pPr>
      <w:r>
        <w:rPr>
          <w:rFonts w:hint="default" w:ascii="Times New Roman" w:hAnsi="Times New Roman" w:eastAsia="仿宋_GB2312" w:cs="Times New Roman"/>
          <w:b/>
          <w:bCs/>
          <w:color w:val="000000"/>
          <w:kern w:val="0"/>
          <w:sz w:val="32"/>
          <w:szCs w:val="32"/>
          <w:lang w:val="en-US" w:eastAsia="zh-CN" w:bidi="ar-SA"/>
        </w:rPr>
        <w:t>二、</w:t>
      </w:r>
      <w:r>
        <w:rPr>
          <w:rFonts w:hint="default" w:ascii="Times New Roman" w:hAnsi="Times New Roman" w:eastAsia="仿宋_GB2312" w:cs="Times New Roman"/>
          <w:b w:val="0"/>
          <w:color w:val="000000"/>
          <w:kern w:val="0"/>
          <w:sz w:val="32"/>
          <w:szCs w:val="32"/>
          <w:lang w:val="en-US" w:eastAsia="zh-CN" w:bidi="ar-SA"/>
        </w:rPr>
        <w:t>202</w:t>
      </w:r>
      <w:r>
        <w:rPr>
          <w:rFonts w:hint="default" w:ascii="Times New Roman" w:hAnsi="Times New Roman" w:eastAsia="仿宋_GB2312" w:cs="Times New Roman"/>
          <w:b w:val="0"/>
          <w:color w:val="000000"/>
          <w:kern w:val="0"/>
          <w:sz w:val="32"/>
          <w:szCs w:val="32"/>
          <w:lang w:eastAsia="zh-CN" w:bidi="ar-SA"/>
        </w:rPr>
        <w:t>5</w:t>
      </w:r>
      <w:r>
        <w:rPr>
          <w:rFonts w:hint="default" w:ascii="Times New Roman" w:hAnsi="Times New Roman" w:eastAsia="仿宋_GB2312" w:cs="Times New Roman"/>
          <w:b w:val="0"/>
          <w:color w:val="000000"/>
          <w:kern w:val="0"/>
          <w:sz w:val="32"/>
          <w:szCs w:val="32"/>
          <w:lang w:val="en-US" w:eastAsia="zh-CN" w:bidi="ar-SA"/>
        </w:rPr>
        <w:t>年度怀化市供销合作联合社部门整体支出绩效自评报告</w:t>
      </w:r>
      <w:r>
        <w:rPr>
          <w:rFonts w:hint="default" w:ascii="Times New Roman" w:hAnsi="Times New Roman" w:eastAsia="仿宋_GB2312" w:cs="Times New Roman"/>
          <w:b w:val="0"/>
          <w:color w:val="000000"/>
          <w:kern w:val="0"/>
          <w:sz w:val="32"/>
          <w:szCs w:val="32"/>
          <w:lang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Times New Roman" w:hAnsi="Times New Roman" w:eastAsia="仿宋_GB2312" w:cs="Times New Roman"/>
          <w:b w:val="0"/>
          <w:color w:val="000000"/>
          <w:kern w:val="0"/>
          <w:sz w:val="32"/>
          <w:szCs w:val="32"/>
          <w:lang w:val="en-US" w:eastAsia="zh-CN" w:bidi="ar-SA"/>
        </w:rPr>
      </w:pPr>
      <w:r>
        <w:rPr>
          <w:rFonts w:hint="default" w:ascii="Times New Roman" w:hAnsi="Times New Roman" w:eastAsia="仿宋_GB2312" w:cs="Times New Roman"/>
          <w:b/>
          <w:bCs/>
          <w:color w:val="000000"/>
          <w:kern w:val="0"/>
          <w:sz w:val="32"/>
          <w:szCs w:val="32"/>
          <w:lang w:val="en-US" w:eastAsia="zh-CN" w:bidi="ar-SA"/>
        </w:rPr>
        <w:t>三、</w:t>
      </w:r>
      <w:r>
        <w:rPr>
          <w:rFonts w:hint="default" w:ascii="Times New Roman" w:hAnsi="Times New Roman" w:eastAsia="仿宋_GB2312" w:cs="Times New Roman"/>
          <w:b w:val="0"/>
          <w:color w:val="000000"/>
          <w:kern w:val="0"/>
          <w:sz w:val="32"/>
          <w:szCs w:val="32"/>
          <w:lang w:val="en-US" w:eastAsia="zh-CN" w:bidi="ar-SA"/>
        </w:rPr>
        <w:t>202</w:t>
      </w:r>
      <w:r>
        <w:rPr>
          <w:rFonts w:hint="default" w:ascii="Times New Roman" w:hAnsi="Times New Roman" w:eastAsia="仿宋_GB2312" w:cs="Times New Roman"/>
          <w:b w:val="0"/>
          <w:color w:val="000000"/>
          <w:kern w:val="0"/>
          <w:sz w:val="32"/>
          <w:szCs w:val="32"/>
          <w:lang w:eastAsia="zh-CN" w:bidi="ar-SA"/>
        </w:rPr>
        <w:t>5</w:t>
      </w:r>
      <w:r>
        <w:rPr>
          <w:rFonts w:hint="default" w:ascii="Times New Roman" w:hAnsi="Times New Roman" w:eastAsia="仿宋_GB2312" w:cs="Times New Roman"/>
          <w:b w:val="0"/>
          <w:color w:val="000000"/>
          <w:kern w:val="0"/>
          <w:sz w:val="32"/>
          <w:szCs w:val="32"/>
          <w:lang w:val="en-US" w:eastAsia="zh-CN" w:bidi="ar-SA"/>
        </w:rPr>
        <w:t>年度怀化市供销合作联合社项目支出绩效自评报告</w:t>
      </w:r>
      <w:r>
        <w:rPr>
          <w:rFonts w:hint="default" w:ascii="Times New Roman" w:hAnsi="Times New Roman" w:eastAsia="仿宋_GB2312" w:cs="Times New Roman"/>
          <w:b w:val="0"/>
          <w:color w:val="000000"/>
          <w:kern w:val="0"/>
          <w:sz w:val="32"/>
          <w:szCs w:val="32"/>
          <w:lang w:eastAsia="zh-CN" w:bidi="ar-SA"/>
        </w:rPr>
        <w:t>。</w:t>
      </w: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Ubuntu">
    <w:panose1 w:val="020B0604030602030204"/>
    <w:charset w:val="00"/>
    <w:family w:val="auto"/>
    <w:pitch w:val="default"/>
    <w:sig w:usb0="E00002FF" w:usb1="5000205B" w:usb2="00000000" w:usb3="00000000" w:csb0="2000009F" w:csb1="56010000"/>
  </w:font>
  <w:font w:name="楷体">
    <w:panose1 w:val="02010609060101010101"/>
    <w:charset w:val="86"/>
    <w:family w:val="modern"/>
    <w:pitch w:val="default"/>
    <w:sig w:usb0="800002BF" w:usb1="38CF7CFA" w:usb2="00000016" w:usb3="00000000" w:csb0="00040001" w:csb1="00000000"/>
  </w:font>
  <w:font w:name="微软雅黑">
    <w:altName w:val="黑体"/>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fEs5BYCAAAVBAAADgAAAAAAAAABACAAAAA1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7EAE043"/>
    <w:multiLevelType w:val="singleLevel"/>
    <w:tmpl w:val="F7EAE043"/>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A322F"/>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2305"/>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EBB2B2E"/>
    <w:rsid w:val="1397E130"/>
    <w:rsid w:val="15FFDDE5"/>
    <w:rsid w:val="177198CA"/>
    <w:rsid w:val="1D97DEFF"/>
    <w:rsid w:val="1DCB3F62"/>
    <w:rsid w:val="1DFF72E5"/>
    <w:rsid w:val="1EFA27E7"/>
    <w:rsid w:val="1EFC6F07"/>
    <w:rsid w:val="1F3F7822"/>
    <w:rsid w:val="1FD2319F"/>
    <w:rsid w:val="2D9F0503"/>
    <w:rsid w:val="2E8FBDCA"/>
    <w:rsid w:val="2F7BBAC2"/>
    <w:rsid w:val="2F9B8E9D"/>
    <w:rsid w:val="2FDF85B8"/>
    <w:rsid w:val="2FFD9C16"/>
    <w:rsid w:val="2FFFEE04"/>
    <w:rsid w:val="34DF85B0"/>
    <w:rsid w:val="37EFB6FE"/>
    <w:rsid w:val="398F81A2"/>
    <w:rsid w:val="39EBE5CF"/>
    <w:rsid w:val="3B8F36BC"/>
    <w:rsid w:val="3DFFE039"/>
    <w:rsid w:val="3F6791A5"/>
    <w:rsid w:val="3F6BB7B7"/>
    <w:rsid w:val="3F7BA413"/>
    <w:rsid w:val="3F7F20FF"/>
    <w:rsid w:val="3F9C017D"/>
    <w:rsid w:val="3FE870FA"/>
    <w:rsid w:val="41FBFD3F"/>
    <w:rsid w:val="44BCD732"/>
    <w:rsid w:val="466716BD"/>
    <w:rsid w:val="491FF225"/>
    <w:rsid w:val="4AFFAFFF"/>
    <w:rsid w:val="4B6BD6B4"/>
    <w:rsid w:val="4DF9FA89"/>
    <w:rsid w:val="4FFD214C"/>
    <w:rsid w:val="5766E190"/>
    <w:rsid w:val="5777D4F5"/>
    <w:rsid w:val="59DD8326"/>
    <w:rsid w:val="5B3DE444"/>
    <w:rsid w:val="5DEBF77D"/>
    <w:rsid w:val="5DEF592A"/>
    <w:rsid w:val="5E59969E"/>
    <w:rsid w:val="5FC64008"/>
    <w:rsid w:val="5FC6BB1E"/>
    <w:rsid w:val="5FD75266"/>
    <w:rsid w:val="5FDDFED3"/>
    <w:rsid w:val="5FF720F1"/>
    <w:rsid w:val="67FF5C0B"/>
    <w:rsid w:val="6B3FC4F0"/>
    <w:rsid w:val="6B5F813F"/>
    <w:rsid w:val="6B5FBA3F"/>
    <w:rsid w:val="6B775EC8"/>
    <w:rsid w:val="6BF272AA"/>
    <w:rsid w:val="6E8DFBE9"/>
    <w:rsid w:val="6EFC0924"/>
    <w:rsid w:val="6FB74722"/>
    <w:rsid w:val="6FEF8B7E"/>
    <w:rsid w:val="6FFF6A8D"/>
    <w:rsid w:val="71A6591B"/>
    <w:rsid w:val="737D59BA"/>
    <w:rsid w:val="77BBC6AD"/>
    <w:rsid w:val="77C37683"/>
    <w:rsid w:val="77DF08AC"/>
    <w:rsid w:val="79D19834"/>
    <w:rsid w:val="79FF515B"/>
    <w:rsid w:val="7B3F2EF8"/>
    <w:rsid w:val="7B77A645"/>
    <w:rsid w:val="7B93A975"/>
    <w:rsid w:val="7BBE89AA"/>
    <w:rsid w:val="7BC916E2"/>
    <w:rsid w:val="7BDFBE9B"/>
    <w:rsid w:val="7BEFB90A"/>
    <w:rsid w:val="7BF549BF"/>
    <w:rsid w:val="7CFFDEF8"/>
    <w:rsid w:val="7D4FE27E"/>
    <w:rsid w:val="7D7516C3"/>
    <w:rsid w:val="7DAEE642"/>
    <w:rsid w:val="7DBA8B5C"/>
    <w:rsid w:val="7DF9E1D2"/>
    <w:rsid w:val="7E9E1962"/>
    <w:rsid w:val="7E9F11B4"/>
    <w:rsid w:val="7EF795FB"/>
    <w:rsid w:val="7EFA3FDB"/>
    <w:rsid w:val="7F37EC1E"/>
    <w:rsid w:val="7F5D278D"/>
    <w:rsid w:val="7F5D2E88"/>
    <w:rsid w:val="7F7DCD9D"/>
    <w:rsid w:val="7F7F9FBE"/>
    <w:rsid w:val="7F970A6F"/>
    <w:rsid w:val="7FA390FA"/>
    <w:rsid w:val="7FBE93A7"/>
    <w:rsid w:val="7FBF1115"/>
    <w:rsid w:val="7FC1FFF3"/>
    <w:rsid w:val="7FC69637"/>
    <w:rsid w:val="7FCE4F72"/>
    <w:rsid w:val="7FD3DAD4"/>
    <w:rsid w:val="7FDF8620"/>
    <w:rsid w:val="7FE8C8F7"/>
    <w:rsid w:val="7FEFBA49"/>
    <w:rsid w:val="7FF7BAE8"/>
    <w:rsid w:val="7FFB242F"/>
    <w:rsid w:val="7FFB8758"/>
    <w:rsid w:val="7FFDB408"/>
    <w:rsid w:val="7FFE4EEB"/>
    <w:rsid w:val="7FFFCC82"/>
    <w:rsid w:val="7FFFEF96"/>
    <w:rsid w:val="80578B7A"/>
    <w:rsid w:val="85FFF349"/>
    <w:rsid w:val="95FB2B98"/>
    <w:rsid w:val="9A639BC2"/>
    <w:rsid w:val="9BFA491D"/>
    <w:rsid w:val="9FAFF3E5"/>
    <w:rsid w:val="9FC7FE9E"/>
    <w:rsid w:val="9FF7D786"/>
    <w:rsid w:val="AB37A7CD"/>
    <w:rsid w:val="AB7F85A3"/>
    <w:rsid w:val="ABBFB23D"/>
    <w:rsid w:val="AF3D5F5F"/>
    <w:rsid w:val="B2D20FB8"/>
    <w:rsid w:val="B5214566"/>
    <w:rsid w:val="B6AFFE39"/>
    <w:rsid w:val="B7CE6BF3"/>
    <w:rsid w:val="B95797A0"/>
    <w:rsid w:val="BAEF6178"/>
    <w:rsid w:val="BDD78C8D"/>
    <w:rsid w:val="BEDD52A5"/>
    <w:rsid w:val="BEFD9FC8"/>
    <w:rsid w:val="BFFFAF58"/>
    <w:rsid w:val="C3B4DA5A"/>
    <w:rsid w:val="C9CB3592"/>
    <w:rsid w:val="CBFF70E0"/>
    <w:rsid w:val="CD5BD802"/>
    <w:rsid w:val="CFF50B82"/>
    <w:rsid w:val="CFFFAD89"/>
    <w:rsid w:val="D3B7A2EA"/>
    <w:rsid w:val="D7AD53B9"/>
    <w:rsid w:val="D7DFB8C9"/>
    <w:rsid w:val="D9B9EB07"/>
    <w:rsid w:val="DBDFE81E"/>
    <w:rsid w:val="DC4FB5D2"/>
    <w:rsid w:val="DD2D5777"/>
    <w:rsid w:val="DDB40E2B"/>
    <w:rsid w:val="DE69A01D"/>
    <w:rsid w:val="DEF52D9D"/>
    <w:rsid w:val="DF2F59D4"/>
    <w:rsid w:val="DFB79797"/>
    <w:rsid w:val="DFEE4AFB"/>
    <w:rsid w:val="DFFE359E"/>
    <w:rsid w:val="DFFE4FFD"/>
    <w:rsid w:val="DFFFCB8D"/>
    <w:rsid w:val="E5BBF946"/>
    <w:rsid w:val="E5FBC63C"/>
    <w:rsid w:val="E73E7DB3"/>
    <w:rsid w:val="E9CD97BD"/>
    <w:rsid w:val="EAE38F8A"/>
    <w:rsid w:val="EBB7CB8D"/>
    <w:rsid w:val="ECB81AE0"/>
    <w:rsid w:val="ECBF6E57"/>
    <w:rsid w:val="EE7BC847"/>
    <w:rsid w:val="EE87147E"/>
    <w:rsid w:val="EEABED75"/>
    <w:rsid w:val="EEEB2747"/>
    <w:rsid w:val="EF7FBFBE"/>
    <w:rsid w:val="EFD7AB6E"/>
    <w:rsid w:val="F1BFC5E2"/>
    <w:rsid w:val="F1F36A04"/>
    <w:rsid w:val="F1F38873"/>
    <w:rsid w:val="F1FF58B8"/>
    <w:rsid w:val="F37D7F9A"/>
    <w:rsid w:val="F56FDF51"/>
    <w:rsid w:val="F5FF7637"/>
    <w:rsid w:val="F5FFEEE0"/>
    <w:rsid w:val="F6B69F17"/>
    <w:rsid w:val="F73D18DA"/>
    <w:rsid w:val="F777337D"/>
    <w:rsid w:val="F77F1D61"/>
    <w:rsid w:val="F7E921A6"/>
    <w:rsid w:val="F7FED3A9"/>
    <w:rsid w:val="F7FF60A5"/>
    <w:rsid w:val="F8C9DB26"/>
    <w:rsid w:val="F97E8EAE"/>
    <w:rsid w:val="FAE9DCC3"/>
    <w:rsid w:val="FB07243A"/>
    <w:rsid w:val="FB36E1A6"/>
    <w:rsid w:val="FB3BE134"/>
    <w:rsid w:val="FBDBD91C"/>
    <w:rsid w:val="FBDFAE7E"/>
    <w:rsid w:val="FBEE4669"/>
    <w:rsid w:val="FC9F9595"/>
    <w:rsid w:val="FCFF4275"/>
    <w:rsid w:val="FD67DDBF"/>
    <w:rsid w:val="FD7FEEEA"/>
    <w:rsid w:val="FDD76ED7"/>
    <w:rsid w:val="FDFF42CB"/>
    <w:rsid w:val="FDFFB577"/>
    <w:rsid w:val="FE3BF029"/>
    <w:rsid w:val="FEEA50FE"/>
    <w:rsid w:val="FEF784EF"/>
    <w:rsid w:val="FEF7B399"/>
    <w:rsid w:val="FF1D3D4C"/>
    <w:rsid w:val="FF7D47A9"/>
    <w:rsid w:val="FF7E26CB"/>
    <w:rsid w:val="FF7F63BE"/>
    <w:rsid w:val="FF7FFDB1"/>
    <w:rsid w:val="FF9F80D8"/>
    <w:rsid w:val="FFCF21CB"/>
    <w:rsid w:val="FFCF525E"/>
    <w:rsid w:val="FFCFB182"/>
    <w:rsid w:val="FFED9B1C"/>
    <w:rsid w:val="FFEE4C22"/>
    <w:rsid w:val="FFF3909C"/>
    <w:rsid w:val="FFF5674A"/>
    <w:rsid w:val="FFFB4DAC"/>
    <w:rsid w:val="FFFBB00C"/>
    <w:rsid w:val="FFFF1C8B"/>
    <w:rsid w:val="FFFFD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rPr>
      <w:sz w:val="24"/>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Footnote Text"/>
    <w:basedOn w:val="1"/>
    <w:next w:val="3"/>
    <w:semiHidden/>
    <w:qFormat/>
    <w:uiPriority w:val="0"/>
    <w:pPr>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1515</Words>
  <Characters>8640</Characters>
  <Lines>72</Lines>
  <Paragraphs>20</Paragraphs>
  <TotalTime>9</TotalTime>
  <ScaleCrop>false</ScaleCrop>
  <LinksUpToDate>false</LinksUpToDate>
  <CharactersWithSpaces>10135</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2026-09-16T07:23:00Z</dcterms:created>
  <dc:creator>李航 null</dc:creator>
  <cp:lastModifiedBy>greatwall</cp:lastModifiedBy>
  <cp:lastPrinted>2024-08-12T02:20:00Z</cp:lastPrinted>
  <dcterms:modified xsi:type="dcterms:W3CDTF">2026-09-24T17:10:10Z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4F0B27C0AAC35EFA9177686ADDD5E058</vt:lpwstr>
  </property>
</Properties>
</file>