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924DA">
      <w:pPr>
        <w:spacing w:line="360" w:lineRule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附件5</w:t>
      </w:r>
    </w:p>
    <w:p w14:paraId="1029C880">
      <w:pPr>
        <w:pStyle w:val="10"/>
        <w:widowControl/>
        <w:shd w:val="clear" w:color="auto" w:fill="FFFFFF"/>
        <w:spacing w:beforeAutospacing="0" w:afterAutospacing="0" w:line="480" w:lineRule="exact"/>
        <w:ind w:firstLine="607"/>
        <w:jc w:val="both"/>
        <w:rPr>
          <w:rFonts w:ascii="方正小标宋_GBK" w:hAnsi="方正小标宋_GBK" w:eastAsia="方正小标宋_GBK" w:cs="方正小标宋_GBK"/>
          <w:color w:val="000000"/>
          <w:shd w:val="clear" w:color="auto" w:fill="FFFFFF"/>
        </w:rPr>
      </w:pPr>
    </w:p>
    <w:p w14:paraId="5BB6F15B">
      <w:pPr>
        <w:pStyle w:val="10"/>
        <w:widowControl/>
        <w:shd w:val="clear" w:color="auto" w:fill="FFFFFF"/>
        <w:spacing w:beforeAutospacing="0" w:afterAutospacing="0" w:line="480" w:lineRule="exact"/>
        <w:ind w:firstLine="607"/>
        <w:jc w:val="both"/>
        <w:rPr>
          <w:rFonts w:ascii="方正小标宋_GBK" w:hAnsi="方正小标宋_GBK" w:eastAsia="方正小标宋_GBK" w:cs="方正小标宋_GBK"/>
          <w:color w:val="000000"/>
          <w:shd w:val="clear" w:color="auto" w:fill="FFFFFF"/>
        </w:rPr>
      </w:pPr>
    </w:p>
    <w:p w14:paraId="337770FE">
      <w:pPr>
        <w:pStyle w:val="10"/>
        <w:widowControl/>
        <w:shd w:val="clear" w:color="auto" w:fill="FFFFFF"/>
        <w:spacing w:beforeAutospacing="0" w:afterAutospacing="0" w:line="480" w:lineRule="exact"/>
        <w:ind w:firstLine="607"/>
        <w:jc w:val="both"/>
        <w:rPr>
          <w:rFonts w:ascii="方正小标宋_GBK" w:hAnsi="方正小标宋_GBK" w:eastAsia="方正小标宋_GBK" w:cs="方正小标宋_GBK"/>
          <w:color w:val="000000"/>
          <w:shd w:val="clear" w:color="auto" w:fill="FFFFFF"/>
        </w:rPr>
      </w:pPr>
    </w:p>
    <w:p w14:paraId="77317872">
      <w:pPr>
        <w:spacing w:line="480" w:lineRule="auto"/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202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年度</w:t>
      </w:r>
      <w:r>
        <w:rPr>
          <w:rFonts w:ascii="仿宋" w:hAnsi="仿宋" w:eastAsia="仿宋" w:cs="仿宋"/>
          <w:b/>
          <w:bCs/>
          <w:sz w:val="44"/>
          <w:szCs w:val="44"/>
        </w:rPr>
        <w:t>怀化市发展和改革委员会</w:t>
      </w:r>
    </w:p>
    <w:p w14:paraId="6D48F8E1">
      <w:pPr>
        <w:spacing w:line="480" w:lineRule="auto"/>
        <w:jc w:val="center"/>
        <w:rPr>
          <w:rFonts w:ascii="仿宋" w:hAnsi="仿宋" w:eastAsia="仿宋" w:cs="仿宋"/>
          <w:b/>
          <w:bCs/>
          <w:kern w:val="2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</w:rPr>
        <w:t>整体支出绩效自评报告</w:t>
      </w:r>
    </w:p>
    <w:p w14:paraId="0EE652E5">
      <w:pPr>
        <w:pStyle w:val="10"/>
        <w:widowControl/>
        <w:shd w:val="clear" w:color="auto" w:fill="FFFFFF"/>
        <w:spacing w:beforeAutospacing="0" w:afterAutospacing="0" w:line="480" w:lineRule="auto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66528417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556D26EB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7B83B4A3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3097A032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434E8329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35D99487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16786142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156F92B7">
      <w:pPr>
        <w:spacing w:line="360" w:lineRule="auto"/>
        <w:ind w:firstLine="2560" w:firstLineChars="80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单位名称：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（盖章）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</w:p>
    <w:p w14:paraId="703F50E6">
      <w:pPr>
        <w:spacing w:line="360" w:lineRule="auto"/>
        <w:ind w:firstLine="3200" w:firstLineChars="1000"/>
        <w:rPr>
          <w:rFonts w:ascii="仿宋" w:hAnsi="仿宋" w:eastAsia="仿宋" w:cs="仿宋"/>
          <w:sz w:val="32"/>
          <w:szCs w:val="32"/>
        </w:rPr>
      </w:pPr>
    </w:p>
    <w:p w14:paraId="08B2D685">
      <w:pPr>
        <w:spacing w:line="360" w:lineRule="auto"/>
        <w:ind w:firstLine="2880" w:firstLineChars="9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年6月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70DFD227">
      <w:pPr>
        <w:spacing w:line="360" w:lineRule="auto"/>
        <w:ind w:firstLine="810"/>
        <w:jc w:val="center"/>
        <w:rPr>
          <w:rFonts w:ascii="仿宋" w:hAnsi="仿宋" w:eastAsia="仿宋" w:cs="仿宋"/>
          <w:sz w:val="32"/>
          <w:szCs w:val="32"/>
        </w:rPr>
      </w:pPr>
    </w:p>
    <w:p w14:paraId="752F8869">
      <w:pPr>
        <w:pStyle w:val="2"/>
      </w:pPr>
    </w:p>
    <w:p w14:paraId="6D531D60">
      <w:pPr>
        <w:pStyle w:val="10"/>
        <w:widowControl/>
        <w:shd w:val="clear" w:color="auto" w:fill="FFFFFF"/>
        <w:spacing w:beforeAutospacing="0" w:afterAutospacing="0" w:line="480" w:lineRule="exact"/>
        <w:ind w:firstLine="960" w:firstLineChars="3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（此页为封面）</w:t>
      </w:r>
    </w:p>
    <w:p w14:paraId="0A9645F7">
      <w:pPr>
        <w:widowControl/>
        <w:ind w:firstLine="81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4BB5B042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一、部门概况</w:t>
      </w:r>
    </w:p>
    <w:p w14:paraId="4B415185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（一）部门基本情况</w:t>
      </w:r>
    </w:p>
    <w:p w14:paraId="188444C1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怀化市发展和改革委员会（简称市发改委），正处级行政机关，贯彻执行国家、省国民经济和社会发展战略、方针政策，统筹全市经济社会发展和改革各项工作。</w:t>
      </w:r>
      <w:r>
        <w:rPr>
          <w:rFonts w:ascii="仿宋" w:hAnsi="仿宋" w:eastAsia="仿宋"/>
          <w:sz w:val="32"/>
          <w:szCs w:val="32"/>
        </w:rPr>
        <w:t>其主要职责包括</w:t>
      </w:r>
      <w:r>
        <w:rPr>
          <w:rFonts w:hint="eastAsia" w:ascii="仿宋" w:hAnsi="仿宋" w:eastAsia="仿宋"/>
          <w:sz w:val="32"/>
          <w:szCs w:val="32"/>
        </w:rPr>
        <w:t>牵头拟订全市国民经济和社会发展中长期规划、年度发展计划；开展全市宏观经济运行监测、分析、调度；统筹推进全市经济体制改革、投融资体制改革；负责全市固定资产投资综合管理、重大项目谋划储备与建设推进；负责价格调控、成本监审、价格监测；承担粮食和物资储备行政管理、能源发展规划管理、优化营商环境统筹协调、区域协调发展、社会事业发展统筹等职能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</w:rPr>
        <w:t>承担市国防动员办公室相关职能；按权限审批、核准、备案政府投资项目和企业投资项目，完成市委、市政府交办的各项经济发展改革工作任务。</w:t>
      </w:r>
    </w:p>
    <w:p w14:paraId="448BE3F4">
      <w:pPr>
        <w:ind w:firstLine="755" w:firstLineChars="236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单位内设多个职能科室，下设所属公益类事业单位。严格按照《行政单位财务规则》《政府会计制度》《预算绩效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管理办法》，规范开展预算编制、资金管理、财务核算、资产管理、绩效自评等各项财务管理工作，依法依规履行行政管理、宏观调控、项目管理、服务发展职能。</w:t>
      </w:r>
      <w:r>
        <w:rPr>
          <w:rFonts w:hint="eastAsia" w:ascii="仿宋" w:hAnsi="仿宋" w:eastAsia="仿宋"/>
          <w:sz w:val="32"/>
          <w:szCs w:val="32"/>
        </w:rPr>
        <w:t>年末编制内实有人员2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人，</w:t>
      </w:r>
      <w:r>
        <w:rPr>
          <w:rFonts w:ascii="仿宋" w:hAnsi="仿宋" w:eastAsia="仿宋"/>
          <w:sz w:val="32"/>
          <w:szCs w:val="32"/>
        </w:rPr>
        <w:t>财政供养人员控制率100%。</w:t>
      </w:r>
    </w:p>
    <w:p w14:paraId="07888180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（二）部门（单位）整体支出规模、使用方向和主要内容、涉及范围</w:t>
      </w:r>
    </w:p>
    <w:p w14:paraId="45E8B908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2025年度，本单位年初预算支出为8150.67万元，全年调整预算支出为6042.36万元，决算支出为5995.89万元，预算执行率99.23%。</w:t>
      </w:r>
    </w:p>
    <w:p w14:paraId="75FE9AD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单位年度整体支出为一般公共预算财政拨款支出，分为基本支出、项目支出两大类。基本支出：用于保障单位机构正常运转、完成日常工作任务发生的支出，包括人员经费、日常公用办公经费（办公费、水电费、差旅费、公务接待、三公经费等），是单位履职基础保障支出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</w:rPr>
        <w:t>项目支出：用于完成特定专项工作任务、专项业务开展</w:t>
      </w:r>
      <w:r>
        <w:rPr>
          <w:rFonts w:hint="eastAsia" w:ascii="仿宋" w:hAnsi="仿宋" w:eastAsia="仿宋"/>
          <w:sz w:val="32"/>
          <w:szCs w:val="32"/>
          <w:lang w:eastAsia="zh-CN"/>
        </w:rPr>
        <w:t>及工程建设</w:t>
      </w:r>
      <w:r>
        <w:rPr>
          <w:rFonts w:hint="eastAsia" w:ascii="仿宋" w:hAnsi="仿宋" w:eastAsia="仿宋"/>
          <w:sz w:val="32"/>
          <w:szCs w:val="32"/>
        </w:rPr>
        <w:t>发生的支出。</w:t>
      </w:r>
    </w:p>
    <w:p w14:paraId="7279B489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二、一般公共预算支出情况</w:t>
      </w:r>
    </w:p>
    <w:p w14:paraId="0309541E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（一）基本支出</w:t>
      </w:r>
    </w:p>
    <w:p w14:paraId="50ACD379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本年基本支出年初预算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4431.67</w:t>
      </w:r>
      <w:r>
        <w:rPr>
          <w:rFonts w:hint="eastAsia" w:ascii="仿宋" w:hAnsi="仿宋" w:eastAsia="仿宋"/>
          <w:color w:val="auto"/>
          <w:sz w:val="32"/>
          <w:szCs w:val="32"/>
        </w:rPr>
        <w:t>万元，全年调整后预算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4652.55</w:t>
      </w:r>
      <w:r>
        <w:rPr>
          <w:rFonts w:hint="eastAsia" w:ascii="仿宋" w:hAnsi="仿宋" w:eastAsia="仿宋"/>
          <w:color w:val="auto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实际</w:t>
      </w:r>
      <w:r>
        <w:rPr>
          <w:rFonts w:hint="eastAsia" w:ascii="仿宋" w:hAnsi="仿宋" w:eastAsia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4610.72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99.1</w:t>
      </w:r>
      <w:r>
        <w:rPr>
          <w:rFonts w:hint="eastAsia" w:ascii="仿宋" w:hAnsi="仿宋" w:eastAsia="仿宋"/>
          <w:color w:val="auto"/>
          <w:sz w:val="32"/>
          <w:szCs w:val="32"/>
        </w:rPr>
        <w:t>%。</w:t>
      </w:r>
    </w:p>
    <w:p w14:paraId="7DDF3F4E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</w:rPr>
        <w:t>主要用途及范围：基本支出分为人员经费、公用经费两部分。人员经费用于在职人员工资福利、社会保障缴费、住房公积金、离退休人员补助等人员保障支出；日常公用经费用于单位日常办公耗材、印刷费、邮电费、水电费、物业费、差旅费、会议培训、办公设备维修维护、公务用车运行维护、公务接待等机关日常运转办公支出。</w:t>
      </w:r>
      <w:r>
        <w:rPr>
          <w:rFonts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年基本支出中，人员经费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4319.87万元，</w:t>
      </w:r>
      <w:r>
        <w:rPr>
          <w:rFonts w:ascii="仿宋" w:hAnsi="仿宋" w:eastAsia="仿宋"/>
          <w:color w:val="auto"/>
          <w:sz w:val="32"/>
          <w:szCs w:val="32"/>
        </w:rPr>
        <w:t>占比约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93.69</w:t>
      </w:r>
      <w:r>
        <w:rPr>
          <w:rFonts w:ascii="仿宋" w:hAnsi="仿宋" w:eastAsia="仿宋"/>
          <w:color w:val="auto"/>
          <w:sz w:val="32"/>
          <w:szCs w:val="32"/>
        </w:rPr>
        <w:t>%，公用经费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290.85万元，</w:t>
      </w:r>
      <w:r>
        <w:rPr>
          <w:rFonts w:ascii="仿宋" w:hAnsi="仿宋" w:eastAsia="仿宋"/>
          <w:color w:val="auto"/>
          <w:sz w:val="32"/>
          <w:szCs w:val="32"/>
        </w:rPr>
        <w:t>占比约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6.31</w:t>
      </w:r>
      <w:r>
        <w:rPr>
          <w:rFonts w:ascii="仿宋" w:hAnsi="仿宋" w:eastAsia="仿宋"/>
          <w:color w:val="auto"/>
          <w:sz w:val="32"/>
          <w:szCs w:val="32"/>
        </w:rPr>
        <w:t>%，主要用于维持机关日常运转及履行基本职能。</w:t>
      </w:r>
    </w:p>
    <w:p w14:paraId="48125902">
      <w:pPr>
        <w:ind w:firstLine="755" w:firstLineChars="236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</w:rPr>
        <w:t>资金管理情况：</w:t>
      </w:r>
      <w:r>
        <w:rPr>
          <w:rFonts w:ascii="仿宋" w:hAnsi="仿宋" w:eastAsia="仿宋"/>
          <w:color w:val="auto"/>
          <w:sz w:val="32"/>
          <w:szCs w:val="32"/>
        </w:rPr>
        <w:t>严格执行财政资金管理制度，基本支出资金纳入国库集中支付。人员经费根据编制人数及工资标准核定，公用经费实行定额管理，严格控制支出范围和标准。</w:t>
      </w:r>
    </w:p>
    <w:p w14:paraId="5D982F10">
      <w:pPr>
        <w:ind w:firstLine="755" w:firstLineChars="236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3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</w:rPr>
        <w:t>“三公”经费使用和管理情况：本年“三公”经费预算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/>
          <w:color w:val="auto"/>
          <w:sz w:val="32"/>
          <w:szCs w:val="32"/>
        </w:rPr>
        <w:t>万元，实际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72.9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76.74</w:t>
      </w:r>
      <w:r>
        <w:rPr>
          <w:rFonts w:hint="eastAsia" w:ascii="仿宋" w:hAnsi="仿宋" w:eastAsia="仿宋"/>
          <w:color w:val="auto"/>
          <w:sz w:val="32"/>
          <w:szCs w:val="32"/>
        </w:rPr>
        <w:t>%。严格落实中央八项规定及厉行节约各项要求，</w:t>
      </w:r>
      <w:r>
        <w:rPr>
          <w:rFonts w:ascii="仿宋" w:hAnsi="仿宋" w:eastAsia="仿宋"/>
          <w:color w:val="auto"/>
          <w:sz w:val="32"/>
          <w:szCs w:val="32"/>
        </w:rPr>
        <w:t>公务接待费严格执行“先审批后接待”制度，按标准控制接待规模；公务用车运行费用于车辆保险、维修、燃油等，实行定点维修和加油管理。经费支出严格遵循厉行节约原则，未超预算额度。</w:t>
      </w:r>
    </w:p>
    <w:p w14:paraId="25901E40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（二）项目支出</w:t>
      </w:r>
    </w:p>
    <w:p w14:paraId="7CECCEB3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项目资金安排落实、总投入等情况分析</w:t>
      </w:r>
    </w:p>
    <w:p w14:paraId="19394D59">
      <w:pPr>
        <w:ind w:firstLine="646" w:firstLineChars="202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年市发改委项目资金包括财政资金（中央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、省级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预算内资金、市级财政拨款等）和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非税返还资金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年初预算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3719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万元，年中根据上级工作要求、财政追加补助、指标调剂调整后，全年预算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1389.81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，资金到位率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37.37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%，均为一般公共预算财政拨款。</w:t>
      </w:r>
    </w:p>
    <w:p w14:paraId="17D19B2E">
      <w:pPr>
        <w:ind w:firstLine="646" w:firstLineChars="20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项目资金实际使用情况</w:t>
      </w:r>
    </w:p>
    <w:p w14:paraId="2EDD7844">
      <w:pPr>
        <w:ind w:firstLine="755" w:firstLineChars="236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auto"/>
          <w:sz w:val="32"/>
          <w:szCs w:val="32"/>
        </w:rPr>
        <w:t>按照“按月申报、按进度拨付”原则管理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本年各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项目资金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全年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实际支出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1385.18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万元，执行率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99.67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主要用于专项业务开展、专项调研检查、专项服务、专项办公耗材、项目运维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及工程建设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等支出，支出真实合规、审批流程完整、票据合法有效。</w:t>
      </w:r>
    </w:p>
    <w:p w14:paraId="616008DC">
      <w:pPr>
        <w:ind w:firstLine="755" w:firstLineChars="236"/>
        <w:rPr>
          <w:rFonts w:hint="eastAsia"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 项目资金管理情况分析</w:t>
      </w:r>
    </w:p>
    <w:p w14:paraId="118D9CE1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市发改委制定了《怀化市发展和改革委员会项目资金管理办法》，明确项目资金申请、审批、拨付流程，对中央和省预算内投资项目，严格执行资金拨付与项目进度挂钩制度，按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  <w:r>
        <w:rPr>
          <w:rFonts w:ascii="仿宋" w:hAnsi="仿宋" w:eastAsia="仿宋"/>
          <w:sz w:val="32"/>
          <w:szCs w:val="32"/>
        </w:rPr>
        <w:t>进度支付款项；对市级财政项目，建立资金使用台账，定期开展财务检查。</w:t>
      </w:r>
    </w:p>
    <w:p w14:paraId="3F937CFA">
      <w:pPr>
        <w:ind w:firstLine="758" w:firstLineChars="236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三、项目组织实施情况</w:t>
      </w:r>
    </w:p>
    <w:p w14:paraId="58A952C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（一）项目组织情况</w:t>
      </w:r>
    </w:p>
    <w:p w14:paraId="19AAD35E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 前期审批与招投标管理</w:t>
      </w:r>
    </w:p>
    <w:p w14:paraId="409C5733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前期已完成立项批复、可行性研究报告批复、初步设计及概算批复等发改部门规定的审批程序，手续齐全、合规有效。项目涉及工程建设、设备采购等环节均严格执行《招标投标法》及实施条例，按规定履行公开招标/邀请招标程序，招标公告发布、开标评标、定标备案等环节全程公开透明，接受发改、财政、审计等部门监督，无规避招标、虚假招标等违规行为，中标单位均具备相应资质条件。</w:t>
      </w:r>
    </w:p>
    <w:p w14:paraId="59D8436A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 项目调整与变更管理</w:t>
      </w:r>
    </w:p>
    <w:p w14:paraId="6ED66DCD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实施过程中，因现场实际条件变化、政策标准调整、优化建设内容等客观原因，确需对建设规模、建设内容、建设标准、投资概算等进行调整的，均严格按照发改部门项目变更管理规定，履行变更报批程序，按权限报原审批部门批复同意后实施，未擅自变更项目建设内容和投资规模，确保项目实施与批复内容一致。</w:t>
      </w:r>
    </w:p>
    <w:p w14:paraId="22B0D56F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竣工验收与备案管理</w:t>
      </w:r>
    </w:p>
    <w:p w14:paraId="7B0D3147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完成全部建设内容后，组织开展竣工验收工作，由项目建设单位牵头，邀请发改、行业主管部门、财政、审计及相关专业专家组成验收组，对项目建设内容完成情况、工程质量、资金使用、档案资料等进行全面核查验收。项目验收合格后，按规定及时办理竣工验收备案手续，相关批复文件、施工资料、验收资料均完整归档，形成闭环管理。</w:t>
      </w:r>
    </w:p>
    <w:p w14:paraId="6ED8AD74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（二）项目管理情况</w:t>
      </w:r>
    </w:p>
    <w:p w14:paraId="077585BF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项目管理制度建设</w:t>
      </w:r>
    </w:p>
    <w:p w14:paraId="09162E54">
      <w:pPr>
        <w:ind w:firstLine="755" w:firstLineChars="236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市发改委建立了项目全周期管理制度，涵盖前期谋划、申报审批、建设实施、竣工验收等环节。制定《怀化市重点项目管理办法》，明确项目责任主体、进度要求及考核机制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7A00BA72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日常检查监督管理</w:t>
      </w:r>
    </w:p>
    <w:p w14:paraId="736A95E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业务科室每月报</w:t>
      </w:r>
      <w:r>
        <w:rPr>
          <w:rFonts w:hint="eastAsia" w:ascii="仿宋" w:hAnsi="仿宋" w:eastAsia="仿宋"/>
          <w:sz w:val="32"/>
          <w:szCs w:val="32"/>
          <w:lang w:eastAsia="zh-CN"/>
        </w:rPr>
        <w:t>告</w:t>
      </w:r>
      <w:r>
        <w:rPr>
          <w:rFonts w:ascii="仿宋" w:hAnsi="仿宋" w:eastAsia="仿宋"/>
          <w:sz w:val="32"/>
          <w:szCs w:val="32"/>
        </w:rPr>
        <w:t>项目进度</w:t>
      </w:r>
      <w:r>
        <w:rPr>
          <w:rFonts w:hint="eastAsia" w:ascii="仿宋" w:hAnsi="仿宋" w:eastAsia="仿宋"/>
          <w:sz w:val="32"/>
          <w:szCs w:val="32"/>
          <w:lang w:eastAsia="zh-CN"/>
        </w:rPr>
        <w:t>情况</w:t>
      </w:r>
      <w:r>
        <w:rPr>
          <w:rFonts w:ascii="仿宋" w:hAnsi="仿宋" w:eastAsia="仿宋"/>
          <w:sz w:val="32"/>
          <w:szCs w:val="32"/>
        </w:rPr>
        <w:t>，财务部门与业务科室共享预算执行和项目进展数据。同时，</w:t>
      </w:r>
      <w:r>
        <w:rPr>
          <w:rFonts w:hint="eastAsia" w:ascii="仿宋" w:hAnsi="仿宋" w:eastAsia="仿宋"/>
          <w:sz w:val="32"/>
          <w:szCs w:val="32"/>
          <w:lang w:eastAsia="zh-CN"/>
        </w:rPr>
        <w:t>接受</w:t>
      </w:r>
      <w:r>
        <w:rPr>
          <w:rFonts w:ascii="仿宋" w:hAnsi="仿宋" w:eastAsia="仿宋"/>
          <w:sz w:val="32"/>
          <w:szCs w:val="32"/>
        </w:rPr>
        <w:t>审计、财政</w:t>
      </w:r>
      <w:r>
        <w:rPr>
          <w:rFonts w:hint="eastAsia" w:ascii="仿宋" w:hAnsi="仿宋" w:eastAsia="仿宋"/>
          <w:sz w:val="32"/>
          <w:szCs w:val="32"/>
          <w:lang w:eastAsia="zh-CN"/>
        </w:rPr>
        <w:t>、纪检监察</w:t>
      </w:r>
      <w:r>
        <w:rPr>
          <w:rFonts w:ascii="仿宋" w:hAnsi="仿宋" w:eastAsia="仿宋"/>
          <w:sz w:val="32"/>
          <w:szCs w:val="32"/>
        </w:rPr>
        <w:t>等部门开展专项检查，重点核查资金使用合规性、项目建设进度及效益发挥情况，对发现的问题要求责任科室限期整改。</w:t>
      </w:r>
    </w:p>
    <w:p w14:paraId="3E2E683A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四、资产管理情况</w:t>
      </w:r>
    </w:p>
    <w:p w14:paraId="33ED08A9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（一）制度建设与管理措施</w:t>
      </w:r>
    </w:p>
    <w:p w14:paraId="6FFCAA0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市发改委制定了《怀化市发展和改革委员会国有资产管理办法》，明确资产配置、使用、处置的程序和责任。资产配置严格按编制和标准执行，新增资产纳入预算管理；使用中实行“专人管理、台账登记”，定期开展资产清查，确保账实相符；处置资产</w:t>
      </w:r>
      <w:r>
        <w:rPr>
          <w:rFonts w:hint="eastAsia" w:ascii="仿宋" w:hAnsi="仿宋" w:eastAsia="仿宋"/>
          <w:sz w:val="32"/>
          <w:szCs w:val="32"/>
          <w:lang w:eastAsia="zh-CN"/>
        </w:rPr>
        <w:t>批量达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10万元以上</w:t>
      </w:r>
      <w:r>
        <w:rPr>
          <w:rFonts w:ascii="仿宋" w:hAnsi="仿宋" w:eastAsia="仿宋"/>
          <w:sz w:val="32"/>
          <w:szCs w:val="32"/>
        </w:rPr>
        <w:t>需经党组会议审议通过，并报财政部门审批，通过公开拍卖等方式规范处置。</w:t>
      </w:r>
    </w:p>
    <w:p w14:paraId="0FEE12AE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（二）配置处置程序</w:t>
      </w:r>
    </w:p>
    <w:p w14:paraId="08FBE9C4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资产配置方面，各科室根据工作需要提出申请，经办公室审核后报委领导审批，纳入年度采购计划；处置时，由使用科室提出申请，办公室组织评估，报财政部门批准后实施。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2025年度处置资产总额83.59万元，主要为三台公务用车、办公电脑、打印机、碎纸机等资产</w:t>
      </w:r>
      <w:r>
        <w:rPr>
          <w:rFonts w:ascii="仿宋" w:hAnsi="仿宋" w:eastAsia="仿宋"/>
          <w:sz w:val="32"/>
          <w:szCs w:val="32"/>
        </w:rPr>
        <w:t>，资产日常管理中未发现违规行为。</w:t>
      </w:r>
    </w:p>
    <w:p w14:paraId="207AC99A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五、政府性基金预算支出情况</w:t>
      </w:r>
    </w:p>
    <w:p w14:paraId="303C82CC">
      <w:pPr>
        <w:ind w:firstLine="755" w:firstLineChars="236"/>
        <w:rPr>
          <w:rFonts w:ascii="仿宋" w:hAnsi="仿宋" w:eastAsia="仿宋"/>
          <w:sz w:val="32"/>
          <w:szCs w:val="32"/>
          <w:highlight w:val="none"/>
        </w:rPr>
      </w:pPr>
      <w:r>
        <w:rPr>
          <w:rFonts w:ascii="仿宋" w:hAnsi="仿宋" w:eastAsia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  <w:highlight w:val="none"/>
        </w:rPr>
        <w:t>年政府性基金预算支出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167万元，为怀化市社会信用体系“一网一库一平台”迭代升级工程项目项目化债资金</w:t>
      </w:r>
      <w:r>
        <w:rPr>
          <w:rFonts w:ascii="仿宋" w:hAnsi="仿宋" w:eastAsia="仿宋"/>
          <w:sz w:val="32"/>
          <w:szCs w:val="32"/>
          <w:highlight w:val="none"/>
        </w:rPr>
        <w:t>。</w:t>
      </w:r>
    </w:p>
    <w:p w14:paraId="669C10C3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六、国有资本经营预算支出情况</w:t>
      </w:r>
    </w:p>
    <w:p w14:paraId="04AF09B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</w:rPr>
        <w:t>年市发改委无国有资本经营预算支出。</w:t>
      </w:r>
    </w:p>
    <w:p w14:paraId="4D2D7E23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七、社会保险基金预算支出情况</w:t>
      </w:r>
    </w:p>
    <w:p w14:paraId="151FB624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</w:rPr>
        <w:t>年市发改委无社会保险基金预算支出。</w:t>
      </w:r>
    </w:p>
    <w:p w14:paraId="3872E72D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八、部门整体支出绩效情况</w:t>
      </w:r>
    </w:p>
    <w:p w14:paraId="1FE6F746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（一）“四本预算”绩效目标完成情况</w:t>
      </w:r>
    </w:p>
    <w:p w14:paraId="423C2913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一般公共预算</w:t>
      </w:r>
    </w:p>
    <w:p w14:paraId="335E703E">
      <w:pPr>
        <w:ind w:firstLine="755" w:firstLineChars="236"/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年一般公共预算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执行率达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99.23%，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基本支出足额保障机关人员经费与公用经费，确保日常运转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项目支出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重点保障国民经济和社会发展、重大项目谋划推进、生态产品价值实现机制、价格调控监管、粮食安全保障、铁路建设、人防建设等履职支出，所有绩效指标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基本达标，例如：重大项目前期工作经费执行率100%，有效支撑了怀化市各重点项目落实推进；生态产品价值实现机制试点工作年度工作经费执行率100%，推动了生态产品价值实现工作取得更大突破，加快把生态优势转化为发展胜势。</w:t>
      </w:r>
    </w:p>
    <w:p w14:paraId="0BCA43B1">
      <w:pPr>
        <w:ind w:firstLine="640" w:firstLineChars="200"/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  <w:lang w:val="en-US" w:eastAsia="zh-CN"/>
        </w:rPr>
        <w:t>2、</w:t>
      </w:r>
      <w:r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  <w:t>政府性基金预算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167万元为化债资金，用于支付怀化市社会信用体系“一网一库一平台”迭代升级工程项目尾款</w:t>
      </w:r>
      <w:r>
        <w:rPr>
          <w:rFonts w:ascii="仿宋" w:hAnsi="仿宋" w:eastAsia="仿宋"/>
          <w:sz w:val="32"/>
          <w:szCs w:val="32"/>
          <w:highlight w:val="none"/>
        </w:rPr>
        <w:t>。</w:t>
      </w:r>
    </w:p>
    <w:p w14:paraId="2C75DB25">
      <w:pPr>
        <w:numPr>
          <w:ilvl w:val="0"/>
          <w:numId w:val="0"/>
        </w:numPr>
        <w:ind w:firstLine="640" w:firstLineChars="200"/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  <w:lang w:val="en-US" w:eastAsia="zh-CN"/>
        </w:rPr>
        <w:t>3、</w:t>
      </w:r>
      <w:r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  <w:t>社会保险基金预算202</w:t>
      </w:r>
      <w:r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  <w:t>年无绩效目标涉及。</w:t>
      </w:r>
    </w:p>
    <w:p w14:paraId="1DBE1F79">
      <w:pPr>
        <w:ind w:firstLine="755" w:firstLineChars="236"/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（二）产出与效益分析</w:t>
      </w:r>
    </w:p>
    <w:p w14:paraId="7067ECD3">
      <w:pPr>
        <w:ind w:firstLine="755" w:firstLineChars="236"/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运行成本</w:t>
      </w:r>
    </w:p>
    <w:p w14:paraId="49A4C555">
      <w:pPr>
        <w:ind w:firstLine="755" w:firstLineChars="236"/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严格贯彻落实党政机关过紧日子要求，坚持厉行节约、精打细算，从严从紧编制年度运行经费预算。严格控制机关日常运转、公务接待、会议培训、办公耗材等一般性支出，大力压减非刚性、非急需开支。规范“三公”经费及公用经费管理，经费支出全部严格控制在年度预算批复额度内，无超预算支出、无违规开支、无铺张浪费现象。统筹优化经费支出结构，把有限财力向经济运行调度、重大项目谋划、粮食能源安全、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优化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营商环境等核心履职重点倾斜，一般性支出持续压减、刚性重点保障有力，行政运行成本管控规范、节约成效明显，资金使用效益稳步提升。</w:t>
      </w:r>
    </w:p>
    <w:p w14:paraId="3E2B8D5C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管理效率</w:t>
      </w:r>
    </w:p>
    <w:p w14:paraId="5B6AC048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年度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投资项目审批效率显著提升，企业投资项目核准和备案全程网办，即时办结率100%。</w:t>
      </w:r>
      <w:r>
        <w:rPr>
          <w:rFonts w:ascii="仿宋" w:hAnsi="仿宋" w:eastAsia="仿宋"/>
          <w:sz w:val="32"/>
          <w:szCs w:val="32"/>
        </w:rPr>
        <w:t>财务部门与业务科室共享预算执行和项目进展数据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确保资金拨付与项目进度同步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，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对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项目建设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等实施现场调度。</w:t>
      </w:r>
    </w:p>
    <w:p w14:paraId="3B723357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履职效能</w:t>
      </w:r>
    </w:p>
    <w:p w14:paraId="77D6315F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（1）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经济发展：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牵头制定“七大攻坚”实施方案，建立“三抓三比三提升”机制，围绕主要经济指标、GDP基础指标、高频指标实行“周调度、月通报、季总结”，推动全市经济总体呈现“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稳中有进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进中向好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”的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良好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态势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，全市地区生产总值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增长6%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。加强高质量发展综合绩效评价工作调度，系统建立分析模型，适时为市委、市政府领导提供决策参考，牵头负责的15项高质量发展综合绩效评价指标基本全部实现正向提升。</w:t>
      </w:r>
    </w:p>
    <w:p w14:paraId="1BA5E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jc w:val="both"/>
        <w:textAlignment w:val="auto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（2）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项目建设：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深化“项目大谋划 谋划大项目”专项行动，动态优化“1+16”项目储备体系，进入国家重大建设项目储备库595个，纳入省重点项目46个，均创历史新高。争取“三类”国省资金133亿元、增长19.6%。省、市重点项目完成年度投资较去年均增长9.1%，带动固定资产投资增长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3.8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%，产业投资、制造业投资、高新技术产业投资分别增长11.1%、7.3%、8.2%。㵲水大型灌区、洞天高速、铜天高速等重大项目开工建设，遵义—吉安天然气管道（湖南段）建设项目进入可研阶段。</w:t>
      </w:r>
    </w:p>
    <w:p w14:paraId="01C690E2">
      <w:pPr>
        <w:pStyle w:val="10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right="0" w:firstLine="640" w:firstLineChars="200"/>
        <w:textAlignment w:val="auto"/>
        <w:rPr>
          <w:rFonts w:hint="default" w:ascii="仿宋" w:hAnsi="仿宋" w:eastAsia="仿宋" w:cs="Segoe UI"/>
          <w:color w:val="1F2329"/>
          <w:w w:val="10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（3）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区域协调</w:t>
      </w:r>
      <w:r>
        <w:rPr>
          <w:rFonts w:ascii="仿宋" w:hAnsi="仿宋" w:eastAsia="仿宋" w:cs="Segoe UI"/>
          <w:color w:val="1F2329"/>
          <w:w w:val="100"/>
          <w:kern w:val="2"/>
          <w:sz w:val="32"/>
          <w:szCs w:val="32"/>
          <w:shd w:val="clear" w:color="auto" w:fill="FFFFFF"/>
          <w:lang w:val="en-US" w:eastAsia="zh-CN" w:bidi="ar-SA"/>
        </w:rPr>
        <w:t>：</w:t>
      </w:r>
      <w:r>
        <w:rPr>
          <w:rFonts w:hint="default" w:ascii="仿宋" w:hAnsi="仿宋" w:eastAsia="仿宋" w:cs="Segoe UI"/>
          <w:color w:val="1F2329"/>
          <w:w w:val="100"/>
          <w:kern w:val="2"/>
          <w:sz w:val="32"/>
          <w:szCs w:val="32"/>
          <w:shd w:val="clear" w:color="auto" w:fill="FFFFFF"/>
          <w:lang w:val="en-US" w:eastAsia="zh-CN" w:bidi="ar-SA"/>
        </w:rPr>
        <w:t>积极落实“13+2”省际协商合作机制，共同签署《区块链赋能数字陆海新通道合作框架协议》，有序推进怀化与广东湛江市、广西钦州市、广西崇左市的战略合作。积极融入全省中欧班列“1+4”集疏运体系，促进怀化东盟货运集结中心与长沙中欧班列集结中心协同联动，拓宽外向型物流通道。持续推动物流降本增效，怀化国际陆港多式联运中心、高标准仓储基地等重点物流项目顺利推进，全年社会物流总费用与GDP的比率降至14.2%，较2024年下降0.4个百分点。</w:t>
      </w:r>
    </w:p>
    <w:p w14:paraId="04312A69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4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社会效应</w:t>
      </w:r>
    </w:p>
    <w:p w14:paraId="7A0152B0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（1）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就业带动：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" w:eastAsia="zh-CN"/>
        </w:rPr>
        <w:t>深入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推进以人为本的新型城镇化，城镇化率提升至51.5％。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推广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以工代赈项目68个，带动务工群众7000人，发放劳务报酬2.1亿元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排全省第3。</w:t>
      </w:r>
    </w:p>
    <w:p w14:paraId="629E0370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（2）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公共服务：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争取各类民生建设项目资金21.58亿元，推动“两馆一院”建成运营，14所县域普通高中、21所乡镇寄宿制学校完成标准化改造，全市乡镇卫生院标准化建设实现全覆盖。</w:t>
      </w:r>
    </w:p>
    <w:p w14:paraId="1922DCAC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可持续发展能力</w:t>
      </w:r>
    </w:p>
    <w:p w14:paraId="1FA13FBF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（1）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产业规划：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持续完善“5+10”现代化产业体系，推动竹业、绿色矿业独立成链，生物基新材料产业链完成整合，县市区主特产业链从47条优化调整至34条。10条重点产业链规模工业总产值突破900亿元、增长16.4%，增速高于规工8.4个百分点，其中箱包皮具、竹业产业链产值增速均超30%。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新创省级先进制造业集群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个、中小企业特色产业集群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个。</w:t>
      </w:r>
    </w:p>
    <w:p w14:paraId="4837FF4D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（2）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生态保护：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扎实推进“五好园区”建设，园区规模工业增加值增长5%，占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全市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比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重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达62%。3家园区入列全省“五好”园区综合评价前50名，洪江高新区（洪江区）获评国家级绿色园区。</w:t>
      </w:r>
    </w:p>
    <w:p w14:paraId="0CA06A04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6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服务对象满意度</w:t>
      </w:r>
    </w:p>
    <w:p w14:paraId="2F013232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年办理人大建议和政协提案件，按时办结率100%，回访满意度98.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%。政务服务科通过“互联网+政务服务”平台，投资项目审批时限压缩60%，企业群众好评率达99.2%。</w:t>
      </w:r>
    </w:p>
    <w:p w14:paraId="471451EB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（三）重点项目绩效情况</w:t>
      </w:r>
    </w:p>
    <w:p w14:paraId="6B242122">
      <w:pPr>
        <w:ind w:firstLine="755" w:firstLineChars="236"/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1、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项目前期工作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经费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: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主要用于重大项目可研编制、手续办理、专家评审、谋划储备等工作。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通过优化工作流程、统筹资源配置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进入国家重大建设项目储备库595个，纳入省重点项目46个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争取“三类”国省资金133亿元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有力推动项目开工建设，夯实项目储备基础，有效拉动固定资产投资，服务全市经济发展大局。</w:t>
      </w:r>
    </w:p>
    <w:p w14:paraId="5DAA8DD1">
      <w:pPr>
        <w:ind w:firstLine="755" w:firstLineChars="236"/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2、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生态产品价值实现机制试点工作年度工作经费;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主要用于生态产品价值实现机制试点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的方案编制、调查监测、价值核算、试点推进等相关工作。为建立健全工作机制，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出台《怀化市推进生态产品价值实现机制试点工作三年行动方案(2025-2027年)》，成功获批全省环境权益抵质押融资试点，探索完成全省首笔水土保持生态产品价值转化交易，实现全省首例“国有建设用地+VEP”项目交易。</w:t>
      </w:r>
    </w:p>
    <w:p w14:paraId="434BC527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粮食安全保障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有关经费：主要用于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粮食调控和储备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粮食仓储设施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维修维护等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为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全面落实粮食安全责任制，地方储备粮轮出3.08万吨、轮入2.78万吨。建设国家储备粮源基地17万亩。怀化国际粮食物流加工产业园项目有序推进，50万吨仓容项目即将落地签约。加强国际粮食合作，与老挝合作建成杂交水稻基地7000亩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深化与东盟粮食安全合作，加快怀化国际粮油物流加工产业园建设。</w:t>
      </w:r>
    </w:p>
    <w:p w14:paraId="08F6D496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（四）预算资金管理与资产管理结合情况</w:t>
      </w:r>
    </w:p>
    <w:p w14:paraId="0C55CE92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市发改委严格执行预算资金与资产管理联动机制，新增资产配置全部纳入预算管理。项目资金使用中，定期盘点形成资产台账，确保国有资产保值增值。202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度新增资产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27.33万元，主要为购置公务用车一台、办公电脑、空调及质检监测设备等。</w:t>
      </w:r>
    </w:p>
    <w:p w14:paraId="776F8573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九、存在的问题及原因分析</w:t>
      </w:r>
    </w:p>
    <w:p w14:paraId="00348D2D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（一）预算执行偏离问题</w:t>
      </w:r>
    </w:p>
    <w:p w14:paraId="05233215">
      <w:pPr>
        <w:ind w:firstLine="755" w:firstLineChars="236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>部分项目执行率低：</w:t>
      </w:r>
      <w:r>
        <w:rPr>
          <w:rFonts w:hint="eastAsia" w:ascii="仿宋" w:hAnsi="仿宋" w:eastAsia="仿宋"/>
          <w:sz w:val="32"/>
          <w:szCs w:val="32"/>
          <w:lang w:eastAsia="zh-CN"/>
        </w:rPr>
        <w:t>一是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项目预算资金难以执行到位，列入当年度的项目实施完成已达支付条件，但无法按合同要求及时支付，即使结转至下年度也难以拨付到位，影响项目正常开展；二是疏散基地年初预算数2350万元，预算执行数110万元，资金到位率4.68%,</w:t>
      </w:r>
      <w:r>
        <w:rPr>
          <w:rFonts w:ascii="仿宋" w:hAnsi="仿宋" w:eastAsia="仿宋"/>
          <w:sz w:val="32"/>
          <w:szCs w:val="32"/>
        </w:rPr>
        <w:t>存在预算</w:t>
      </w:r>
      <w:r>
        <w:rPr>
          <w:rFonts w:hint="eastAsia" w:ascii="仿宋" w:hAnsi="仿宋" w:eastAsia="仿宋"/>
          <w:sz w:val="32"/>
          <w:szCs w:val="32"/>
          <w:lang w:eastAsia="zh-CN"/>
        </w:rPr>
        <w:t>资金到位</w:t>
      </w:r>
      <w:r>
        <w:rPr>
          <w:rFonts w:ascii="仿宋" w:hAnsi="仿宋" w:eastAsia="仿宋"/>
          <w:sz w:val="32"/>
          <w:szCs w:val="32"/>
        </w:rPr>
        <w:t>率</w:t>
      </w:r>
      <w:r>
        <w:rPr>
          <w:rFonts w:hint="eastAsia" w:ascii="仿宋" w:hAnsi="仿宋" w:eastAsia="仿宋"/>
          <w:sz w:val="32"/>
          <w:szCs w:val="32"/>
          <w:lang w:eastAsia="zh-CN"/>
        </w:rPr>
        <w:t>严重</w:t>
      </w:r>
      <w:r>
        <w:rPr>
          <w:rFonts w:ascii="仿宋" w:hAnsi="仿宋" w:eastAsia="仿宋"/>
          <w:sz w:val="32"/>
          <w:szCs w:val="32"/>
        </w:rPr>
        <w:t>不足的情况。</w:t>
      </w:r>
      <w:r>
        <w:rPr>
          <w:rFonts w:hint="eastAsia" w:ascii="仿宋" w:hAnsi="仿宋" w:eastAsia="仿宋"/>
          <w:sz w:val="32"/>
          <w:szCs w:val="32"/>
          <w:lang w:eastAsia="zh-CN"/>
        </w:rPr>
        <w:t>主要原因为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防工程建设项目经费保障来源为人防易地建设费，当前房地产开发降温，市本级房地产新开发项目骤减，加之省政府297号令再次强调人防工程“应建必建”要求，导致市本级人防易地建设费源严重萎缩，建设资金已难以保障。</w:t>
      </w:r>
    </w:p>
    <w:p w14:paraId="195E288A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（二）项目管理</w:t>
      </w:r>
      <w:r>
        <w:rPr>
          <w:rFonts w:hint="eastAsia" w:ascii="仿宋" w:hAnsi="仿宋" w:eastAsia="仿宋"/>
          <w:sz w:val="32"/>
          <w:szCs w:val="32"/>
        </w:rPr>
        <w:t>问题</w:t>
      </w:r>
    </w:p>
    <w:p w14:paraId="0F05CFD5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人防工程“重建设、轻管理”问题突出，</w:t>
      </w:r>
      <w:r>
        <w:rPr>
          <w:rFonts w:hint="eastAsia" w:ascii="仿宋" w:hAnsi="仿宋" w:eastAsia="仿宋"/>
          <w:sz w:val="32"/>
          <w:szCs w:val="32"/>
          <w:lang w:eastAsia="zh-CN"/>
        </w:rPr>
        <w:t>存在</w:t>
      </w:r>
      <w:r>
        <w:rPr>
          <w:rFonts w:ascii="仿宋" w:hAnsi="仿宋" w:eastAsia="仿宋"/>
          <w:sz w:val="32"/>
          <w:szCs w:val="32"/>
        </w:rPr>
        <w:t>老旧工程缺乏持续性维护，设施设备养护不足、人防标识不统一等问题，影响工程效能发挥。主要是监管保障机制不健全、维管责任主体不明确、维护资金保障不到位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5E9042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十、下一步改进措施</w:t>
      </w:r>
    </w:p>
    <w:p w14:paraId="2D3AB5A8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（一）</w:t>
      </w:r>
      <w:r>
        <w:rPr>
          <w:rFonts w:ascii="仿宋" w:hAnsi="仿宋" w:eastAsia="仿宋"/>
          <w:color w:val="auto"/>
          <w:sz w:val="32"/>
          <w:szCs w:val="32"/>
        </w:rPr>
        <w:t>强化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前期对接，加快资金指标落地</w:t>
      </w:r>
    </w:p>
    <w:p w14:paraId="09E409D6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主动对接财政、主管部门，建立资金指标常态化对接机制。对年度预算项目、上级转移支付项目、专项补助项目实行清单化管理，逐项跟踪指标下达、额度锁定进度。对预计延迟下达的资金提前预警，及时沟通原因、争取尽快指标落地，从源头提升资金到位时效，杜绝因对接不及时导致资金滞留、到位滞后问题。</w:t>
      </w:r>
    </w:p>
    <w:p w14:paraId="3063A8B0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二</w:t>
      </w:r>
      <w:r>
        <w:rPr>
          <w:rFonts w:ascii="仿宋" w:hAnsi="仿宋" w:eastAsia="仿宋"/>
          <w:sz w:val="32"/>
          <w:szCs w:val="32"/>
        </w:rPr>
        <w:t>）加强项目全周期管控</w:t>
      </w:r>
    </w:p>
    <w:p w14:paraId="11CA8FFC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完善前期筹备机制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项目申报前需完成立项、环评、用地预审等前期工作。对重点项目实行现场调度，完成现有项目的进度问题梳理。</w:t>
      </w:r>
    </w:p>
    <w:p w14:paraId="77829FA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）提升绩效目标达成度</w:t>
      </w:r>
    </w:p>
    <w:p w14:paraId="69D3966D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动态调整目标指标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对因政策变化或市场波动导致无法完成的指标，如部分产业项目产值目标，重新核定并报上级备案。强化效益跟踪评估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对已完工项目开展后评价。</w:t>
      </w:r>
    </w:p>
    <w:p w14:paraId="6BE64139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十一、绩效自评结果拟应用和公开情况</w:t>
      </w:r>
    </w:p>
    <w:p w14:paraId="6ACF4FF6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绩效自评结果将作为</w:t>
      </w:r>
      <w:r>
        <w:rPr>
          <w:rFonts w:hint="eastAsia" w:ascii="仿宋" w:hAnsi="仿宋" w:eastAsia="仿宋"/>
          <w:sz w:val="32"/>
          <w:szCs w:val="32"/>
          <w:lang w:eastAsia="zh-CN"/>
        </w:rPr>
        <w:t>下一年度</w:t>
      </w:r>
      <w:r>
        <w:rPr>
          <w:rFonts w:ascii="仿宋" w:hAnsi="仿宋" w:eastAsia="仿宋"/>
          <w:sz w:val="32"/>
          <w:szCs w:val="32"/>
        </w:rPr>
        <w:t>预算安排的重要依据，对自评得分90分以上的项目优先保障并上浮10%预算，得分70分以下的项目削减20%预算。同时，自评报告将通过市发改委官网公开，接受社会监督，具体公开时间待内部审议后确定。</w:t>
      </w:r>
    </w:p>
    <w:p w14:paraId="4CAE166E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十二、其他需要说明的问题</w:t>
      </w:r>
    </w:p>
    <w:p w14:paraId="059FBEF1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无</w:t>
      </w:r>
    </w:p>
    <w:p w14:paraId="5475F371">
      <w:pPr>
        <w:ind w:firstLine="708" w:firstLineChars="236"/>
        <w:rPr>
          <w:rFonts w:ascii="仿宋" w:hAnsi="仿宋" w:eastAsia="仿宋"/>
          <w:sz w:val="30"/>
          <w:szCs w:val="30"/>
        </w:rPr>
      </w:pPr>
    </w:p>
    <w:sectPr>
      <w:pgSz w:w="11906" w:h="16838"/>
      <w:pgMar w:top="158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29" w:usb3="00000000" w:csb0="200001DF" w:csb1="2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563"/>
    <w:rsid w:val="00094820"/>
    <w:rsid w:val="000C62FD"/>
    <w:rsid w:val="000E0A43"/>
    <w:rsid w:val="00136CE3"/>
    <w:rsid w:val="00195563"/>
    <w:rsid w:val="001C0169"/>
    <w:rsid w:val="001C2109"/>
    <w:rsid w:val="001C47A2"/>
    <w:rsid w:val="00260725"/>
    <w:rsid w:val="002919A3"/>
    <w:rsid w:val="004357D7"/>
    <w:rsid w:val="00495FB3"/>
    <w:rsid w:val="00550B40"/>
    <w:rsid w:val="005E5C44"/>
    <w:rsid w:val="006B45A2"/>
    <w:rsid w:val="0074527C"/>
    <w:rsid w:val="007B39B8"/>
    <w:rsid w:val="007C7858"/>
    <w:rsid w:val="00822FAF"/>
    <w:rsid w:val="008F4297"/>
    <w:rsid w:val="009B71B2"/>
    <w:rsid w:val="00A21C90"/>
    <w:rsid w:val="00A9410E"/>
    <w:rsid w:val="00B34B37"/>
    <w:rsid w:val="00BE64A9"/>
    <w:rsid w:val="00C448EC"/>
    <w:rsid w:val="00D71E3C"/>
    <w:rsid w:val="00DA6924"/>
    <w:rsid w:val="00E52146"/>
    <w:rsid w:val="00E61F73"/>
    <w:rsid w:val="00EC3770"/>
    <w:rsid w:val="00EE7507"/>
    <w:rsid w:val="00F96273"/>
    <w:rsid w:val="00F96D18"/>
    <w:rsid w:val="00FF6A7F"/>
    <w:rsid w:val="025857DA"/>
    <w:rsid w:val="02FC6355"/>
    <w:rsid w:val="044E5464"/>
    <w:rsid w:val="04BF4664"/>
    <w:rsid w:val="07941E95"/>
    <w:rsid w:val="0ADB25DD"/>
    <w:rsid w:val="0C2B1A59"/>
    <w:rsid w:val="0C7451AE"/>
    <w:rsid w:val="0FBA55CD"/>
    <w:rsid w:val="118934A9"/>
    <w:rsid w:val="12D20E80"/>
    <w:rsid w:val="192A4630"/>
    <w:rsid w:val="19884D2F"/>
    <w:rsid w:val="1BCE12EF"/>
    <w:rsid w:val="1DB013FA"/>
    <w:rsid w:val="1EFBD7E1"/>
    <w:rsid w:val="1F612F71"/>
    <w:rsid w:val="1FB47A59"/>
    <w:rsid w:val="224B176F"/>
    <w:rsid w:val="25EB42DB"/>
    <w:rsid w:val="265866DA"/>
    <w:rsid w:val="266F6CBA"/>
    <w:rsid w:val="26C03F07"/>
    <w:rsid w:val="26F15898"/>
    <w:rsid w:val="288F53F1"/>
    <w:rsid w:val="28AB14D8"/>
    <w:rsid w:val="2A3C5105"/>
    <w:rsid w:val="2D142369"/>
    <w:rsid w:val="2DEC299E"/>
    <w:rsid w:val="2E1343CF"/>
    <w:rsid w:val="33792F26"/>
    <w:rsid w:val="338A4E59"/>
    <w:rsid w:val="34F56F38"/>
    <w:rsid w:val="358955D4"/>
    <w:rsid w:val="3ED0437F"/>
    <w:rsid w:val="3F810C76"/>
    <w:rsid w:val="40D73786"/>
    <w:rsid w:val="41520451"/>
    <w:rsid w:val="431450D7"/>
    <w:rsid w:val="45603F46"/>
    <w:rsid w:val="466510E8"/>
    <w:rsid w:val="46785C65"/>
    <w:rsid w:val="4E133E73"/>
    <w:rsid w:val="4EEF633A"/>
    <w:rsid w:val="4F990BE7"/>
    <w:rsid w:val="51FE0D6E"/>
    <w:rsid w:val="53A70F92"/>
    <w:rsid w:val="540C51D3"/>
    <w:rsid w:val="563F54B2"/>
    <w:rsid w:val="5DB93B82"/>
    <w:rsid w:val="5DD6446E"/>
    <w:rsid w:val="5E714638"/>
    <w:rsid w:val="5E7951FB"/>
    <w:rsid w:val="60035826"/>
    <w:rsid w:val="60575AEE"/>
    <w:rsid w:val="619C44F2"/>
    <w:rsid w:val="624D417B"/>
    <w:rsid w:val="66481828"/>
    <w:rsid w:val="67C74228"/>
    <w:rsid w:val="692E547F"/>
    <w:rsid w:val="6F714CB1"/>
    <w:rsid w:val="6F8A4CBE"/>
    <w:rsid w:val="71A435BE"/>
    <w:rsid w:val="71AF12E6"/>
    <w:rsid w:val="746E722A"/>
    <w:rsid w:val="74BB69EC"/>
    <w:rsid w:val="76D0242A"/>
    <w:rsid w:val="79DF0BD6"/>
    <w:rsid w:val="7BD225A9"/>
    <w:rsid w:val="7BFF6F2A"/>
    <w:rsid w:val="7CEF7382"/>
    <w:rsid w:val="7D782ED3"/>
    <w:rsid w:val="7E59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黑体" w:hAnsi="黑体" w:eastAsia="黑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w w:val="100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5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  <w:jc w:val="left"/>
    </w:pPr>
    <w:rPr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22"/>
    <w:rPr>
      <w:b/>
      <w:bCs/>
    </w:rPr>
  </w:style>
  <w:style w:type="character" w:customStyle="1" w:styleId="14">
    <w:name w:val="标题 1 Char"/>
    <w:basedOn w:val="12"/>
    <w:link w:val="4"/>
    <w:qFormat/>
    <w:uiPriority w:val="9"/>
    <w:rPr>
      <w:rFonts w:ascii="宋体" w:hAnsi="宋体" w:eastAsia="宋体" w:cs="宋体"/>
      <w:b/>
      <w:bCs/>
      <w:w w:val="100"/>
      <w:kern w:val="36"/>
      <w:sz w:val="48"/>
      <w:szCs w:val="48"/>
    </w:rPr>
  </w:style>
  <w:style w:type="character" w:customStyle="1" w:styleId="15">
    <w:name w:val="页眉 Char"/>
    <w:basedOn w:val="12"/>
    <w:link w:val="9"/>
    <w:semiHidden/>
    <w:qFormat/>
    <w:uiPriority w:val="99"/>
    <w:rPr>
      <w:rFonts w:asciiTheme="minorHAnsi" w:hAnsiTheme="minorHAnsi" w:eastAsiaTheme="minorEastAsia"/>
      <w:w w:val="100"/>
      <w:sz w:val="18"/>
      <w:szCs w:val="18"/>
    </w:rPr>
  </w:style>
  <w:style w:type="character" w:customStyle="1" w:styleId="16">
    <w:name w:val="页脚 Char"/>
    <w:basedOn w:val="12"/>
    <w:link w:val="8"/>
    <w:semiHidden/>
    <w:qFormat/>
    <w:uiPriority w:val="99"/>
    <w:rPr>
      <w:rFonts w:asciiTheme="minorHAnsi" w:hAnsiTheme="minorHAnsi" w:eastAsiaTheme="minorEastAsia"/>
      <w:w w:val="100"/>
      <w:sz w:val="18"/>
      <w:szCs w:val="18"/>
    </w:rPr>
  </w:style>
  <w:style w:type="character" w:customStyle="1" w:styleId="17">
    <w:name w:val="标题 2 Char"/>
    <w:basedOn w:val="12"/>
    <w:link w:val="5"/>
    <w:semiHidden/>
    <w:qFormat/>
    <w:uiPriority w:val="9"/>
    <w:rPr>
      <w:rFonts w:asciiTheme="majorHAnsi" w:hAnsiTheme="majorHAnsi" w:eastAsiaTheme="majorEastAsia" w:cstheme="majorBidi"/>
      <w:b/>
      <w:bCs/>
      <w:w w:val="100"/>
      <w:sz w:val="32"/>
      <w:szCs w:val="32"/>
    </w:rPr>
  </w:style>
  <w:style w:type="character" w:customStyle="1" w:styleId="18">
    <w:name w:val="标题 3 Char"/>
    <w:basedOn w:val="12"/>
    <w:link w:val="6"/>
    <w:semiHidden/>
    <w:qFormat/>
    <w:uiPriority w:val="9"/>
    <w:rPr>
      <w:rFonts w:asciiTheme="minorHAnsi" w:hAnsiTheme="minorHAnsi" w:eastAsiaTheme="minorEastAsia"/>
      <w:b/>
      <w:bCs/>
      <w:w w:val="100"/>
      <w:sz w:val="32"/>
      <w:szCs w:val="32"/>
    </w:rPr>
  </w:style>
  <w:style w:type="character" w:customStyle="1" w:styleId="19">
    <w:name w:val="标题 4 Char"/>
    <w:basedOn w:val="12"/>
    <w:link w:val="7"/>
    <w:semiHidden/>
    <w:qFormat/>
    <w:uiPriority w:val="9"/>
    <w:rPr>
      <w:rFonts w:asciiTheme="majorHAnsi" w:hAnsiTheme="majorHAnsi" w:eastAsiaTheme="majorEastAsia" w:cstheme="majorBidi"/>
      <w:b/>
      <w:bCs/>
      <w:w w:val="1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5989</Words>
  <Characters>6302</Characters>
  <Lines>50</Lines>
  <Paragraphs>14</Paragraphs>
  <TotalTime>2</TotalTime>
  <ScaleCrop>false</ScaleCrop>
  <LinksUpToDate>false</LinksUpToDate>
  <CharactersWithSpaces>6315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2025-06-11T01:35:00Z</dcterms:created>
  <dc:creator>Administrator</dc:creator>
  <cp:lastModifiedBy>A梦</cp:lastModifiedBy>
  <dcterms:modified xsi:type="dcterms:W3CDTF">2026-10-16T16:05:40Z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eyJoZGlkIjoiOTAyMzE4NmNjMDMyOWRiNzdjMGFlZTJjMzVhYWI1ZGQiLCJ1c2VySWQiOiIyNTcwMjkxNjUifQ==</vt:lpwstr>
  </property>
  <property fmtid="{D5CDD505-2E9C-101B-9397-08002B2CF9AE}" pid="3" name="KSOProductBuildVer">
    <vt:lpwstr>2052-12.1.2.23578</vt:lpwstr>
  </property>
  <property fmtid="{D5CDD505-2E9C-101B-9397-08002B2CF9AE}" pid="4" name="ICV">
    <vt:lpwstr>B52641179B104C15ADF8FA33F97F441A_13</vt:lpwstr>
  </property>
</Properties>
</file>