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6E18F">
      <w:pPr>
        <w:spacing w:line="360" w:lineRule="auto"/>
        <w:rPr>
          <w:rFonts w:ascii="仿宋" w:hAnsi="仿宋" w:eastAsia="仿宋"/>
          <w:w w:val="100"/>
          <w:sz w:val="28"/>
          <w:szCs w:val="24"/>
        </w:rPr>
      </w:pPr>
      <w:r>
        <w:rPr>
          <w:rFonts w:hint="eastAsia" w:ascii="仿宋" w:hAnsi="仿宋" w:eastAsia="仿宋"/>
          <w:w w:val="100"/>
          <w:sz w:val="28"/>
          <w:szCs w:val="24"/>
        </w:rPr>
        <w:t>附件6</w:t>
      </w:r>
    </w:p>
    <w:p w14:paraId="7D8651B2">
      <w:pPr>
        <w:spacing w:line="360" w:lineRule="auto"/>
        <w:rPr>
          <w:rFonts w:ascii="仿宋" w:hAnsi="仿宋" w:eastAsia="仿宋" w:cs="仿宋"/>
          <w:b/>
          <w:bCs/>
          <w:w w:val="100"/>
          <w:szCs w:val="44"/>
        </w:rPr>
      </w:pPr>
    </w:p>
    <w:p w14:paraId="78EF5FC0">
      <w:pPr>
        <w:spacing w:line="360" w:lineRule="auto"/>
        <w:rPr>
          <w:rFonts w:ascii="仿宋" w:hAnsi="仿宋" w:eastAsia="仿宋" w:cs="仿宋"/>
          <w:b/>
          <w:bCs/>
          <w:w w:val="100"/>
          <w:szCs w:val="44"/>
        </w:rPr>
      </w:pPr>
    </w:p>
    <w:p w14:paraId="5BF774BF">
      <w:pPr>
        <w:spacing w:line="360" w:lineRule="auto"/>
        <w:rPr>
          <w:rFonts w:ascii="仿宋" w:hAnsi="仿宋" w:eastAsia="仿宋" w:cs="仿宋"/>
          <w:b/>
          <w:bCs/>
          <w:w w:val="100"/>
          <w:szCs w:val="44"/>
        </w:rPr>
      </w:pPr>
    </w:p>
    <w:p w14:paraId="739FE164">
      <w:pPr>
        <w:spacing w:line="360" w:lineRule="auto"/>
        <w:jc w:val="center"/>
        <w:rPr>
          <w:rFonts w:ascii="仿宋" w:hAnsi="仿宋" w:eastAsia="仿宋" w:cs="仿宋"/>
          <w:b/>
          <w:bCs/>
          <w:w w:val="100"/>
          <w:szCs w:val="44"/>
        </w:rPr>
      </w:pPr>
      <w:r>
        <w:rPr>
          <w:rFonts w:hint="eastAsia" w:ascii="仿宋" w:hAnsi="仿宋" w:eastAsia="仿宋" w:cs="仿宋"/>
          <w:b/>
          <w:bCs/>
          <w:w w:val="100"/>
          <w:szCs w:val="44"/>
        </w:rPr>
        <w:t>202</w:t>
      </w:r>
      <w:r>
        <w:rPr>
          <w:rFonts w:hint="eastAsia" w:ascii="仿宋" w:hAnsi="仿宋" w:eastAsia="仿宋" w:cs="仿宋"/>
          <w:b/>
          <w:bCs/>
          <w:w w:val="100"/>
          <w:szCs w:val="44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w w:val="100"/>
          <w:szCs w:val="44"/>
        </w:rPr>
        <w:t>年度</w:t>
      </w:r>
      <w:r>
        <w:rPr>
          <w:rFonts w:ascii="仿宋" w:hAnsi="仿宋" w:eastAsia="仿宋" w:cs="仿宋"/>
          <w:b/>
          <w:bCs/>
          <w:w w:val="100"/>
          <w:szCs w:val="44"/>
        </w:rPr>
        <w:t>怀化市发展和改革委员会</w:t>
      </w:r>
    </w:p>
    <w:p w14:paraId="044F1F84">
      <w:pPr>
        <w:spacing w:line="360" w:lineRule="auto"/>
        <w:jc w:val="center"/>
        <w:rPr>
          <w:rFonts w:ascii="仿宋" w:hAnsi="仿宋" w:eastAsia="仿宋" w:cs="仿宋"/>
          <w:b/>
          <w:bCs/>
          <w:w w:val="100"/>
          <w:szCs w:val="44"/>
        </w:rPr>
      </w:pPr>
      <w:r>
        <w:rPr>
          <w:rFonts w:hint="eastAsia" w:ascii="仿宋" w:hAnsi="仿宋" w:eastAsia="仿宋" w:cs="仿宋"/>
          <w:b/>
          <w:bCs/>
          <w:w w:val="100"/>
          <w:szCs w:val="44"/>
          <w:lang w:eastAsia="zh-CN"/>
        </w:rPr>
        <w:t>项目前期工作经费</w:t>
      </w:r>
      <w:r>
        <w:rPr>
          <w:rFonts w:hint="eastAsia" w:ascii="仿宋" w:hAnsi="仿宋" w:eastAsia="仿宋" w:cs="仿宋"/>
          <w:b/>
          <w:bCs/>
          <w:w w:val="100"/>
          <w:szCs w:val="44"/>
        </w:rPr>
        <w:t>支出绩效自评报告</w:t>
      </w:r>
    </w:p>
    <w:p w14:paraId="6158AAA2">
      <w:pPr>
        <w:spacing w:line="360" w:lineRule="auto"/>
        <w:jc w:val="center"/>
        <w:rPr>
          <w:rFonts w:ascii="仿宋" w:hAnsi="仿宋" w:eastAsia="仿宋" w:cs="仿宋"/>
          <w:b/>
          <w:w w:val="100"/>
          <w:sz w:val="32"/>
          <w:szCs w:val="32"/>
        </w:rPr>
      </w:pPr>
    </w:p>
    <w:p w14:paraId="2F563842">
      <w:pPr>
        <w:spacing w:line="360" w:lineRule="auto"/>
        <w:jc w:val="center"/>
        <w:rPr>
          <w:rFonts w:ascii="仿宋" w:hAnsi="仿宋" w:eastAsia="仿宋" w:cs="仿宋"/>
          <w:w w:val="100"/>
          <w:sz w:val="32"/>
          <w:szCs w:val="32"/>
        </w:rPr>
      </w:pPr>
    </w:p>
    <w:p w14:paraId="23F19DA9">
      <w:pPr>
        <w:spacing w:line="360" w:lineRule="auto"/>
        <w:jc w:val="center"/>
        <w:rPr>
          <w:rFonts w:ascii="仿宋" w:hAnsi="仿宋" w:eastAsia="仿宋" w:cs="仿宋"/>
          <w:w w:val="100"/>
          <w:sz w:val="32"/>
          <w:szCs w:val="32"/>
        </w:rPr>
      </w:pPr>
    </w:p>
    <w:p w14:paraId="124DA9CA">
      <w:pPr>
        <w:spacing w:line="360" w:lineRule="auto"/>
        <w:jc w:val="center"/>
        <w:rPr>
          <w:rFonts w:ascii="仿宋" w:hAnsi="仿宋" w:eastAsia="仿宋" w:cs="仿宋"/>
          <w:w w:val="100"/>
          <w:sz w:val="32"/>
          <w:szCs w:val="32"/>
        </w:rPr>
      </w:pPr>
    </w:p>
    <w:p w14:paraId="2E45E6D1">
      <w:pPr>
        <w:spacing w:line="360" w:lineRule="auto"/>
        <w:jc w:val="center"/>
        <w:rPr>
          <w:rFonts w:ascii="仿宋" w:hAnsi="仿宋" w:eastAsia="仿宋" w:cs="仿宋"/>
          <w:w w:val="100"/>
          <w:sz w:val="32"/>
          <w:szCs w:val="32"/>
        </w:rPr>
      </w:pPr>
    </w:p>
    <w:p w14:paraId="51B03C7C">
      <w:pPr>
        <w:spacing w:line="360" w:lineRule="auto"/>
        <w:rPr>
          <w:rFonts w:ascii="仿宋" w:hAnsi="仿宋" w:eastAsia="仿宋" w:cs="仿宋"/>
          <w:w w:val="100"/>
          <w:sz w:val="32"/>
          <w:szCs w:val="32"/>
        </w:rPr>
      </w:pPr>
    </w:p>
    <w:p w14:paraId="0EBF8DC5">
      <w:pPr>
        <w:spacing w:line="360" w:lineRule="auto"/>
        <w:jc w:val="center"/>
        <w:rPr>
          <w:rFonts w:hint="default" w:ascii="仿宋" w:hAnsi="仿宋" w:eastAsia="仿宋" w:cs="仿宋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单位名称：</w:t>
      </w:r>
      <w:r>
        <w:rPr>
          <w:rFonts w:hint="eastAsia" w:ascii="仿宋" w:hAnsi="仿宋" w:eastAsia="仿宋" w:cs="仿宋"/>
          <w:w w:val="100"/>
          <w:sz w:val="32"/>
          <w:szCs w:val="32"/>
          <w:u w:val="single"/>
        </w:rPr>
        <w:t xml:space="preserve">    （盖章）</w:t>
      </w:r>
      <w:r>
        <w:rPr>
          <w:rFonts w:hint="eastAsia" w:ascii="仿宋" w:hAnsi="仿宋" w:eastAsia="仿宋" w:cs="仿宋"/>
          <w:w w:val="100"/>
          <w:sz w:val="32"/>
          <w:szCs w:val="32"/>
          <w:u w:val="single"/>
          <w:lang w:val="en-US" w:eastAsia="zh-CN"/>
        </w:rPr>
        <w:t xml:space="preserve">  </w:t>
      </w:r>
    </w:p>
    <w:p w14:paraId="6B0222DA">
      <w:pPr>
        <w:spacing w:line="360" w:lineRule="auto"/>
        <w:ind w:firstLine="3200" w:firstLineChars="1000"/>
        <w:rPr>
          <w:rFonts w:ascii="仿宋" w:hAnsi="仿宋" w:eastAsia="仿宋" w:cs="仿宋"/>
          <w:w w:val="100"/>
          <w:sz w:val="32"/>
          <w:szCs w:val="32"/>
        </w:rPr>
      </w:pPr>
    </w:p>
    <w:p w14:paraId="727EA4DE">
      <w:pPr>
        <w:spacing w:line="360" w:lineRule="auto"/>
        <w:ind w:firstLine="3200" w:firstLineChars="1000"/>
        <w:rPr>
          <w:rFonts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202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w w:val="100"/>
          <w:sz w:val="32"/>
          <w:szCs w:val="32"/>
        </w:rPr>
        <w:t>年6月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w w:val="100"/>
          <w:sz w:val="32"/>
          <w:szCs w:val="32"/>
        </w:rPr>
        <w:t>日</w:t>
      </w:r>
    </w:p>
    <w:p w14:paraId="3ABC6A7E">
      <w:pPr>
        <w:spacing w:line="360" w:lineRule="auto"/>
        <w:jc w:val="center"/>
        <w:rPr>
          <w:rFonts w:ascii="仿宋" w:hAnsi="仿宋" w:eastAsia="仿宋" w:cs="仿宋"/>
          <w:w w:val="100"/>
          <w:sz w:val="32"/>
          <w:szCs w:val="32"/>
        </w:rPr>
      </w:pPr>
    </w:p>
    <w:p w14:paraId="7920EF78">
      <w:pPr>
        <w:widowControl/>
        <w:spacing w:line="360" w:lineRule="auto"/>
        <w:jc w:val="center"/>
        <w:rPr>
          <w:rFonts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（此页为封面）</w:t>
      </w:r>
    </w:p>
    <w:p w14:paraId="2BF024BF">
      <w:pPr>
        <w:widowControl/>
        <w:spacing w:line="360" w:lineRule="auto"/>
        <w:jc w:val="left"/>
        <w:rPr>
          <w:rFonts w:ascii="仿宋" w:hAnsi="仿宋" w:eastAsia="仿宋" w:cs="仿宋"/>
          <w:w w:val="100"/>
          <w:sz w:val="32"/>
          <w:szCs w:val="32"/>
        </w:rPr>
      </w:pPr>
      <w:r>
        <w:rPr>
          <w:rFonts w:ascii="仿宋" w:hAnsi="仿宋" w:eastAsia="仿宋" w:cs="仿宋"/>
          <w:w w:val="100"/>
          <w:sz w:val="32"/>
          <w:szCs w:val="32"/>
        </w:rPr>
        <w:br w:type="page"/>
      </w:r>
    </w:p>
    <w:p w14:paraId="6CD08BB9">
      <w:pPr>
        <w:widowControl/>
        <w:spacing w:line="360" w:lineRule="auto"/>
        <w:jc w:val="left"/>
        <w:rPr>
          <w:rFonts w:asciiTheme="minorEastAsia" w:hAnsiTheme="minorEastAsia" w:eastAsiaTheme="minorEastAsia"/>
          <w:w w:val="100"/>
          <w:sz w:val="28"/>
          <w:szCs w:val="28"/>
        </w:rPr>
      </w:pPr>
    </w:p>
    <w:p w14:paraId="78D31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w w:val="8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w w:val="80"/>
          <w:sz w:val="44"/>
          <w:szCs w:val="44"/>
        </w:rPr>
        <w:t>怀化市发展和改革委员会</w:t>
      </w:r>
    </w:p>
    <w:p w14:paraId="1D4E5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w w:val="80"/>
          <w:sz w:val="44"/>
          <w:szCs w:val="44"/>
          <w:lang w:val="en-US" w:eastAsia="zh-CN"/>
        </w:rPr>
        <w:t>2025年度项目前期工作经费</w:t>
      </w:r>
      <w:r>
        <w:rPr>
          <w:rFonts w:hint="eastAsia" w:ascii="方正小标宋简体" w:hAnsi="方正小标宋简体" w:eastAsia="方正小标宋简体" w:cs="方正小标宋简体"/>
          <w:b/>
          <w:w w:val="80"/>
          <w:sz w:val="44"/>
          <w:szCs w:val="44"/>
        </w:rPr>
        <w:t>支出绩效自评报告</w:t>
      </w:r>
    </w:p>
    <w:p w14:paraId="29D7ECFF">
      <w:pPr>
        <w:ind w:firstLine="708" w:firstLineChars="236"/>
        <w:rPr>
          <w:rFonts w:hint="eastAsia" w:ascii="仿宋" w:hAnsi="仿宋" w:eastAsia="仿宋"/>
          <w:w w:val="100"/>
          <w:sz w:val="30"/>
          <w:szCs w:val="30"/>
        </w:rPr>
      </w:pPr>
    </w:p>
    <w:p w14:paraId="2CDA9736">
      <w:pPr>
        <w:ind w:firstLine="758" w:firstLineChars="236"/>
        <w:rPr>
          <w:rFonts w:hint="eastAsia" w:ascii="黑体" w:hAnsi="黑体" w:eastAsia="黑体" w:cs="黑体"/>
          <w:b/>
          <w:bCs/>
          <w:w w:val="1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w w:val="100"/>
          <w:sz w:val="32"/>
          <w:szCs w:val="32"/>
        </w:rPr>
        <w:t>一、项目概况</w:t>
      </w:r>
    </w:p>
    <w:p w14:paraId="70B20D68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（一）项目基本情况</w:t>
      </w:r>
    </w:p>
    <w:p w14:paraId="2DC73738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1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项目主管部门在该项目管理中的职能</w:t>
      </w:r>
    </w:p>
    <w:p w14:paraId="7C96862B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eastAsia="zh-CN"/>
        </w:rPr>
      </w:pPr>
      <w:r>
        <w:rPr>
          <w:rFonts w:ascii="仿宋" w:hAnsi="仿宋" w:eastAsia="仿宋"/>
          <w:w w:val="100"/>
          <w:sz w:val="32"/>
          <w:szCs w:val="32"/>
        </w:rPr>
        <w:t>怀化市发展和改革委员会作为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全市项目前期工作</w:t>
      </w:r>
      <w:r>
        <w:rPr>
          <w:rFonts w:ascii="仿宋" w:hAnsi="仿宋" w:eastAsia="仿宋"/>
          <w:w w:val="100"/>
          <w:sz w:val="32"/>
          <w:szCs w:val="32"/>
        </w:rPr>
        <w:t>的统筹规划与协调推进的核心职能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部门，主要</w:t>
      </w:r>
      <w:r>
        <w:rPr>
          <w:rFonts w:ascii="仿宋" w:hAnsi="仿宋" w:eastAsia="仿宋"/>
          <w:w w:val="100"/>
          <w:sz w:val="32"/>
          <w:szCs w:val="32"/>
        </w:rPr>
        <w:t>负责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重大项目的谋划储备、前期工作统筹推进、项目建议书与可研报告等前期成果的组织论证、项目申报手续协调等工作，项目前期工作经费是保障上述职能有效履行的重要财政支撑。</w:t>
      </w:r>
    </w:p>
    <w:p w14:paraId="3C0B584F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2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项目立项、资金申报的依据</w:t>
      </w:r>
    </w:p>
    <w:p w14:paraId="29C7F639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根据市委、市政府关于加强市重点项目建设管理，优化市重点项目建设服务，保障市重点建设项目顺利实施，促进全市经济社会高质量发展，结合年度重大项目前期工作任务，</w:t>
      </w:r>
      <w:r>
        <w:rPr>
          <w:rFonts w:ascii="仿宋" w:hAnsi="仿宋" w:eastAsia="仿宋"/>
          <w:w w:val="100"/>
          <w:sz w:val="32"/>
          <w:szCs w:val="32"/>
        </w:rPr>
        <w:t>依据</w:t>
      </w:r>
      <w:r>
        <w:rPr>
          <w:rFonts w:hint="eastAsia" w:ascii="仿宋" w:hAnsi="仿宋" w:eastAsia="仿宋"/>
          <w:w w:val="100"/>
          <w:sz w:val="32"/>
          <w:szCs w:val="32"/>
        </w:rPr>
        <w:t>《怀化市重点建设项目管理办法》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w w:val="100"/>
          <w:sz w:val="32"/>
          <w:szCs w:val="32"/>
        </w:rPr>
        <w:t>怀政发[2024]3号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w w:val="100"/>
          <w:sz w:val="32"/>
          <w:szCs w:val="32"/>
        </w:rPr>
        <w:t>，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市发改委年度预算申报设立项目前期工作经费，用于保障全市重点项目前期工作有序开展</w:t>
      </w:r>
      <w:r>
        <w:rPr>
          <w:rFonts w:hint="eastAsia" w:ascii="仿宋" w:hAnsi="仿宋" w:eastAsia="仿宋"/>
          <w:w w:val="100"/>
          <w:sz w:val="32"/>
          <w:szCs w:val="32"/>
        </w:rPr>
        <w:t>。</w:t>
      </w:r>
    </w:p>
    <w:p w14:paraId="1FC87B72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3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资金管理办法制定情况，资金支持具体项目的条件、范围与支持方式概况</w:t>
      </w:r>
    </w:p>
    <w:p w14:paraId="4A6CBA03">
      <w:pPr>
        <w:ind w:firstLine="755" w:firstLineChars="236"/>
        <w:rPr>
          <w:rFonts w:hint="eastAsia" w:ascii="仿宋" w:hAnsi="仿宋" w:eastAsia="仿宋"/>
          <w:color w:val="auto"/>
          <w:w w:val="1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w w:val="100"/>
          <w:sz w:val="32"/>
          <w:szCs w:val="32"/>
          <w:lang w:eastAsia="zh-CN"/>
        </w:rPr>
        <w:t>资金管理严格执行《专项资金管理办法》，资金使用遵循“专款专用、专项核算、规范高效”的原则，</w:t>
      </w:r>
      <w:r>
        <w:rPr>
          <w:rFonts w:ascii="仿宋" w:hAnsi="仿宋" w:eastAsia="仿宋"/>
          <w:color w:val="auto"/>
          <w:w w:val="100"/>
          <w:sz w:val="32"/>
          <w:szCs w:val="32"/>
        </w:rPr>
        <w:t>资金支持条件为</w:t>
      </w:r>
      <w:r>
        <w:rPr>
          <w:rFonts w:hint="eastAsia" w:ascii="仿宋" w:hAnsi="仿宋" w:eastAsia="仿宋"/>
          <w:color w:val="auto"/>
          <w:w w:val="100"/>
          <w:sz w:val="32"/>
          <w:szCs w:val="32"/>
          <w:lang w:eastAsia="zh-CN"/>
        </w:rPr>
        <w:t>市发改委固定资产投资科、重点建设项目事务中心等业务科室开展项目前期相关工作的支出，</w:t>
      </w:r>
      <w:r>
        <w:rPr>
          <w:rFonts w:ascii="仿宋" w:hAnsi="仿宋" w:eastAsia="仿宋"/>
          <w:color w:val="auto"/>
          <w:w w:val="100"/>
          <w:sz w:val="32"/>
          <w:szCs w:val="32"/>
        </w:rPr>
        <w:t>具体支持范围包括</w:t>
      </w:r>
      <w:r>
        <w:rPr>
          <w:rFonts w:hint="eastAsia" w:ascii="仿宋" w:hAnsi="仿宋" w:eastAsia="仿宋"/>
          <w:color w:val="auto"/>
          <w:w w:val="100"/>
          <w:sz w:val="32"/>
          <w:szCs w:val="32"/>
          <w:lang w:eastAsia="zh-CN"/>
        </w:rPr>
        <w:t>专家咨询费、报告编制费、调研差旅费、办公费等，支持方式为财政根据年度预算批复指标直接拨付至市发改委本级。</w:t>
      </w:r>
    </w:p>
    <w:p w14:paraId="61F9B430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4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资金分配的原则及考虑因素</w:t>
      </w:r>
    </w:p>
    <w:p w14:paraId="5D9D3DF4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资金分配以年度前期工作任务量为基础，结合项目谋划储备数量、重大项目推进难度、跨部门协调工作量等因素，优先保障产业发展、基础设施、民生保障、生态环保等领域重点项目前期工作需求，兼顾日常业务运转的合理支出。</w:t>
      </w:r>
    </w:p>
    <w:p w14:paraId="511625A6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（二）项目绩效目标</w:t>
      </w:r>
    </w:p>
    <w:p w14:paraId="57E51A00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1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项目主要内容</w:t>
      </w:r>
    </w:p>
    <w:p w14:paraId="674679F1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规范有序推进项目各项前期筹备工作，按期完成项目立项、可行性研究、勘察设计、报批评审、手续办理等前期任务，保障项目前期工作质量、进度、合规性，为项目顺利落地实施奠定坚实基础，提升项目谋划质效和资金使用效益。</w:t>
      </w:r>
    </w:p>
    <w:p w14:paraId="168F136C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2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项目应实现的具体绩效目标，包括目标的量化、细化情况以及项目实施进度计划</w:t>
      </w:r>
    </w:p>
    <w:p w14:paraId="1CE2535C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（1）数量指标：完成年度计划内项目前期调研、方案编制、文本报审、评审对接、手续办理等全部前期工作任务。</w:t>
      </w:r>
    </w:p>
    <w:p w14:paraId="75F03BEA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（2）质量指标：前期资料编制规范、内容完整、数据准确，符合行业规范及审批要求，顺利通过各部门审核评审，无重大错漏、无违规问题。</w:t>
      </w:r>
    </w:p>
    <w:p w14:paraId="7C8D0F90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（3）时效指标：严格按照年度工作时序进度，按期完成各项前期编制、报审、整改、备案工作，不拖延滞后</w:t>
      </w:r>
    </w:p>
    <w:p w14:paraId="6CD8ADBF">
      <w:pPr>
        <w:numPr>
          <w:ilvl w:val="0"/>
          <w:numId w:val="0"/>
        </w:numPr>
        <w:ind w:firstLine="640" w:firstLineChars="200"/>
        <w:rPr>
          <w:rFonts w:ascii="仿宋" w:hAnsi="仿宋" w:eastAsia="仿宋"/>
          <w:color w:val="auto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（4）成本指标：严格控制项目前期工作经费支出，厉行节约，按预算规范使用资金，不超预算、不超标准开支。</w:t>
      </w:r>
    </w:p>
    <w:p w14:paraId="61068EA9">
      <w:pPr>
        <w:numPr>
          <w:ilvl w:val="0"/>
          <w:numId w:val="0"/>
        </w:numPr>
        <w:ind w:firstLine="640" w:firstLineChars="200"/>
        <w:rPr>
          <w:rFonts w:ascii="仿宋" w:hAnsi="仿宋" w:eastAsia="仿宋"/>
          <w:color w:val="auto"/>
          <w:w w:val="100"/>
          <w:sz w:val="32"/>
          <w:szCs w:val="32"/>
        </w:rPr>
      </w:pPr>
      <w:r>
        <w:rPr>
          <w:rFonts w:ascii="仿宋" w:hAnsi="仿宋" w:eastAsia="仿宋"/>
          <w:color w:val="auto"/>
          <w:w w:val="100"/>
          <w:sz w:val="32"/>
          <w:szCs w:val="32"/>
        </w:rPr>
        <w:t>进度计划</w:t>
      </w:r>
      <w:r>
        <w:rPr>
          <w:rFonts w:hint="eastAsia" w:ascii="仿宋" w:hAnsi="仿宋" w:eastAsia="仿宋"/>
          <w:color w:val="auto"/>
          <w:w w:val="100"/>
          <w:sz w:val="32"/>
          <w:szCs w:val="32"/>
        </w:rPr>
        <w:t>如下</w:t>
      </w:r>
      <w:r>
        <w:rPr>
          <w:rFonts w:ascii="仿宋" w:hAnsi="仿宋" w:eastAsia="仿宋"/>
          <w:color w:val="auto"/>
          <w:w w:val="100"/>
          <w:sz w:val="32"/>
          <w:szCs w:val="32"/>
        </w:rPr>
        <w:t>：</w:t>
      </w:r>
    </w:p>
    <w:p w14:paraId="02855B4C">
      <w:pPr>
        <w:ind w:firstLine="640" w:firstLineChars="200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第</w:t>
      </w:r>
      <w:r>
        <w:rPr>
          <w:rFonts w:ascii="仿宋" w:hAnsi="仿宋" w:eastAsia="仿宋"/>
          <w:w w:val="100"/>
          <w:sz w:val="32"/>
          <w:szCs w:val="32"/>
        </w:rPr>
        <w:t>一季度：</w:t>
      </w:r>
      <w:r>
        <w:rPr>
          <w:rFonts w:hint="eastAsia" w:ascii="仿宋" w:hAnsi="仿宋" w:eastAsia="仿宋"/>
          <w:w w:val="100"/>
          <w:sz w:val="32"/>
          <w:szCs w:val="32"/>
        </w:rPr>
        <w:t>完成项目谋划清单梳理，启动重点项目前期资料收集与调研;</w:t>
      </w:r>
    </w:p>
    <w:p w14:paraId="74F54106">
      <w:pPr>
        <w:ind w:firstLine="640" w:firstLineChars="200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第</w:t>
      </w:r>
      <w:r>
        <w:rPr>
          <w:rFonts w:ascii="仿宋" w:hAnsi="仿宋" w:eastAsia="仿宋"/>
          <w:w w:val="100"/>
          <w:sz w:val="32"/>
          <w:szCs w:val="32"/>
        </w:rPr>
        <w:t>二季度：</w:t>
      </w:r>
      <w:r>
        <w:rPr>
          <w:rFonts w:hint="eastAsia" w:ascii="仿宋" w:hAnsi="仿宋" w:eastAsia="仿宋"/>
          <w:w w:val="100"/>
          <w:sz w:val="32"/>
          <w:szCs w:val="32"/>
        </w:rPr>
        <w:t>完成重点项目可研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建议书编制及专家评审;</w:t>
      </w:r>
    </w:p>
    <w:p w14:paraId="56592350">
      <w:pPr>
        <w:ind w:firstLine="640" w:firstLineChars="200"/>
        <w:rPr>
          <w:rFonts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第</w:t>
      </w:r>
      <w:r>
        <w:rPr>
          <w:rFonts w:ascii="仿宋" w:hAnsi="仿宋" w:eastAsia="仿宋"/>
          <w:w w:val="100"/>
          <w:sz w:val="32"/>
          <w:szCs w:val="32"/>
        </w:rPr>
        <w:t>三季度：</w:t>
      </w:r>
      <w:r>
        <w:rPr>
          <w:rFonts w:hint="eastAsia" w:ascii="仿宋" w:hAnsi="仿宋" w:eastAsia="仿宋"/>
          <w:w w:val="100"/>
          <w:sz w:val="32"/>
          <w:szCs w:val="32"/>
        </w:rPr>
        <w:t>完成项目申报材料编制及上级对接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等相关工作</w:t>
      </w:r>
      <w:r>
        <w:rPr>
          <w:rFonts w:ascii="仿宋" w:hAnsi="仿宋" w:eastAsia="仿宋"/>
          <w:w w:val="100"/>
          <w:sz w:val="32"/>
          <w:szCs w:val="32"/>
        </w:rPr>
        <w:t>；</w:t>
      </w:r>
    </w:p>
    <w:p w14:paraId="406EEDA6">
      <w:pPr>
        <w:ind w:firstLine="640" w:firstLineChars="200"/>
        <w:rPr>
          <w:rFonts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第四季度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w w:val="100"/>
          <w:sz w:val="32"/>
          <w:szCs w:val="32"/>
        </w:rPr>
        <w:t>完成剩余前期工作，开展绩效自评与工作总结。</w:t>
      </w:r>
    </w:p>
    <w:p w14:paraId="16AF349E">
      <w:pPr>
        <w:ind w:firstLine="640" w:firstLineChars="200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3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分析评价申报内容是否与实际相符，申报目标是否合理可行</w:t>
      </w:r>
    </w:p>
    <w:p w14:paraId="3180D8E7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申报内容与实际工作推进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基本</w:t>
      </w:r>
      <w:r>
        <w:rPr>
          <w:rFonts w:hint="eastAsia" w:ascii="仿宋" w:hAnsi="仿宋" w:eastAsia="仿宋"/>
          <w:w w:val="100"/>
          <w:sz w:val="32"/>
          <w:szCs w:val="32"/>
        </w:rPr>
        <w:t>相符，申报目标设置科学合理，均基于年度前期工作实际任务制定，未出现脱离实际的过高或过低设定，具备可实现性与可操作性。</w:t>
      </w:r>
    </w:p>
    <w:p w14:paraId="7CCFDA37">
      <w:pPr>
        <w:ind w:firstLine="640" w:firstLineChars="200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（三）项目自评步骤及方法</w:t>
      </w:r>
    </w:p>
    <w:p w14:paraId="578E40B4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本次绩效自评采用“资料核查+数据比对”相结合的方式:</w:t>
      </w:r>
    </w:p>
    <w:p w14:paraId="7556AC0E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1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梳理项目资金预算、拨付、支出台账及前期工作成果资料;</w:t>
      </w:r>
    </w:p>
    <w:p w14:paraId="5C487998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2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对照绩效目标，逐项核查指标完成情况，统计相关数据;</w:t>
      </w:r>
    </w:p>
    <w:p w14:paraId="7A1427A3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3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向项目单位、协作部门及内部业务科室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收集</w:t>
      </w:r>
      <w:r>
        <w:rPr>
          <w:rFonts w:hint="eastAsia" w:ascii="仿宋" w:hAnsi="仿宋" w:eastAsia="仿宋"/>
          <w:w w:val="100"/>
          <w:sz w:val="32"/>
          <w:szCs w:val="32"/>
        </w:rPr>
        <w:t>满意度调查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反馈</w:t>
      </w:r>
      <w:r>
        <w:rPr>
          <w:rFonts w:hint="eastAsia" w:ascii="仿宋" w:hAnsi="仿宋" w:eastAsia="仿宋"/>
          <w:w w:val="100"/>
          <w:sz w:val="32"/>
          <w:szCs w:val="32"/>
        </w:rPr>
        <w:t>;</w:t>
      </w:r>
    </w:p>
    <w:p w14:paraId="0019A976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4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综合分析资金使用效益与工作成效，查摆问题并提出改进措施，形成自评结论。</w:t>
      </w:r>
    </w:p>
    <w:p w14:paraId="2F1521BC">
      <w:pPr>
        <w:ind w:firstLine="758" w:firstLineChars="236"/>
        <w:rPr>
          <w:rFonts w:hint="eastAsia" w:ascii="黑体" w:hAnsi="黑体" w:eastAsia="黑体" w:cs="黑体"/>
          <w:b/>
          <w:bCs/>
          <w:w w:val="1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w w:val="100"/>
          <w:sz w:val="32"/>
          <w:szCs w:val="32"/>
        </w:rPr>
        <w:t>二、项目资金申报及使用情况</w:t>
      </w:r>
    </w:p>
    <w:p w14:paraId="6D093B94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（一）项目资金申报及批复情况</w:t>
      </w:r>
    </w:p>
    <w:p w14:paraId="39F8C6DF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eastAsia="zh-CN"/>
        </w:rPr>
      </w:pPr>
      <w:r>
        <w:rPr>
          <w:rFonts w:ascii="仿宋" w:hAnsi="仿宋" w:eastAsia="仿宋"/>
          <w:w w:val="100"/>
          <w:sz w:val="32"/>
          <w:szCs w:val="32"/>
        </w:rPr>
        <w:t>项目资金申报及批复严格遵循相关程序。根据文件内容，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项目前期工作</w:t>
      </w:r>
      <w:r>
        <w:rPr>
          <w:rFonts w:ascii="仿宋" w:hAnsi="仿宋" w:eastAsia="仿宋"/>
          <w:w w:val="100"/>
          <w:sz w:val="32"/>
          <w:szCs w:val="32"/>
        </w:rPr>
        <w:t>经费的资金来源主要为一般公共预算资金，由怀化市发展和改革委员会作为实施单位申报。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经</w:t>
      </w:r>
      <w:r>
        <w:rPr>
          <w:rFonts w:ascii="仿宋" w:hAnsi="仿宋" w:eastAsia="仿宋"/>
          <w:w w:val="100"/>
          <w:sz w:val="32"/>
          <w:szCs w:val="32"/>
        </w:rPr>
        <w:t>怀财预〔202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w w:val="100"/>
          <w:sz w:val="32"/>
          <w:szCs w:val="32"/>
        </w:rPr>
        <w:t>〕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4</w:t>
      </w:r>
      <w:r>
        <w:rPr>
          <w:rFonts w:ascii="仿宋" w:hAnsi="仿宋" w:eastAsia="仿宋"/>
          <w:w w:val="100"/>
          <w:sz w:val="32"/>
          <w:szCs w:val="32"/>
        </w:rPr>
        <w:t>号等文件对资金进行了批复，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预算金额为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150万元，</w:t>
      </w:r>
      <w:r>
        <w:rPr>
          <w:rFonts w:ascii="仿宋" w:hAnsi="仿宋" w:eastAsia="仿宋"/>
          <w:w w:val="100"/>
          <w:sz w:val="32"/>
          <w:szCs w:val="32"/>
        </w:rPr>
        <w:t>明确了资金用途，如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办公</w:t>
      </w:r>
      <w:r>
        <w:rPr>
          <w:rFonts w:ascii="仿宋" w:hAnsi="仿宋" w:eastAsia="仿宋"/>
          <w:w w:val="100"/>
          <w:sz w:val="32"/>
          <w:szCs w:val="32"/>
        </w:rPr>
        <w:t>费、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差旅</w:t>
      </w:r>
      <w:r>
        <w:rPr>
          <w:rFonts w:ascii="仿宋" w:hAnsi="仿宋" w:eastAsia="仿宋"/>
          <w:w w:val="100"/>
          <w:sz w:val="32"/>
          <w:szCs w:val="32"/>
        </w:rPr>
        <w:t>费等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，无</w:t>
      </w:r>
      <w:r>
        <w:rPr>
          <w:rFonts w:ascii="仿宋" w:hAnsi="仿宋" w:eastAsia="仿宋"/>
          <w:w w:val="100"/>
          <w:sz w:val="32"/>
          <w:szCs w:val="32"/>
        </w:rPr>
        <w:t>预算调整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情况。申报及批复程序规范，资料齐全，符合市级财政项目资金申报管理要求。</w:t>
      </w:r>
    </w:p>
    <w:p w14:paraId="7926E18A">
      <w:pPr>
        <w:numPr>
          <w:ilvl w:val="0"/>
          <w:numId w:val="1"/>
        </w:num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资金计划、到位及使用情况</w:t>
      </w:r>
    </w:p>
    <w:p w14:paraId="502F72D2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1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资金计划：</w:t>
      </w:r>
    </w:p>
    <w:p w14:paraId="6D3ABDE7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项目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前期工作经费根据</w:t>
      </w:r>
      <w:r>
        <w:rPr>
          <w:rFonts w:ascii="仿宋" w:hAnsi="仿宋" w:eastAsia="仿宋"/>
          <w:w w:val="100"/>
          <w:sz w:val="32"/>
          <w:szCs w:val="32"/>
        </w:rPr>
        <w:t>怀财预〔202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w w:val="100"/>
          <w:sz w:val="32"/>
          <w:szCs w:val="32"/>
        </w:rPr>
        <w:t>〕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4</w:t>
      </w:r>
      <w:r>
        <w:rPr>
          <w:rFonts w:ascii="仿宋" w:hAnsi="仿宋" w:eastAsia="仿宋"/>
          <w:w w:val="100"/>
          <w:sz w:val="32"/>
          <w:szCs w:val="32"/>
        </w:rPr>
        <w:t>号文件批复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150万元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具体支出计划包括：差旅费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90</w:t>
      </w:r>
      <w:r>
        <w:rPr>
          <w:rFonts w:ascii="仿宋" w:hAnsi="仿宋" w:eastAsia="仿宋"/>
          <w:w w:val="100"/>
          <w:sz w:val="32"/>
          <w:szCs w:val="32"/>
        </w:rPr>
        <w:t>万元、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公务用车运行维护费</w:t>
      </w:r>
      <w:r>
        <w:rPr>
          <w:rFonts w:ascii="仿宋" w:hAnsi="仿宋" w:eastAsia="仿宋"/>
          <w:w w:val="100"/>
          <w:sz w:val="32"/>
          <w:szCs w:val="32"/>
        </w:rPr>
        <w:t>30万元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、公务接待费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10万元、办公费10万</w:t>
      </w:r>
      <w:bookmarkStart w:id="0" w:name="_GoBack"/>
      <w:bookmarkEnd w:id="0"/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元、其他商品服务支出10万元</w:t>
      </w:r>
      <w:r>
        <w:rPr>
          <w:rFonts w:ascii="仿宋" w:hAnsi="仿宋" w:eastAsia="仿宋"/>
          <w:w w:val="100"/>
          <w:sz w:val="32"/>
          <w:szCs w:val="32"/>
        </w:rPr>
        <w:t>等，均为市级一般公共预算资金（经费拨款）。</w:t>
      </w:r>
    </w:p>
    <w:p w14:paraId="4333CBE9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2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资金到位：</w:t>
      </w:r>
    </w:p>
    <w:p w14:paraId="33404974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截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至</w:t>
      </w:r>
      <w:r>
        <w:rPr>
          <w:rFonts w:ascii="仿宋" w:hAnsi="仿宋" w:eastAsia="仿宋"/>
          <w:w w:val="100"/>
          <w:sz w:val="32"/>
          <w:szCs w:val="32"/>
        </w:rPr>
        <w:t>评价时点，项目资金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实际</w:t>
      </w:r>
      <w:r>
        <w:rPr>
          <w:rFonts w:ascii="仿宋" w:hAnsi="仿宋" w:eastAsia="仿宋"/>
          <w:w w:val="100"/>
          <w:sz w:val="32"/>
          <w:szCs w:val="32"/>
        </w:rPr>
        <w:t>到位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131.79万元，到位率88%</w:t>
      </w:r>
      <w:r>
        <w:rPr>
          <w:rFonts w:ascii="仿宋" w:hAnsi="仿宋" w:eastAsia="仿宋"/>
          <w:w w:val="100"/>
          <w:sz w:val="32"/>
          <w:szCs w:val="32"/>
        </w:rPr>
        <w:t>，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具体是：差旅费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90</w:t>
      </w:r>
      <w:r>
        <w:rPr>
          <w:rFonts w:ascii="仿宋" w:hAnsi="仿宋" w:eastAsia="仿宋"/>
          <w:w w:val="100"/>
          <w:sz w:val="32"/>
          <w:szCs w:val="32"/>
        </w:rPr>
        <w:t>万元、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公务用车运行维护费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19.88</w:t>
      </w:r>
      <w:r>
        <w:rPr>
          <w:rFonts w:ascii="仿宋" w:hAnsi="仿宋" w:eastAsia="仿宋"/>
          <w:w w:val="100"/>
          <w:sz w:val="32"/>
          <w:szCs w:val="32"/>
        </w:rPr>
        <w:t>万元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、公务接待费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1.91万元、办公费10万元、其他商品服务支出10万元</w:t>
      </w:r>
      <w:r>
        <w:rPr>
          <w:rFonts w:ascii="仿宋" w:hAnsi="仿宋" w:eastAsia="仿宋"/>
          <w:w w:val="100"/>
          <w:sz w:val="32"/>
          <w:szCs w:val="32"/>
        </w:rPr>
        <w:t>。资金到位率及及时性较高，未出现大面积未到位或到位不及时的情况，仅部分指标存在少量余额，与项目进度或支付流程相关。</w:t>
      </w:r>
    </w:p>
    <w:p w14:paraId="33F0D352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highlight w:val="none"/>
        </w:rPr>
      </w:pPr>
      <w:r>
        <w:rPr>
          <w:rFonts w:ascii="仿宋" w:hAnsi="仿宋" w:eastAsia="仿宋"/>
          <w:w w:val="100"/>
          <w:sz w:val="32"/>
          <w:szCs w:val="32"/>
          <w:highlight w:val="none"/>
        </w:rPr>
        <w:t>3</w:t>
      </w:r>
      <w:r>
        <w:rPr>
          <w:rFonts w:hint="eastAsia" w:ascii="仿宋" w:hAnsi="仿宋" w:eastAsia="仿宋"/>
          <w:w w:val="100"/>
          <w:sz w:val="32"/>
          <w:szCs w:val="32"/>
          <w:highlight w:val="none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  <w:highlight w:val="none"/>
        </w:rPr>
        <w:t>资金使用：</w:t>
      </w:r>
    </w:p>
    <w:p w14:paraId="31254C49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  <w:highlight w:val="none"/>
        </w:rPr>
        <w:t>截</w:t>
      </w:r>
      <w:r>
        <w:rPr>
          <w:rFonts w:hint="eastAsia" w:ascii="仿宋" w:hAnsi="仿宋" w:eastAsia="仿宋"/>
          <w:w w:val="100"/>
          <w:sz w:val="32"/>
          <w:szCs w:val="32"/>
          <w:highlight w:val="none"/>
          <w:lang w:eastAsia="zh-CN"/>
        </w:rPr>
        <w:t>至</w:t>
      </w:r>
      <w:r>
        <w:rPr>
          <w:rFonts w:ascii="仿宋" w:hAnsi="仿宋" w:eastAsia="仿宋"/>
          <w:w w:val="100"/>
          <w:sz w:val="32"/>
          <w:szCs w:val="32"/>
          <w:highlight w:val="none"/>
        </w:rPr>
        <w:t>评价时点，项目资金</w:t>
      </w:r>
      <w:r>
        <w:rPr>
          <w:rFonts w:hint="eastAsia" w:ascii="仿宋" w:hAnsi="仿宋" w:eastAsia="仿宋"/>
          <w:w w:val="100"/>
          <w:sz w:val="32"/>
          <w:szCs w:val="32"/>
          <w:highlight w:val="none"/>
          <w:lang w:eastAsia="zh-CN"/>
        </w:rPr>
        <w:t>实际</w:t>
      </w:r>
      <w:r>
        <w:rPr>
          <w:rFonts w:ascii="仿宋" w:hAnsi="仿宋" w:eastAsia="仿宋"/>
          <w:w w:val="100"/>
          <w:sz w:val="32"/>
          <w:szCs w:val="32"/>
          <w:highlight w:val="none"/>
        </w:rPr>
        <w:t>支出</w:t>
      </w:r>
      <w:r>
        <w:rPr>
          <w:rFonts w:hint="eastAsia" w:ascii="仿宋" w:hAnsi="仿宋" w:eastAsia="仿宋"/>
          <w:w w:val="100"/>
          <w:sz w:val="32"/>
          <w:szCs w:val="32"/>
          <w:highlight w:val="none"/>
          <w:lang w:val="en-US" w:eastAsia="zh-CN"/>
        </w:rPr>
        <w:t>131.79万元，执行率100%，</w:t>
      </w:r>
      <w:r>
        <w:rPr>
          <w:rFonts w:hint="eastAsia" w:ascii="仿宋" w:hAnsi="仿宋" w:eastAsia="仿宋"/>
          <w:w w:val="100"/>
          <w:sz w:val="32"/>
          <w:szCs w:val="32"/>
          <w:highlight w:val="none"/>
        </w:rPr>
        <w:t>具体是：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差旅费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90</w:t>
      </w:r>
      <w:r>
        <w:rPr>
          <w:rFonts w:ascii="仿宋" w:hAnsi="仿宋" w:eastAsia="仿宋"/>
          <w:w w:val="100"/>
          <w:sz w:val="32"/>
          <w:szCs w:val="32"/>
        </w:rPr>
        <w:t>万元、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公务用车运行维护费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19.88</w:t>
      </w:r>
      <w:r>
        <w:rPr>
          <w:rFonts w:ascii="仿宋" w:hAnsi="仿宋" w:eastAsia="仿宋"/>
          <w:w w:val="100"/>
          <w:sz w:val="32"/>
          <w:szCs w:val="32"/>
        </w:rPr>
        <w:t>万元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、公务接待费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1.91万元、办公费10万元、其他商品服务支出10万元</w:t>
      </w:r>
      <w:r>
        <w:rPr>
          <w:rFonts w:ascii="仿宋" w:hAnsi="仿宋" w:eastAsia="仿宋"/>
          <w:w w:val="100"/>
          <w:sz w:val="32"/>
          <w:szCs w:val="32"/>
        </w:rPr>
        <w:t>。资金使用符合预算批复范围，支付标准及依据合规，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所有支出均履行事前申请、事中审核、事后报销流程</w:t>
      </w:r>
      <w:r>
        <w:rPr>
          <w:rFonts w:ascii="仿宋" w:hAnsi="仿宋" w:eastAsia="仿宋"/>
          <w:w w:val="100"/>
          <w:sz w:val="32"/>
          <w:szCs w:val="32"/>
        </w:rPr>
        <w:t>。</w:t>
      </w:r>
    </w:p>
    <w:p w14:paraId="29CCF704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（三）项目财务管理情况</w:t>
      </w:r>
    </w:p>
    <w:p w14:paraId="249D6805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建立了完善的经费管理制度，明确了支出范围、审批流程和报销标准，实行“先审批后支出”的管理模式。财务核算规范，单独建账核算项目前期费用，确保资金使用全程可追溯、可监管。</w:t>
      </w:r>
    </w:p>
    <w:p w14:paraId="4E0E2909">
      <w:pPr>
        <w:ind w:firstLine="758" w:firstLineChars="236"/>
        <w:rPr>
          <w:rFonts w:hint="eastAsia" w:ascii="黑体" w:hAnsi="黑体" w:eastAsia="黑体" w:cs="黑体"/>
          <w:b/>
          <w:bCs/>
          <w:w w:val="1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w w:val="100"/>
          <w:sz w:val="32"/>
          <w:szCs w:val="32"/>
        </w:rPr>
        <w:t>三、项目实施及管理情况</w:t>
      </w:r>
    </w:p>
    <w:p w14:paraId="0EC27D09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（一）项目组织架构及实施流程</w:t>
      </w:r>
    </w:p>
    <w:p w14:paraId="0FF7D68A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1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、业务科室</w:t>
      </w:r>
      <w:r>
        <w:rPr>
          <w:rFonts w:hint="eastAsia" w:ascii="仿宋" w:hAnsi="仿宋" w:eastAsia="仿宋"/>
          <w:w w:val="100"/>
          <w:sz w:val="32"/>
          <w:szCs w:val="32"/>
        </w:rPr>
        <w:t>制定年度前期工作清单，明确任务分工与时间节点;</w:t>
      </w:r>
    </w:p>
    <w:p w14:paraId="4E939B25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2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业务科室按清单推进项目调研、报告编制、专家评审等工作;</w:t>
      </w:r>
    </w:p>
    <w:p w14:paraId="2FE432E1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3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财务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室</w:t>
      </w:r>
      <w:r>
        <w:rPr>
          <w:rFonts w:hint="eastAsia" w:ascii="仿宋" w:hAnsi="仿宋" w:eastAsia="仿宋"/>
          <w:w w:val="100"/>
          <w:sz w:val="32"/>
          <w:szCs w:val="32"/>
        </w:rPr>
        <w:t>按规定审核经费支出，确保资金合规使用;</w:t>
      </w:r>
    </w:p>
    <w:p w14:paraId="2034DC5B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4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、业务科室</w:t>
      </w:r>
      <w:r>
        <w:rPr>
          <w:rFonts w:hint="eastAsia" w:ascii="仿宋" w:hAnsi="仿宋" w:eastAsia="仿宋"/>
          <w:w w:val="100"/>
          <w:sz w:val="32"/>
          <w:szCs w:val="32"/>
        </w:rPr>
        <w:t>定期跟踪工作进度，协调解决前期推进中的堵点问题。</w:t>
      </w:r>
    </w:p>
    <w:p w14:paraId="57E00435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（二）项目管理情况</w:t>
      </w:r>
    </w:p>
    <w:p w14:paraId="40E949AE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建立了项目前期工作台账管理制度，对每个项目的前期进展、经费使用情况进行动态跟踪;严格执行专家评审、成果审核制度，确保前期工作质量;加强跨部门沟通协作，与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相关</w:t>
      </w:r>
      <w:r>
        <w:rPr>
          <w:rFonts w:hint="eastAsia" w:ascii="仿宋" w:hAnsi="仿宋" w:eastAsia="仿宋"/>
          <w:w w:val="100"/>
          <w:sz w:val="32"/>
          <w:szCs w:val="32"/>
        </w:rPr>
        <w:t>部门建立联合推进机制，提升前期手续办理效率。</w:t>
      </w:r>
    </w:p>
    <w:p w14:paraId="2F1E3E64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（三）项目监管情况</w:t>
      </w:r>
    </w:p>
    <w:p w14:paraId="1C36C150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建立项目管理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台账</w:t>
      </w:r>
      <w:r>
        <w:rPr>
          <w:rFonts w:ascii="仿宋" w:hAnsi="仿宋" w:eastAsia="仿宋"/>
          <w:w w:val="100"/>
          <w:sz w:val="32"/>
          <w:szCs w:val="32"/>
        </w:rPr>
        <w:t>，要求实施单位每周填报进度数据，对滞后项目发出预警通知；每季度联合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有关</w:t>
      </w:r>
      <w:r>
        <w:rPr>
          <w:rFonts w:ascii="仿宋" w:hAnsi="仿宋" w:eastAsia="仿宋"/>
          <w:w w:val="100"/>
          <w:sz w:val="32"/>
          <w:szCs w:val="32"/>
        </w:rPr>
        <w:t>部门开展实地核查；对重点项目开展中期绩效评估，评估结果作为下一年度资金分配依据。</w:t>
      </w:r>
    </w:p>
    <w:p w14:paraId="05841B54">
      <w:pPr>
        <w:ind w:firstLine="758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w w:val="100"/>
          <w:sz w:val="32"/>
          <w:szCs w:val="32"/>
        </w:rPr>
        <w:t>四、项目绩效情况</w:t>
      </w:r>
    </w:p>
    <w:p w14:paraId="4C46E0FF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（一）项目完成情况</w:t>
      </w:r>
    </w:p>
    <w:p w14:paraId="0E643E11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1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完成数量</w:t>
      </w:r>
    </w:p>
    <w:p w14:paraId="653BE560">
      <w:pPr>
        <w:ind w:firstLine="755" w:firstLineChars="236"/>
        <w:rPr>
          <w:rFonts w:hint="default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完成</w:t>
      </w:r>
      <w:r>
        <w:rPr>
          <w:rFonts w:hint="default" w:ascii="仿宋" w:hAnsi="仿宋" w:eastAsia="仿宋"/>
          <w:w w:val="100"/>
          <w:sz w:val="32"/>
          <w:szCs w:val="32"/>
          <w:lang w:val="en-US" w:eastAsia="zh-CN"/>
        </w:rPr>
        <w:t>国家重大建设项目储备库595个，纳入省重点项目46个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，</w:t>
      </w:r>
      <w:r>
        <w:rPr>
          <w:rFonts w:hint="default" w:ascii="仿宋" w:hAnsi="仿宋" w:eastAsia="仿宋"/>
          <w:w w:val="100"/>
          <w:sz w:val="32"/>
          <w:szCs w:val="32"/>
          <w:lang w:val="en-US" w:eastAsia="zh-CN"/>
        </w:rPr>
        <w:t>26个重大项目纳入省“十五五”规划项目库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，完成率100%；</w:t>
      </w:r>
      <w:r>
        <w:rPr>
          <w:rFonts w:hint="default" w:ascii="仿宋" w:hAnsi="仿宋" w:eastAsia="仿宋"/>
          <w:w w:val="100"/>
          <w:sz w:val="32"/>
          <w:szCs w:val="32"/>
          <w:lang w:val="en-US" w:eastAsia="zh-CN"/>
        </w:rPr>
        <w:t>17项规划指标完成预期目标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，</w:t>
      </w:r>
      <w:r>
        <w:rPr>
          <w:rFonts w:hint="default" w:ascii="仿宋" w:hAnsi="仿宋" w:eastAsia="仿宋"/>
          <w:w w:val="100"/>
          <w:sz w:val="32"/>
          <w:szCs w:val="32"/>
          <w:lang w:val="en-US" w:eastAsia="zh-CN"/>
        </w:rPr>
        <w:t>32</w:t>
      </w:r>
      <w:r>
        <w:rPr>
          <w:rFonts w:hint="default" w:ascii="仿宋" w:hAnsi="仿宋" w:eastAsia="仿宋"/>
          <w:w w:val="100"/>
          <w:sz w:val="32"/>
          <w:szCs w:val="32"/>
        </w:rPr>
        <w:t>个市级专项规划基本</w:t>
      </w:r>
      <w:r>
        <w:rPr>
          <w:rFonts w:hint="default" w:ascii="仿宋" w:hAnsi="仿宋" w:eastAsia="仿宋"/>
          <w:w w:val="100"/>
          <w:sz w:val="32"/>
          <w:szCs w:val="32"/>
          <w:lang w:eastAsia="zh-CN"/>
        </w:rPr>
        <w:t>形成</w:t>
      </w:r>
      <w:r>
        <w:rPr>
          <w:rFonts w:hint="default" w:ascii="仿宋" w:hAnsi="仿宋" w:eastAsia="仿宋"/>
          <w:w w:val="100"/>
          <w:sz w:val="32"/>
          <w:szCs w:val="32"/>
        </w:rPr>
        <w:t>初稿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完成率100%；</w:t>
      </w:r>
      <w:r>
        <w:rPr>
          <w:rFonts w:hint="default" w:ascii="仿宋" w:hAnsi="仿宋" w:eastAsia="仿宋"/>
          <w:w w:val="100"/>
          <w:sz w:val="32"/>
          <w:szCs w:val="32"/>
          <w:lang w:val="en-US" w:eastAsia="zh-CN"/>
        </w:rPr>
        <w:t>争取“三类”国省资金133亿元、增长19.6%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，完成率100%；多次组织前期专家咨询、调研座谈，完成率100%；前期工作按时完成率100%，达到年度目标。</w:t>
      </w:r>
    </w:p>
    <w:p w14:paraId="7B3A05C8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2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质量标准</w:t>
      </w:r>
    </w:p>
    <w:p w14:paraId="55721F40">
      <w:pPr>
        <w:ind w:firstLine="755" w:firstLineChars="236"/>
        <w:rPr>
          <w:rFonts w:hint="default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项目前期工作成果质量达标率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100%，无质量问题反馈。</w:t>
      </w:r>
    </w:p>
    <w:p w14:paraId="72D00A3F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3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时效控制</w:t>
      </w:r>
    </w:p>
    <w:p w14:paraId="0050E22E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项目前期工作均已在控制时间节点按期完成。</w:t>
      </w:r>
    </w:p>
    <w:p w14:paraId="4EF6CAD6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4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成本控制</w:t>
      </w:r>
    </w:p>
    <w:p w14:paraId="40D85410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eastAsia="zh-CN"/>
        </w:rPr>
      </w:pPr>
      <w:r>
        <w:rPr>
          <w:rFonts w:ascii="仿宋" w:hAnsi="仿宋" w:eastAsia="仿宋"/>
          <w:w w:val="100"/>
          <w:sz w:val="32"/>
          <w:szCs w:val="32"/>
        </w:rPr>
        <w:t>项目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前期工作经费严格控制经费支出、无超预算、超标准开支情况，已控制在预算范围内。</w:t>
      </w:r>
    </w:p>
    <w:p w14:paraId="16AAE624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（二）项目效益情况</w:t>
      </w:r>
    </w:p>
    <w:p w14:paraId="241C9451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1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经济效益:通过前期工作推进，为全市固定资产投资增长提供了有力支撑，有效拉动相关产业发展。</w:t>
      </w:r>
    </w:p>
    <w:p w14:paraId="28B00E2A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</w:rPr>
        <w:t>2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社会效益:推动教育、医疗、交通等民生项目前期工作落地，提升公共服务供给能力;优化前期服务流程，降低项目单位办事成本，助力优化营商环境。</w:t>
      </w:r>
    </w:p>
    <w:p w14:paraId="6EDF4BF4">
      <w:pPr>
        <w:ind w:firstLine="755" w:firstLineChars="236"/>
        <w:rPr>
          <w:rFonts w:hint="eastAsia" w:ascii="仿宋" w:hAnsi="仿宋" w:eastAsia="仿宋"/>
          <w:color w:val="auto"/>
          <w:w w:val="100"/>
          <w:sz w:val="32"/>
          <w:szCs w:val="32"/>
        </w:rPr>
      </w:pPr>
      <w:r>
        <w:rPr>
          <w:rFonts w:hint="eastAsia" w:ascii="仿宋" w:hAnsi="仿宋" w:eastAsia="仿宋"/>
          <w:color w:val="auto"/>
          <w:w w:val="1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w w:val="100"/>
          <w:sz w:val="32"/>
          <w:szCs w:val="32"/>
          <w:lang w:eastAsia="zh-CN"/>
        </w:rPr>
        <w:t>、生态</w:t>
      </w:r>
      <w:r>
        <w:rPr>
          <w:rFonts w:hint="eastAsia" w:ascii="仿宋" w:hAnsi="仿宋" w:eastAsia="仿宋"/>
          <w:color w:val="auto"/>
          <w:w w:val="100"/>
          <w:sz w:val="32"/>
          <w:szCs w:val="32"/>
        </w:rPr>
        <w:t>效益:项目前期通过科学选址、避让生态红线、落实水土保持和植被保护措施，从源头减少施工建设对生态的破坏，有效防范水土流失、环境污染问题，保障项目绿色、合规、可持续建设。</w:t>
      </w:r>
    </w:p>
    <w:p w14:paraId="6485C970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w w:val="100"/>
          <w:sz w:val="32"/>
          <w:szCs w:val="32"/>
        </w:rPr>
        <w:t>可持续影响:完善了项目储备与前期推进长效机制，提升了全市项目管理队伍专业能力，为后续年度重大项目建设奠定了坚实基础。</w:t>
      </w:r>
    </w:p>
    <w:p w14:paraId="4AEEDF49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5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、</w:t>
      </w:r>
      <w:r>
        <w:rPr>
          <w:rFonts w:ascii="仿宋" w:hAnsi="仿宋" w:eastAsia="仿宋"/>
          <w:w w:val="100"/>
          <w:sz w:val="32"/>
          <w:szCs w:val="32"/>
        </w:rPr>
        <w:t>服务对象满意度</w:t>
      </w:r>
    </w:p>
    <w:p w14:paraId="787309E1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问卷</w:t>
      </w:r>
      <w:r>
        <w:rPr>
          <w:rFonts w:hint="eastAsia" w:ascii="仿宋" w:hAnsi="仿宋" w:eastAsia="仿宋"/>
          <w:w w:val="100"/>
          <w:sz w:val="32"/>
          <w:szCs w:val="32"/>
        </w:rPr>
        <w:t>调查显示，政务服务科通过“互联网+政务服务”平台，投资项目审批时限压缩60%，企业群众好评率达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90</w:t>
      </w:r>
      <w:r>
        <w:rPr>
          <w:rFonts w:hint="eastAsia" w:ascii="仿宋" w:hAnsi="仿宋" w:eastAsia="仿宋"/>
          <w:w w:val="100"/>
          <w:sz w:val="32"/>
          <w:szCs w:val="32"/>
        </w:rPr>
        <w:t>%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以上，</w:t>
      </w:r>
      <w:r>
        <w:rPr>
          <w:rFonts w:hint="eastAsia" w:ascii="仿宋" w:hAnsi="仿宋" w:eastAsia="仿宋"/>
          <w:w w:val="100"/>
          <w:sz w:val="32"/>
          <w:szCs w:val="32"/>
        </w:rPr>
        <w:t>反映出服务成效显著。</w:t>
      </w:r>
    </w:p>
    <w:p w14:paraId="774F89AF">
      <w:pPr>
        <w:ind w:firstLine="758" w:firstLineChars="236"/>
        <w:rPr>
          <w:rFonts w:hint="eastAsia" w:ascii="黑体" w:hAnsi="黑体" w:eastAsia="黑体" w:cs="黑体"/>
          <w:b/>
          <w:bCs/>
          <w:w w:val="1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w w:val="100"/>
          <w:sz w:val="32"/>
          <w:szCs w:val="32"/>
        </w:rPr>
        <w:t>五、评价结论及建议</w:t>
      </w:r>
    </w:p>
    <w:p w14:paraId="506BEC2E">
      <w:pPr>
        <w:ind w:firstLine="755" w:firstLineChars="236"/>
        <w:rPr>
          <w:rFonts w:ascii="仿宋" w:hAnsi="仿宋" w:eastAsia="仿宋"/>
          <w:color w:val="auto"/>
          <w:w w:val="100"/>
          <w:sz w:val="32"/>
          <w:szCs w:val="32"/>
        </w:rPr>
      </w:pPr>
      <w:r>
        <w:rPr>
          <w:rFonts w:ascii="仿宋" w:hAnsi="仿宋" w:eastAsia="仿宋"/>
          <w:color w:val="auto"/>
          <w:w w:val="100"/>
          <w:sz w:val="32"/>
          <w:szCs w:val="32"/>
        </w:rPr>
        <w:t>（一）评价结论</w:t>
      </w:r>
    </w:p>
    <w:p w14:paraId="5F44E208">
      <w:pPr>
        <w:ind w:firstLine="755" w:firstLineChars="236"/>
        <w:rPr>
          <w:rFonts w:ascii="仿宋" w:hAnsi="仿宋" w:eastAsia="仿宋"/>
          <w:color w:val="auto"/>
          <w:w w:val="100"/>
          <w:sz w:val="32"/>
          <w:szCs w:val="32"/>
        </w:rPr>
      </w:pPr>
      <w:r>
        <w:rPr>
          <w:rFonts w:ascii="仿宋" w:hAnsi="仿宋" w:eastAsia="仿宋"/>
          <w:color w:val="auto"/>
          <w:w w:val="100"/>
          <w:sz w:val="32"/>
          <w:szCs w:val="32"/>
        </w:rPr>
        <w:t>综合来看，</w:t>
      </w:r>
      <w:r>
        <w:rPr>
          <w:rFonts w:hint="eastAsia" w:ascii="仿宋" w:hAnsi="仿宋" w:eastAsia="仿宋"/>
          <w:color w:val="auto"/>
          <w:w w:val="100"/>
          <w:sz w:val="32"/>
          <w:szCs w:val="32"/>
          <w:lang w:eastAsia="zh-CN"/>
        </w:rPr>
        <w:t>本年度项目前期工作</w:t>
      </w:r>
      <w:r>
        <w:rPr>
          <w:rFonts w:ascii="仿宋" w:hAnsi="仿宋" w:eastAsia="仿宋"/>
          <w:color w:val="auto"/>
          <w:w w:val="100"/>
          <w:sz w:val="32"/>
          <w:szCs w:val="32"/>
        </w:rPr>
        <w:t>经费项目实施成效显著，</w:t>
      </w:r>
      <w:r>
        <w:rPr>
          <w:rFonts w:hint="eastAsia" w:ascii="仿宋" w:hAnsi="仿宋" w:eastAsia="仿宋"/>
          <w:color w:val="auto"/>
          <w:w w:val="100"/>
          <w:sz w:val="32"/>
          <w:szCs w:val="32"/>
        </w:rPr>
        <w:t>有效保障了全市重点项目前期工作的顺利推进，为全市经济社会高质量发展提供了有力支撑</w:t>
      </w:r>
      <w:r>
        <w:rPr>
          <w:rFonts w:hint="eastAsia" w:ascii="仿宋" w:hAnsi="仿宋" w:eastAsia="仿宋"/>
          <w:color w:val="auto"/>
          <w:w w:val="100"/>
          <w:sz w:val="32"/>
          <w:szCs w:val="32"/>
          <w:lang w:eastAsia="zh-CN"/>
        </w:rPr>
        <w:t>，</w:t>
      </w:r>
      <w:r>
        <w:rPr>
          <w:rFonts w:ascii="仿宋" w:hAnsi="仿宋" w:eastAsia="仿宋"/>
          <w:color w:val="auto"/>
          <w:w w:val="100"/>
          <w:sz w:val="32"/>
          <w:szCs w:val="32"/>
        </w:rPr>
        <w:t>资金使用规范，绩效目标达成度较高。根据绩效评价指标体系</w:t>
      </w:r>
      <w:r>
        <w:rPr>
          <w:rFonts w:ascii="仿宋" w:hAnsi="仿宋" w:eastAsia="仿宋"/>
          <w:color w:val="000000" w:themeColor="text1"/>
          <w:w w:val="100"/>
          <w:sz w:val="32"/>
          <w:szCs w:val="32"/>
          <w14:textFill>
            <w14:solidFill>
              <w14:schemeClr w14:val="tx1"/>
            </w14:solidFill>
          </w14:textFill>
        </w:rPr>
        <w:t>，项目最终得分为</w:t>
      </w:r>
      <w:r>
        <w:rPr>
          <w:rFonts w:hint="eastAsia" w:ascii="仿宋" w:hAnsi="仿宋" w:eastAsia="仿宋"/>
          <w:color w:val="000000" w:themeColor="text1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ascii="仿宋" w:hAnsi="仿宋" w:eastAsia="仿宋"/>
          <w:color w:val="000000" w:themeColor="text1"/>
          <w:w w:val="100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ascii="仿宋" w:hAnsi="仿宋" w:eastAsia="仿宋"/>
          <w:color w:val="auto"/>
          <w:w w:val="100"/>
          <w:sz w:val="32"/>
          <w:szCs w:val="32"/>
        </w:rPr>
        <w:t>，评价等级为“优秀”。</w:t>
      </w:r>
    </w:p>
    <w:p w14:paraId="65E22722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（二）存在的问题</w:t>
      </w:r>
    </w:p>
    <w:p w14:paraId="7A5A7B30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1、预算执行进度不均衡，部分月份支出进度偏慢，与工作推进节奏匹配度有待提升。</w:t>
      </w:r>
    </w:p>
    <w:p w14:paraId="2DEA0E5F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2、绩效评价精细化水平有待提高，对资金投入产出效益的分析不够深入。</w:t>
      </w:r>
    </w:p>
    <w:p w14:paraId="7EF6E792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3、</w:t>
      </w:r>
      <w:r>
        <w:rPr>
          <w:rFonts w:ascii="仿宋" w:hAnsi="仿宋" w:eastAsia="仿宋"/>
          <w:w w:val="100"/>
          <w:sz w:val="32"/>
          <w:szCs w:val="32"/>
        </w:rPr>
        <w:t>社会效应宣传不足，群众获得感有待提升。</w:t>
      </w:r>
    </w:p>
    <w:p w14:paraId="436BDA36">
      <w:pPr>
        <w:ind w:firstLine="755" w:firstLineChars="236"/>
        <w:rPr>
          <w:rFonts w:ascii="仿宋" w:hAnsi="仿宋" w:eastAsia="仿宋"/>
          <w:w w:val="100"/>
          <w:sz w:val="32"/>
          <w:szCs w:val="32"/>
        </w:rPr>
      </w:pPr>
      <w:r>
        <w:rPr>
          <w:rFonts w:ascii="仿宋" w:hAnsi="仿宋" w:eastAsia="仿宋"/>
          <w:w w:val="100"/>
          <w:sz w:val="32"/>
          <w:szCs w:val="32"/>
        </w:rPr>
        <w:t>（三）相关建议</w:t>
      </w:r>
    </w:p>
    <w:p w14:paraId="2D0FE5C2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1、优化预算执行管理，细化资金使用计划，建立进度跟踪通报机制，确保支出均衡高效;</w:t>
      </w:r>
    </w:p>
    <w:p w14:paraId="208C3264">
      <w:pPr>
        <w:ind w:firstLine="755" w:firstLineChars="236"/>
        <w:rPr>
          <w:rFonts w:hint="eastAsia" w:ascii="仿宋" w:hAnsi="仿宋" w:eastAsia="仿宋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2、完善绩效评价指标体系，增加成果转化率、项目落地率等量化指标，强化评价结果应用，将其作为下年度预算编制的重要依据。</w:t>
      </w:r>
    </w:p>
    <w:p w14:paraId="3FCC8DA5">
      <w:pPr>
        <w:ind w:firstLine="755" w:firstLineChars="236"/>
        <w:rPr>
          <w:rFonts w:asciiTheme="minorEastAsia" w:hAnsiTheme="minorEastAsia" w:eastAsiaTheme="minorEastAsia"/>
          <w:w w:val="100"/>
          <w:sz w:val="32"/>
          <w:szCs w:val="32"/>
        </w:rPr>
      </w:pP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3、</w:t>
      </w:r>
      <w:r>
        <w:rPr>
          <w:rFonts w:ascii="仿宋" w:hAnsi="仿宋" w:eastAsia="仿宋"/>
          <w:w w:val="100"/>
          <w:sz w:val="32"/>
          <w:szCs w:val="32"/>
        </w:rPr>
        <w:t>通过政府门户网站、短视频平台等渠道，加大公共服务项目宣传力度；建立项目效益跟踪机制，</w:t>
      </w:r>
      <w:r>
        <w:rPr>
          <w:rFonts w:hint="eastAsia" w:ascii="仿宋" w:hAnsi="仿宋" w:eastAsia="仿宋"/>
          <w:w w:val="100"/>
          <w:sz w:val="32"/>
          <w:szCs w:val="32"/>
          <w:lang w:eastAsia="zh-CN"/>
        </w:rPr>
        <w:t>多</w:t>
      </w:r>
      <w:r>
        <w:rPr>
          <w:rFonts w:ascii="仿宋" w:hAnsi="仿宋" w:eastAsia="仿宋"/>
          <w:w w:val="100"/>
          <w:sz w:val="32"/>
          <w:szCs w:val="32"/>
        </w:rPr>
        <w:t>开展满意度调查，及时回应群众关切</w:t>
      </w:r>
      <w:r>
        <w:rPr>
          <w:rFonts w:hint="eastAsia" w:ascii="仿宋" w:hAnsi="仿宋" w:eastAsia="仿宋"/>
          <w:w w:val="100"/>
          <w:sz w:val="32"/>
          <w:szCs w:val="32"/>
          <w:lang w:val="en-US" w:eastAsia="zh-CN"/>
        </w:rPr>
        <w:t>。</w:t>
      </w:r>
    </w:p>
    <w:sectPr>
      <w:pgSz w:w="11906" w:h="16838"/>
      <w:pgMar w:top="158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592790"/>
    <w:multiLevelType w:val="singleLevel"/>
    <w:tmpl w:val="7F59279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7B5"/>
    <w:rsid w:val="00162C67"/>
    <w:rsid w:val="0019769F"/>
    <w:rsid w:val="00286347"/>
    <w:rsid w:val="003B27B5"/>
    <w:rsid w:val="00425A02"/>
    <w:rsid w:val="004E5BEC"/>
    <w:rsid w:val="00563CE4"/>
    <w:rsid w:val="005E1382"/>
    <w:rsid w:val="00662E0B"/>
    <w:rsid w:val="00675CC7"/>
    <w:rsid w:val="00732A53"/>
    <w:rsid w:val="007749CE"/>
    <w:rsid w:val="0081719F"/>
    <w:rsid w:val="0092660C"/>
    <w:rsid w:val="009C0F07"/>
    <w:rsid w:val="00A676AF"/>
    <w:rsid w:val="00B56A59"/>
    <w:rsid w:val="00CA278C"/>
    <w:rsid w:val="00CB0806"/>
    <w:rsid w:val="00EC3770"/>
    <w:rsid w:val="00ED63DE"/>
    <w:rsid w:val="02DE543A"/>
    <w:rsid w:val="06A92108"/>
    <w:rsid w:val="06B56F46"/>
    <w:rsid w:val="0A125A89"/>
    <w:rsid w:val="0B832598"/>
    <w:rsid w:val="0C395F24"/>
    <w:rsid w:val="0CA535B9"/>
    <w:rsid w:val="0E1E5DC3"/>
    <w:rsid w:val="0E5758F0"/>
    <w:rsid w:val="0ECB4844"/>
    <w:rsid w:val="115D3896"/>
    <w:rsid w:val="120449B0"/>
    <w:rsid w:val="14096B23"/>
    <w:rsid w:val="1ADF238C"/>
    <w:rsid w:val="1BF63E31"/>
    <w:rsid w:val="1D39297A"/>
    <w:rsid w:val="21B55BF5"/>
    <w:rsid w:val="233F60BE"/>
    <w:rsid w:val="256F76F4"/>
    <w:rsid w:val="26E42C82"/>
    <w:rsid w:val="2ABC1DA2"/>
    <w:rsid w:val="2CE1615C"/>
    <w:rsid w:val="32087FC3"/>
    <w:rsid w:val="38097EDE"/>
    <w:rsid w:val="381E32DD"/>
    <w:rsid w:val="3AE74C19"/>
    <w:rsid w:val="3DC512A1"/>
    <w:rsid w:val="400A494F"/>
    <w:rsid w:val="40510EE6"/>
    <w:rsid w:val="45C94D29"/>
    <w:rsid w:val="4A331BB6"/>
    <w:rsid w:val="4CDB3945"/>
    <w:rsid w:val="4FCC0ED3"/>
    <w:rsid w:val="5A0802B0"/>
    <w:rsid w:val="5D2A1793"/>
    <w:rsid w:val="5DCA1305"/>
    <w:rsid w:val="63C60A40"/>
    <w:rsid w:val="6AFC7D28"/>
    <w:rsid w:val="70512559"/>
    <w:rsid w:val="7CCA16C9"/>
    <w:rsid w:val="7D88322D"/>
    <w:rsid w:val="7E53749D"/>
    <w:rsid w:val="7E91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黑体" w:hAnsi="黑体" w:eastAsia="黑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黑体" w:hAnsi="黑体" w:eastAsia="黑体" w:cstheme="minorBidi"/>
      <w:w w:val="200"/>
      <w:kern w:val="2"/>
      <w:sz w:val="44"/>
      <w:szCs w:val="22"/>
      <w:lang w:val="en-US" w:eastAsia="zh-CN" w:bidi="ar-SA"/>
    </w:rPr>
  </w:style>
  <w:style w:type="paragraph" w:styleId="4">
    <w:name w:val="heading 1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w w:val="100"/>
      <w:kern w:val="36"/>
      <w:sz w:val="48"/>
      <w:szCs w:val="48"/>
    </w:rPr>
  </w:style>
  <w:style w:type="paragraph" w:styleId="5">
    <w:name w:val="heading 2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w w:val="100"/>
      <w:kern w:val="0"/>
      <w:sz w:val="36"/>
      <w:szCs w:val="36"/>
    </w:rPr>
  </w:style>
  <w:style w:type="paragraph" w:styleId="6">
    <w:name w:val="heading 3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w w:val="100"/>
      <w:kern w:val="0"/>
      <w:sz w:val="27"/>
      <w:szCs w:val="27"/>
    </w:rPr>
  </w:style>
  <w:style w:type="paragraph" w:styleId="7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  <w:jc w:val="left"/>
    </w:pPr>
    <w:rPr>
      <w:sz w:val="32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Strong"/>
    <w:basedOn w:val="11"/>
    <w:qFormat/>
    <w:uiPriority w:val="22"/>
    <w:rPr>
      <w:b/>
      <w:bCs/>
    </w:rPr>
  </w:style>
  <w:style w:type="character" w:customStyle="1" w:styleId="13">
    <w:name w:val="标题 1 Char"/>
    <w:basedOn w:val="11"/>
    <w:link w:val="4"/>
    <w:qFormat/>
    <w:uiPriority w:val="9"/>
    <w:rPr>
      <w:rFonts w:ascii="宋体" w:hAnsi="宋体" w:eastAsia="宋体" w:cs="宋体"/>
      <w:b/>
      <w:bCs/>
      <w:w w:val="100"/>
      <w:kern w:val="36"/>
      <w:sz w:val="48"/>
      <w:szCs w:val="48"/>
    </w:rPr>
  </w:style>
  <w:style w:type="character" w:customStyle="1" w:styleId="14">
    <w:name w:val="标题 2 Char"/>
    <w:basedOn w:val="11"/>
    <w:link w:val="5"/>
    <w:qFormat/>
    <w:uiPriority w:val="9"/>
    <w:rPr>
      <w:rFonts w:ascii="宋体" w:hAnsi="宋体" w:eastAsia="宋体" w:cs="宋体"/>
      <w:b/>
      <w:bCs/>
      <w:w w:val="100"/>
      <w:kern w:val="0"/>
      <w:sz w:val="36"/>
      <w:szCs w:val="36"/>
    </w:rPr>
  </w:style>
  <w:style w:type="character" w:customStyle="1" w:styleId="15">
    <w:name w:val="标题 3 Char"/>
    <w:basedOn w:val="11"/>
    <w:link w:val="6"/>
    <w:qFormat/>
    <w:uiPriority w:val="9"/>
    <w:rPr>
      <w:rFonts w:ascii="宋体" w:hAnsi="宋体" w:eastAsia="宋体" w:cs="宋体"/>
      <w:b/>
      <w:bCs/>
      <w:w w:val="100"/>
      <w:kern w:val="0"/>
      <w:sz w:val="27"/>
      <w:szCs w:val="27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Char"/>
    <w:basedOn w:val="11"/>
    <w:link w:val="9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8"/>
    <w:semiHidden/>
    <w:qFormat/>
    <w:uiPriority w:val="99"/>
    <w:rPr>
      <w:sz w:val="18"/>
      <w:szCs w:val="18"/>
    </w:rPr>
  </w:style>
  <w:style w:type="character" w:customStyle="1" w:styleId="19">
    <w:name w:val="标题 4 Char"/>
    <w:basedOn w:val="11"/>
    <w:link w:val="7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3464</Words>
  <Characters>3565</Characters>
  <Lines>43</Lines>
  <Paragraphs>12</Paragraphs>
  <TotalTime>3</TotalTime>
  <ScaleCrop>false</ScaleCrop>
  <LinksUpToDate>false</LinksUpToDate>
  <CharactersWithSpaces>3571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2025-06-09T04:01:00Z</dcterms:created>
  <dc:creator>Administrator</dc:creator>
  <cp:lastModifiedBy>A梦</cp:lastModifiedBy>
  <dcterms:modified xsi:type="dcterms:W3CDTF">2026-10-16T16:10:20Z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eyJoZGlkIjoiOTAyMzE4NmNjMDMyOWRiNzdjMGFlZTJjMzVhYWI1ZGQiLCJ1c2VySWQiOiIyNTcwMjkxNjUifQ==</vt:lpwstr>
  </property>
  <property fmtid="{D5CDD505-2E9C-101B-9397-08002B2CF9AE}" pid="3" name="KSOProductBuildVer">
    <vt:lpwstr>2052-12.1.2.23578</vt:lpwstr>
  </property>
  <property fmtid="{D5CDD505-2E9C-101B-9397-08002B2CF9AE}" pid="4" name="ICV">
    <vt:lpwstr>3ED88524AFE04276A9AA56223AA1A447_13</vt:lpwstr>
  </property>
</Properties>
</file>