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924DA">
      <w:pPr>
        <w:spacing w:line="360" w:lineRule="auto"/>
        <w:rPr>
          <w:rFonts w:ascii="仿宋" w:hAnsi="仿宋" w:eastAsia="仿宋"/>
          <w:sz w:val="28"/>
        </w:rPr>
      </w:pPr>
      <w:r>
        <w:rPr>
          <w:rFonts w:hint="eastAsia" w:ascii="仿宋" w:hAnsi="仿宋" w:eastAsia="仿宋"/>
          <w:sz w:val="28"/>
        </w:rPr>
        <w:t>附件5</w:t>
      </w:r>
    </w:p>
    <w:p w14:paraId="1029C880">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14:paraId="5BB6F15B">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14:paraId="337770FE">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14:paraId="2FA59AB3">
      <w:pPr>
        <w:spacing w:line="480" w:lineRule="auto"/>
        <w:ind w:firstLine="1118"/>
        <w:jc w:val="center"/>
        <w:rPr>
          <w:rFonts w:ascii="仿宋" w:hAnsi="仿宋" w:eastAsia="仿宋" w:cs="仿宋"/>
          <w:b/>
          <w:bCs/>
          <w:sz w:val="44"/>
          <w:szCs w:val="44"/>
        </w:rPr>
      </w:pPr>
      <w:r>
        <w:rPr>
          <w:rFonts w:hint="eastAsia" w:ascii="仿宋" w:hAnsi="仿宋" w:eastAsia="仿宋" w:cs="仿宋"/>
          <w:b/>
          <w:bCs/>
          <w:sz w:val="44"/>
          <w:szCs w:val="44"/>
        </w:rPr>
        <w:t>2024年度</w:t>
      </w:r>
      <w:r>
        <w:rPr>
          <w:rFonts w:ascii="仿宋" w:hAnsi="仿宋" w:eastAsia="仿宋" w:cs="仿宋"/>
          <w:b/>
          <w:bCs/>
          <w:sz w:val="44"/>
          <w:szCs w:val="44"/>
        </w:rPr>
        <w:t>怀化市发展和改革委员会</w:t>
      </w:r>
    </w:p>
    <w:p w14:paraId="6D48F8E1">
      <w:pPr>
        <w:pStyle w:val="8"/>
        <w:widowControl/>
        <w:shd w:val="clear" w:color="auto" w:fill="FFFFFF"/>
        <w:spacing w:beforeAutospacing="0" w:afterAutospacing="0" w:line="480" w:lineRule="auto"/>
        <w:ind w:firstLine="1118"/>
        <w:jc w:val="center"/>
        <w:rPr>
          <w:rFonts w:ascii="仿宋" w:hAnsi="仿宋" w:eastAsia="仿宋" w:cs="仿宋"/>
          <w:b/>
          <w:bCs/>
          <w:kern w:val="2"/>
          <w:sz w:val="44"/>
          <w:szCs w:val="44"/>
        </w:rPr>
      </w:pPr>
      <w:r>
        <w:rPr>
          <w:rFonts w:hint="eastAsia" w:ascii="仿宋" w:hAnsi="仿宋" w:eastAsia="仿宋" w:cs="仿宋"/>
          <w:b/>
          <w:bCs/>
          <w:kern w:val="2"/>
          <w:sz w:val="44"/>
          <w:szCs w:val="44"/>
        </w:rPr>
        <w:t>整体支出绩效自评报告</w:t>
      </w:r>
    </w:p>
    <w:p w14:paraId="0EE652E5">
      <w:pPr>
        <w:pStyle w:val="8"/>
        <w:widowControl/>
        <w:shd w:val="clear" w:color="auto" w:fill="FFFFFF"/>
        <w:spacing w:beforeAutospacing="0" w:afterAutospacing="0" w:line="480" w:lineRule="auto"/>
        <w:ind w:firstLine="1200" w:firstLineChars="300"/>
        <w:jc w:val="both"/>
        <w:rPr>
          <w:rFonts w:ascii="方正小标宋_GBK" w:hAnsi="方正小标宋_GBK" w:eastAsia="方正小标宋_GBK" w:cs="方正小标宋_GBK"/>
          <w:color w:val="000000"/>
          <w:sz w:val="40"/>
          <w:szCs w:val="40"/>
          <w:shd w:val="clear" w:color="auto" w:fill="FFFFFF"/>
        </w:rPr>
      </w:pPr>
    </w:p>
    <w:p w14:paraId="66528417">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556D26EB">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7B83B4A3">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3097A032">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434E8329">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35D99487">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16786142">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156F92B7">
      <w:pPr>
        <w:spacing w:line="360" w:lineRule="auto"/>
        <w:ind w:firstLine="2560" w:firstLineChars="800"/>
        <w:rPr>
          <w:rFonts w:ascii="仿宋" w:hAnsi="仿宋" w:eastAsia="仿宋" w:cs="仿宋"/>
          <w:sz w:val="32"/>
          <w:szCs w:val="32"/>
          <w:u w:val="single"/>
        </w:rPr>
      </w:pPr>
      <w:r>
        <w:rPr>
          <w:rFonts w:hint="eastAsia" w:ascii="仿宋" w:hAnsi="仿宋" w:eastAsia="仿宋" w:cs="仿宋"/>
          <w:sz w:val="32"/>
          <w:szCs w:val="32"/>
        </w:rPr>
        <w:t>单位名称：</w:t>
      </w:r>
      <w:r>
        <w:rPr>
          <w:rFonts w:hint="eastAsia" w:ascii="仿宋" w:hAnsi="仿宋" w:eastAsia="仿宋" w:cs="仿宋"/>
          <w:sz w:val="32"/>
          <w:szCs w:val="32"/>
          <w:u w:val="single"/>
        </w:rPr>
        <w:t>（盖章）</w:t>
      </w:r>
    </w:p>
    <w:p w14:paraId="703F50E6">
      <w:pPr>
        <w:spacing w:line="360" w:lineRule="auto"/>
        <w:ind w:firstLine="3200" w:firstLineChars="1000"/>
        <w:rPr>
          <w:rFonts w:ascii="仿宋" w:hAnsi="仿宋" w:eastAsia="仿宋" w:cs="仿宋"/>
          <w:sz w:val="32"/>
          <w:szCs w:val="32"/>
        </w:rPr>
      </w:pPr>
    </w:p>
    <w:p w14:paraId="08B2D685">
      <w:pPr>
        <w:spacing w:line="360" w:lineRule="auto"/>
        <w:ind w:firstLine="3200" w:firstLineChars="1000"/>
        <w:rPr>
          <w:rFonts w:ascii="仿宋" w:hAnsi="仿宋" w:eastAsia="仿宋" w:cs="仿宋"/>
          <w:sz w:val="32"/>
          <w:szCs w:val="32"/>
        </w:rPr>
      </w:pPr>
      <w:r>
        <w:rPr>
          <w:rFonts w:hint="eastAsia" w:ascii="仿宋" w:hAnsi="仿宋" w:eastAsia="仿宋" w:cs="仿宋"/>
          <w:sz w:val="32"/>
          <w:szCs w:val="32"/>
        </w:rPr>
        <w:t>2024年6月4日</w:t>
      </w:r>
    </w:p>
    <w:p w14:paraId="70DFD227">
      <w:pPr>
        <w:spacing w:line="360" w:lineRule="auto"/>
        <w:ind w:firstLine="810"/>
        <w:jc w:val="center"/>
        <w:rPr>
          <w:rFonts w:ascii="仿宋" w:hAnsi="仿宋" w:eastAsia="仿宋" w:cs="仿宋"/>
          <w:sz w:val="32"/>
          <w:szCs w:val="32"/>
        </w:rPr>
      </w:pPr>
    </w:p>
    <w:p w14:paraId="6D531D60">
      <w:pPr>
        <w:pStyle w:val="8"/>
        <w:widowControl/>
        <w:shd w:val="clear" w:color="auto" w:fill="FFFFFF"/>
        <w:spacing w:beforeAutospacing="0" w:afterAutospacing="0" w:line="480" w:lineRule="exact"/>
        <w:ind w:firstLine="960" w:firstLineChars="300"/>
        <w:jc w:val="both"/>
        <w:rPr>
          <w:rFonts w:ascii="仿宋" w:hAnsi="仿宋" w:eastAsia="仿宋" w:cs="仿宋"/>
          <w:sz w:val="32"/>
          <w:szCs w:val="32"/>
        </w:rPr>
      </w:pPr>
      <w:r>
        <w:rPr>
          <w:rFonts w:hint="eastAsia" w:ascii="仿宋" w:hAnsi="仿宋" w:eastAsia="仿宋" w:cs="仿宋"/>
          <w:sz w:val="32"/>
          <w:szCs w:val="32"/>
        </w:rPr>
        <w:t>（此页为封面）</w:t>
      </w:r>
    </w:p>
    <w:p w14:paraId="0A9645F7">
      <w:pPr>
        <w:widowControl/>
        <w:ind w:firstLine="810"/>
        <w:jc w:val="left"/>
        <w:rPr>
          <w:rFonts w:ascii="仿宋" w:hAnsi="仿宋" w:eastAsia="仿宋" w:cs="仿宋"/>
          <w:kern w:val="0"/>
          <w:sz w:val="32"/>
          <w:szCs w:val="32"/>
        </w:rPr>
      </w:pPr>
      <w:r>
        <w:rPr>
          <w:rFonts w:ascii="仿宋" w:hAnsi="仿宋" w:eastAsia="仿宋" w:cs="仿宋"/>
          <w:sz w:val="32"/>
          <w:szCs w:val="32"/>
        </w:rPr>
        <w:br w:type="page"/>
      </w:r>
    </w:p>
    <w:p w14:paraId="4BB5B042">
      <w:pPr>
        <w:ind w:firstLine="708" w:firstLineChars="236"/>
        <w:rPr>
          <w:rFonts w:ascii="仿宋" w:hAnsi="仿宋" w:eastAsia="仿宋"/>
          <w:sz w:val="30"/>
          <w:szCs w:val="30"/>
        </w:rPr>
      </w:pPr>
      <w:r>
        <w:rPr>
          <w:rFonts w:ascii="仿宋" w:hAnsi="仿宋" w:eastAsia="仿宋"/>
          <w:sz w:val="30"/>
          <w:szCs w:val="30"/>
        </w:rPr>
        <w:t>一、部门概况</w:t>
      </w:r>
    </w:p>
    <w:p w14:paraId="4B415185">
      <w:pPr>
        <w:ind w:firstLine="708" w:firstLineChars="236"/>
        <w:rPr>
          <w:rFonts w:ascii="仿宋" w:hAnsi="仿宋" w:eastAsia="仿宋"/>
          <w:sz w:val="30"/>
          <w:szCs w:val="30"/>
        </w:rPr>
      </w:pPr>
      <w:r>
        <w:rPr>
          <w:rFonts w:ascii="仿宋" w:hAnsi="仿宋" w:eastAsia="仿宋"/>
          <w:sz w:val="30"/>
          <w:szCs w:val="30"/>
        </w:rPr>
        <w:t>（一）部门基本情况</w:t>
      </w:r>
    </w:p>
    <w:p w14:paraId="5DCE9CD3">
      <w:pPr>
        <w:ind w:firstLine="708" w:firstLineChars="236"/>
        <w:rPr>
          <w:rFonts w:ascii="仿宋" w:hAnsi="仿宋" w:eastAsia="仿宋"/>
          <w:sz w:val="30"/>
          <w:szCs w:val="30"/>
        </w:rPr>
      </w:pPr>
      <w:r>
        <w:rPr>
          <w:rFonts w:ascii="仿宋" w:hAnsi="仿宋" w:eastAsia="仿宋"/>
          <w:sz w:val="30"/>
          <w:szCs w:val="30"/>
        </w:rPr>
        <w:t>怀化市发展和改革委员会（以下简称“市发改委”）是负责统筹全市经济社会发展、推进重大项目建设、协调区域发展等工作的综合职能部门。其主要职责包括拟订并组织实施国民经济和社会发展战略、规划，统筹协调经济社会发展重大问题，负责固定资产投资管理，推进区域协调发展（如鹤中一体化）、产业结构优化升级，以及粮食和物资储备管理等工作。内设机构涵盖固定资产投资科、区域发展科、产业协调科等，同时承担市国防动员办公室相关职能，2024年与市国动办预算系统合并，人员编制及职能范围进一步整合。年末编制内实有人员237人，财政供养人员控制率100%。</w:t>
      </w:r>
    </w:p>
    <w:p w14:paraId="07888180">
      <w:pPr>
        <w:ind w:firstLine="708" w:firstLineChars="236"/>
        <w:rPr>
          <w:rFonts w:ascii="仿宋" w:hAnsi="仿宋" w:eastAsia="仿宋"/>
          <w:sz w:val="30"/>
          <w:szCs w:val="30"/>
        </w:rPr>
      </w:pPr>
      <w:r>
        <w:rPr>
          <w:rFonts w:ascii="仿宋" w:hAnsi="仿宋" w:eastAsia="仿宋"/>
          <w:sz w:val="30"/>
          <w:szCs w:val="30"/>
        </w:rPr>
        <w:t>（二）部门（单位）整体支出规模、使用方向和主要内容、涉及范围</w:t>
      </w:r>
    </w:p>
    <w:p w14:paraId="045C9540">
      <w:pPr>
        <w:ind w:firstLine="708" w:firstLineChars="236"/>
        <w:rPr>
          <w:rFonts w:ascii="仿宋" w:hAnsi="仿宋" w:eastAsia="仿宋"/>
          <w:sz w:val="30"/>
          <w:szCs w:val="30"/>
        </w:rPr>
      </w:pPr>
      <w:r>
        <w:rPr>
          <w:rFonts w:ascii="仿宋" w:hAnsi="仿宋" w:eastAsia="仿宋"/>
          <w:sz w:val="30"/>
          <w:szCs w:val="30"/>
        </w:rPr>
        <w:t>2024年市发改委整体支出规模涵盖一般公共预算、政府性基金预算等“四本预算”。其中，一般公共预算支出主要用于保障机关日常运转、重点项目建设、粮食储备管理、区域协调发展（如鹤中一体化）、产业扶持等领域。资金使用方向包括基本支出（人员经费、公用经费）和项目支出（如中央预算内投资项目、地方政府专项债项目、粮食储备轮换经费等），涉及范围覆盖全市13个县（市、区），重点支持基础设施建设、产业升级、民生保障及生态环保等领域。</w:t>
      </w:r>
    </w:p>
    <w:p w14:paraId="7279B489">
      <w:pPr>
        <w:ind w:firstLine="708" w:firstLineChars="236"/>
        <w:rPr>
          <w:rFonts w:ascii="仿宋" w:hAnsi="仿宋" w:eastAsia="仿宋"/>
          <w:sz w:val="30"/>
          <w:szCs w:val="30"/>
        </w:rPr>
      </w:pPr>
      <w:r>
        <w:rPr>
          <w:rFonts w:ascii="仿宋" w:hAnsi="仿宋" w:eastAsia="仿宋"/>
          <w:sz w:val="30"/>
          <w:szCs w:val="30"/>
        </w:rPr>
        <w:t>二、一般公共预算支出情况</w:t>
      </w:r>
    </w:p>
    <w:p w14:paraId="0309541E">
      <w:pPr>
        <w:ind w:firstLine="708" w:firstLineChars="236"/>
        <w:rPr>
          <w:rFonts w:ascii="仿宋" w:hAnsi="仿宋" w:eastAsia="仿宋"/>
          <w:sz w:val="30"/>
          <w:szCs w:val="30"/>
        </w:rPr>
      </w:pPr>
      <w:r>
        <w:rPr>
          <w:rFonts w:ascii="仿宋" w:hAnsi="仿宋" w:eastAsia="仿宋"/>
          <w:sz w:val="30"/>
          <w:szCs w:val="30"/>
        </w:rPr>
        <w:t>（一）基本支出</w:t>
      </w:r>
    </w:p>
    <w:p w14:paraId="279BD034">
      <w:pPr>
        <w:ind w:firstLine="708" w:firstLineChars="236"/>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主要用途、范围</w:t>
      </w:r>
    </w:p>
    <w:p w14:paraId="08341657">
      <w:pPr>
        <w:ind w:firstLine="708" w:firstLineChars="236"/>
        <w:rPr>
          <w:rFonts w:ascii="仿宋" w:hAnsi="仿宋" w:eastAsia="仿宋"/>
          <w:sz w:val="30"/>
          <w:szCs w:val="30"/>
        </w:rPr>
      </w:pPr>
      <w:r>
        <w:rPr>
          <w:rFonts w:ascii="仿宋" w:hAnsi="仿宋" w:eastAsia="仿宋"/>
          <w:sz w:val="30"/>
          <w:szCs w:val="30"/>
        </w:rPr>
        <w:t>基本支出主要用于保障市发改委机关及下属单位人员工资福利、商品和服务支出、对个人和家庭的补助等，具体包括在职人员基本工资、津贴补贴、养老保险、医疗保险，以及办公费、差旅费、公务用车运行维护费、公务接待费等公用经费。2024年基本支出中，人员经费占比约91.15%，公用经费占比约8.85%，主要用于维持机关日常运转及履行基本职能。</w:t>
      </w:r>
    </w:p>
    <w:p w14:paraId="3FA6025B">
      <w:pPr>
        <w:ind w:firstLine="708" w:firstLineChars="236"/>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资金管理情况</w:t>
      </w:r>
    </w:p>
    <w:p w14:paraId="66FA584A">
      <w:pPr>
        <w:ind w:firstLine="708" w:firstLineChars="236"/>
        <w:rPr>
          <w:rFonts w:ascii="仿宋" w:hAnsi="仿宋" w:eastAsia="仿宋"/>
          <w:sz w:val="30"/>
          <w:szCs w:val="30"/>
        </w:rPr>
      </w:pPr>
      <w:r>
        <w:rPr>
          <w:rFonts w:ascii="仿宋" w:hAnsi="仿宋" w:eastAsia="仿宋"/>
          <w:sz w:val="30"/>
          <w:szCs w:val="30"/>
        </w:rPr>
        <w:t>市发改委严格执行财政资金管理制度，基本支出资金纳入国库集中支付，按照“按月申报、按进度拨付”原则管理。人员经费根据编制人数及工资标准核定，公用经费实行定额管理，严格控制支出范围和标准。</w:t>
      </w:r>
    </w:p>
    <w:p w14:paraId="6E099869">
      <w:pPr>
        <w:ind w:firstLine="708" w:firstLineChars="236"/>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w:t>
      </w:r>
      <w:r>
        <w:rPr>
          <w:rFonts w:ascii="仿宋" w:hAnsi="仿宋" w:eastAsia="仿宋"/>
          <w:sz w:val="30"/>
          <w:szCs w:val="30"/>
        </w:rPr>
        <w:t>“三公”经费使用和管理情况</w:t>
      </w:r>
    </w:p>
    <w:p w14:paraId="54C9D996">
      <w:pPr>
        <w:ind w:firstLine="708" w:firstLineChars="236"/>
        <w:rPr>
          <w:rFonts w:ascii="仿宋" w:hAnsi="仿宋" w:eastAsia="仿宋"/>
          <w:sz w:val="30"/>
          <w:szCs w:val="30"/>
        </w:rPr>
      </w:pPr>
      <w:r>
        <w:rPr>
          <w:rFonts w:ascii="仿宋" w:hAnsi="仿宋" w:eastAsia="仿宋"/>
          <w:sz w:val="30"/>
          <w:szCs w:val="30"/>
        </w:rPr>
        <w:t>2024年“三公”经费预算数为95万元，其中公务接待费14万元、公务用车运行费81万元、因公出国（境）费0万元。预算较上年增加47.76万元，主要因市发改委与市国动办预算合并，人员增加导致费用合并核算。实际支出中，公务接待费严格执行“先审批后接待”制度，按标准控制接待规模；公务用车运行费用于车辆保险、维修、燃油等，实行定点维修和加油管理。2024年“三公”经费支出严格遵循厉行节约原则，未超预算额度。</w:t>
      </w:r>
    </w:p>
    <w:p w14:paraId="25901E40">
      <w:pPr>
        <w:ind w:firstLine="708" w:firstLineChars="236"/>
        <w:rPr>
          <w:rFonts w:ascii="仿宋" w:hAnsi="仿宋" w:eastAsia="仿宋"/>
          <w:sz w:val="30"/>
          <w:szCs w:val="30"/>
        </w:rPr>
      </w:pPr>
      <w:r>
        <w:rPr>
          <w:rFonts w:ascii="仿宋" w:hAnsi="仿宋" w:eastAsia="仿宋"/>
          <w:sz w:val="30"/>
          <w:szCs w:val="30"/>
        </w:rPr>
        <w:t>（二）项目支出</w:t>
      </w:r>
    </w:p>
    <w:p w14:paraId="1B2FC8E9">
      <w:pPr>
        <w:ind w:firstLine="708" w:firstLineChars="236"/>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项目资金安排落实、总投入情况</w:t>
      </w:r>
    </w:p>
    <w:p w14:paraId="103ED560">
      <w:pPr>
        <w:ind w:firstLine="606" w:firstLineChars="202"/>
        <w:rPr>
          <w:rFonts w:ascii="仿宋" w:hAnsi="仿宋" w:eastAsia="仿宋"/>
          <w:sz w:val="30"/>
          <w:szCs w:val="30"/>
        </w:rPr>
      </w:pPr>
      <w:r>
        <w:rPr>
          <w:rFonts w:ascii="仿宋" w:hAnsi="仿宋" w:eastAsia="仿宋"/>
          <w:sz w:val="30"/>
          <w:szCs w:val="30"/>
        </w:rPr>
        <w:t>2024年市发改委项目资金包括财政资金（中央</w:t>
      </w:r>
      <w:r>
        <w:rPr>
          <w:rFonts w:hint="eastAsia" w:ascii="仿宋" w:hAnsi="仿宋" w:eastAsia="仿宋"/>
          <w:sz w:val="30"/>
          <w:szCs w:val="30"/>
        </w:rPr>
        <w:t>、省级</w:t>
      </w:r>
      <w:r>
        <w:rPr>
          <w:rFonts w:ascii="仿宋" w:hAnsi="仿宋" w:eastAsia="仿宋"/>
          <w:sz w:val="30"/>
          <w:szCs w:val="30"/>
        </w:rPr>
        <w:t>预算内资金、市级财政拨款等）和</w:t>
      </w:r>
      <w:r>
        <w:rPr>
          <w:rFonts w:hint="eastAsia" w:ascii="仿宋" w:hAnsi="仿宋" w:eastAsia="仿宋"/>
          <w:sz w:val="30"/>
          <w:szCs w:val="30"/>
        </w:rPr>
        <w:t>非税返还资金</w:t>
      </w:r>
      <w:r>
        <w:rPr>
          <w:rFonts w:ascii="仿宋" w:hAnsi="仿宋" w:eastAsia="仿宋"/>
          <w:sz w:val="30"/>
          <w:szCs w:val="30"/>
        </w:rPr>
        <w:t>。支出预算总额为3653.85万元，实际到位资金2120.70万元，资金到位率58.04%，均为一般公共预算财政拨款，无自筹资金。项目资金分配具体投入情况如下：</w:t>
      </w:r>
    </w:p>
    <w:p w14:paraId="7D06F63F">
      <w:pPr>
        <w:ind w:firstLine="606" w:firstLineChars="202"/>
        <w:rPr>
          <w:rFonts w:hint="eastAsia" w:ascii="仿宋" w:hAnsi="仿宋" w:eastAsia="仿宋"/>
          <w:sz w:val="30"/>
          <w:szCs w:val="30"/>
        </w:rPr>
      </w:pPr>
      <w:r>
        <w:rPr>
          <w:rFonts w:hint="eastAsia" w:ascii="仿宋" w:hAnsi="仿宋" w:eastAsia="仿宋"/>
          <w:sz w:val="30"/>
          <w:szCs w:val="30"/>
        </w:rPr>
        <w:t>（1）项目前期经费</w:t>
      </w:r>
      <w:r>
        <w:rPr>
          <w:rFonts w:hint="eastAsia" w:ascii="仿宋" w:hAnsi="仿宋" w:eastAsia="仿宋"/>
          <w:sz w:val="30"/>
          <w:szCs w:val="30"/>
          <w:highlight w:val="yellow"/>
          <w:lang w:eastAsia="zh-CN"/>
        </w:rPr>
        <w:t>全年</w:t>
      </w:r>
      <w:r>
        <w:rPr>
          <w:rFonts w:hint="eastAsia" w:ascii="仿宋" w:hAnsi="仿宋" w:eastAsia="仿宋"/>
          <w:sz w:val="30"/>
          <w:szCs w:val="30"/>
        </w:rPr>
        <w:t>预算215.00万元，决算数276.59万元；</w:t>
      </w:r>
    </w:p>
    <w:p w14:paraId="1A79762D">
      <w:pPr>
        <w:ind w:firstLine="606" w:firstLineChars="202"/>
        <w:rPr>
          <w:rFonts w:hint="eastAsia" w:ascii="仿宋" w:hAnsi="仿宋" w:eastAsia="仿宋"/>
          <w:sz w:val="30"/>
          <w:szCs w:val="30"/>
        </w:rPr>
      </w:pPr>
      <w:r>
        <w:rPr>
          <w:rFonts w:hint="eastAsia" w:ascii="仿宋" w:hAnsi="仿宋" w:eastAsia="仿宋"/>
          <w:sz w:val="30"/>
          <w:szCs w:val="30"/>
        </w:rPr>
        <w:t>（2）易地扶贫工作经费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预算100.00万元，决算数98.49万元；</w:t>
      </w:r>
    </w:p>
    <w:p w14:paraId="200F50D5">
      <w:pPr>
        <w:ind w:firstLine="606" w:firstLineChars="202"/>
        <w:rPr>
          <w:rFonts w:hint="eastAsia" w:ascii="仿宋" w:hAnsi="仿宋" w:eastAsia="仿宋"/>
          <w:sz w:val="30"/>
          <w:szCs w:val="30"/>
        </w:rPr>
      </w:pPr>
      <w:r>
        <w:rPr>
          <w:rFonts w:hint="eastAsia" w:ascii="仿宋" w:hAnsi="仿宋" w:eastAsia="仿宋"/>
          <w:sz w:val="30"/>
          <w:szCs w:val="30"/>
        </w:rPr>
        <w:t>（3）粮食监测项目</w:t>
      </w:r>
      <w:r>
        <w:rPr>
          <w:rFonts w:hint="eastAsia" w:ascii="仿宋" w:hAnsi="仿宋" w:eastAsia="仿宋"/>
          <w:sz w:val="30"/>
          <w:szCs w:val="30"/>
          <w:highlight w:val="yellow"/>
          <w:lang w:eastAsia="zh-CN"/>
        </w:rPr>
        <w:t>全年</w:t>
      </w:r>
      <w:r>
        <w:rPr>
          <w:rFonts w:hint="eastAsia" w:ascii="仿宋" w:hAnsi="仿宋" w:eastAsia="仿宋"/>
          <w:sz w:val="30"/>
          <w:szCs w:val="30"/>
        </w:rPr>
        <w:t>预算25.00万元，决算数22.86万元；</w:t>
      </w:r>
    </w:p>
    <w:p w14:paraId="1143993C">
      <w:pPr>
        <w:ind w:firstLine="606" w:firstLineChars="202"/>
        <w:rPr>
          <w:rFonts w:hint="eastAsia" w:ascii="仿宋" w:hAnsi="仿宋" w:eastAsia="仿宋"/>
          <w:sz w:val="30"/>
          <w:szCs w:val="30"/>
        </w:rPr>
      </w:pPr>
      <w:r>
        <w:rPr>
          <w:rFonts w:hint="eastAsia" w:ascii="仿宋" w:hAnsi="仿宋" w:eastAsia="仿宋"/>
          <w:sz w:val="30"/>
          <w:szCs w:val="30"/>
        </w:rPr>
        <w:t>（4）节能降耗工作经费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预算25.00万元，决算数31.24万元；</w:t>
      </w:r>
    </w:p>
    <w:p w14:paraId="3CFC4150">
      <w:pPr>
        <w:ind w:firstLine="606" w:firstLineChars="202"/>
        <w:rPr>
          <w:rFonts w:hint="eastAsia" w:ascii="仿宋" w:hAnsi="仿宋" w:eastAsia="仿宋"/>
          <w:sz w:val="30"/>
          <w:szCs w:val="30"/>
        </w:rPr>
      </w:pPr>
      <w:r>
        <w:rPr>
          <w:rFonts w:hint="eastAsia" w:ascii="仿宋" w:hAnsi="仿宋" w:eastAsia="仿宋"/>
          <w:sz w:val="30"/>
          <w:szCs w:val="30"/>
        </w:rPr>
        <w:t>（5）市级专项（业务）工作经费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预算20.00万元，决算数21.98万元；</w:t>
      </w:r>
    </w:p>
    <w:p w14:paraId="75CCB968">
      <w:pPr>
        <w:ind w:firstLine="606" w:firstLineChars="202"/>
        <w:rPr>
          <w:rFonts w:hint="eastAsia" w:ascii="仿宋" w:hAnsi="仿宋" w:eastAsia="仿宋"/>
          <w:sz w:val="30"/>
          <w:szCs w:val="30"/>
        </w:rPr>
      </w:pPr>
      <w:r>
        <w:rPr>
          <w:rFonts w:hint="eastAsia" w:ascii="仿宋" w:hAnsi="仿宋" w:eastAsia="仿宋"/>
          <w:sz w:val="30"/>
          <w:szCs w:val="30"/>
        </w:rPr>
        <w:t>（6）粮食安全工作经费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预算80.00万元，决算数79.94万元；</w:t>
      </w:r>
    </w:p>
    <w:p w14:paraId="3DB03B64">
      <w:pPr>
        <w:ind w:firstLine="606" w:firstLineChars="202"/>
        <w:rPr>
          <w:rFonts w:hint="eastAsia" w:ascii="仿宋" w:hAnsi="仿宋" w:eastAsia="仿宋"/>
          <w:sz w:val="30"/>
          <w:szCs w:val="30"/>
        </w:rPr>
      </w:pPr>
      <w:r>
        <w:rPr>
          <w:rFonts w:hint="eastAsia" w:ascii="仿宋" w:hAnsi="仿宋" w:eastAsia="仿宋"/>
          <w:sz w:val="30"/>
          <w:szCs w:val="30"/>
        </w:rPr>
        <w:t>（7）鹤中一体化专项经费</w:t>
      </w:r>
      <w:r>
        <w:rPr>
          <w:rFonts w:hint="eastAsia" w:ascii="仿宋" w:hAnsi="仿宋" w:eastAsia="仿宋"/>
          <w:sz w:val="30"/>
          <w:szCs w:val="30"/>
          <w:highlight w:val="yellow"/>
          <w:lang w:eastAsia="zh-CN"/>
        </w:rPr>
        <w:t>全年</w:t>
      </w:r>
      <w:r>
        <w:rPr>
          <w:rFonts w:hint="eastAsia" w:ascii="仿宋" w:hAnsi="仿宋" w:eastAsia="仿宋"/>
          <w:sz w:val="30"/>
          <w:szCs w:val="30"/>
        </w:rPr>
        <w:t>预算100.00万元，决算数145.44万元；</w:t>
      </w:r>
    </w:p>
    <w:p w14:paraId="78B4FE89">
      <w:pPr>
        <w:ind w:firstLine="606" w:firstLineChars="202"/>
        <w:rPr>
          <w:rFonts w:hint="eastAsia" w:ascii="仿宋" w:hAnsi="仿宋" w:eastAsia="仿宋"/>
          <w:sz w:val="30"/>
          <w:szCs w:val="30"/>
        </w:rPr>
      </w:pPr>
      <w:r>
        <w:rPr>
          <w:rFonts w:hint="eastAsia" w:ascii="仿宋" w:hAnsi="仿宋" w:eastAsia="仿宋"/>
          <w:sz w:val="30"/>
          <w:szCs w:val="30"/>
        </w:rPr>
        <w:t>（8）地方储备粮监督检查经费</w:t>
      </w:r>
      <w:r>
        <w:rPr>
          <w:rFonts w:hint="eastAsia" w:ascii="仿宋" w:hAnsi="仿宋" w:eastAsia="仿宋"/>
          <w:sz w:val="30"/>
          <w:szCs w:val="30"/>
          <w:highlight w:val="yellow"/>
          <w:lang w:eastAsia="zh-CN"/>
        </w:rPr>
        <w:t>全年</w:t>
      </w:r>
      <w:r>
        <w:rPr>
          <w:rFonts w:hint="eastAsia" w:ascii="仿宋" w:hAnsi="仿宋" w:eastAsia="仿宋"/>
          <w:sz w:val="30"/>
          <w:szCs w:val="30"/>
        </w:rPr>
        <w:t>预算10.00万元，决算数8.83万元；</w:t>
      </w:r>
    </w:p>
    <w:p w14:paraId="0878D474">
      <w:pPr>
        <w:ind w:firstLine="606" w:firstLineChars="202"/>
        <w:rPr>
          <w:rFonts w:hint="eastAsia" w:ascii="仿宋" w:hAnsi="仿宋" w:eastAsia="仿宋"/>
          <w:sz w:val="30"/>
          <w:szCs w:val="30"/>
        </w:rPr>
      </w:pPr>
      <w:r>
        <w:rPr>
          <w:rFonts w:hint="eastAsia" w:ascii="仿宋" w:hAnsi="仿宋" w:eastAsia="仿宋"/>
          <w:sz w:val="30"/>
          <w:szCs w:val="30"/>
        </w:rPr>
        <w:t>（9）粮食仓储设施维修经费</w:t>
      </w:r>
      <w:r>
        <w:rPr>
          <w:rFonts w:hint="eastAsia" w:ascii="仿宋" w:hAnsi="仿宋" w:eastAsia="仿宋"/>
          <w:sz w:val="30"/>
          <w:szCs w:val="30"/>
          <w:highlight w:val="yellow"/>
          <w:lang w:eastAsia="zh-CN"/>
        </w:rPr>
        <w:t>全年</w:t>
      </w:r>
      <w:r>
        <w:rPr>
          <w:rFonts w:hint="eastAsia" w:ascii="仿宋" w:hAnsi="仿宋" w:eastAsia="仿宋"/>
          <w:sz w:val="30"/>
          <w:szCs w:val="30"/>
        </w:rPr>
        <w:t>预算15.00万元，决算数16.91万元；</w:t>
      </w:r>
    </w:p>
    <w:p w14:paraId="32CFE261">
      <w:pPr>
        <w:ind w:firstLine="606" w:firstLineChars="202"/>
        <w:rPr>
          <w:rFonts w:hint="eastAsia" w:ascii="仿宋" w:hAnsi="仿宋" w:eastAsia="仿宋"/>
          <w:sz w:val="30"/>
          <w:szCs w:val="30"/>
        </w:rPr>
      </w:pPr>
      <w:r>
        <w:rPr>
          <w:rFonts w:hint="eastAsia" w:ascii="仿宋" w:hAnsi="仿宋" w:eastAsia="仿宋"/>
          <w:sz w:val="30"/>
          <w:szCs w:val="30"/>
        </w:rPr>
        <w:t>（10）战略流通支点城市建设</w:t>
      </w:r>
      <w:r>
        <w:rPr>
          <w:rFonts w:hint="eastAsia" w:ascii="仿宋" w:hAnsi="仿宋" w:eastAsia="仿宋"/>
          <w:sz w:val="30"/>
          <w:szCs w:val="30"/>
          <w:highlight w:val="yellow"/>
          <w:lang w:eastAsia="zh-CN"/>
        </w:rPr>
        <w:t>全年</w:t>
      </w:r>
      <w:r>
        <w:rPr>
          <w:rFonts w:hint="eastAsia" w:ascii="仿宋" w:hAnsi="仿宋" w:eastAsia="仿宋"/>
          <w:sz w:val="30"/>
          <w:szCs w:val="30"/>
        </w:rPr>
        <w:t>预算30.00万元，决算数33.01万元；</w:t>
      </w:r>
    </w:p>
    <w:p w14:paraId="442B1F55">
      <w:pPr>
        <w:ind w:firstLine="606" w:firstLineChars="202"/>
        <w:rPr>
          <w:rFonts w:hint="eastAsia" w:ascii="仿宋" w:hAnsi="仿宋" w:eastAsia="仿宋"/>
          <w:sz w:val="30"/>
          <w:szCs w:val="30"/>
        </w:rPr>
      </w:pPr>
      <w:r>
        <w:rPr>
          <w:rFonts w:hint="eastAsia" w:ascii="仿宋" w:hAnsi="仿宋" w:eastAsia="仿宋"/>
          <w:sz w:val="30"/>
          <w:szCs w:val="30"/>
        </w:rPr>
        <w:t>（11）全国生态产品价值实现机制试点工作经费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预算100.00万元，决算数98.17万元；</w:t>
      </w:r>
    </w:p>
    <w:p w14:paraId="48747355">
      <w:pPr>
        <w:ind w:firstLine="606" w:firstLineChars="202"/>
        <w:rPr>
          <w:rFonts w:hint="eastAsia" w:ascii="仿宋" w:hAnsi="仿宋" w:eastAsia="仿宋"/>
          <w:sz w:val="30"/>
          <w:szCs w:val="30"/>
        </w:rPr>
      </w:pPr>
      <w:r>
        <w:rPr>
          <w:rFonts w:hint="eastAsia" w:ascii="仿宋" w:hAnsi="仿宋" w:eastAsia="仿宋"/>
          <w:sz w:val="30"/>
          <w:szCs w:val="30"/>
        </w:rPr>
        <w:t>（12）2024年度省预算内农产品成本调查补助经费</w:t>
      </w:r>
      <w:r>
        <w:rPr>
          <w:rFonts w:hint="eastAsia" w:ascii="仿宋" w:hAnsi="仿宋" w:eastAsia="仿宋"/>
          <w:sz w:val="30"/>
          <w:szCs w:val="30"/>
          <w:highlight w:val="yellow"/>
          <w:lang w:eastAsia="zh-CN"/>
        </w:rPr>
        <w:t>全年</w:t>
      </w:r>
      <w:r>
        <w:rPr>
          <w:rFonts w:hint="eastAsia" w:ascii="仿宋" w:hAnsi="仿宋" w:eastAsia="仿宋"/>
          <w:sz w:val="30"/>
          <w:szCs w:val="30"/>
        </w:rPr>
        <w:t>预算53.00万元，决算数52.29万元；</w:t>
      </w:r>
    </w:p>
    <w:p w14:paraId="0BC62957">
      <w:pPr>
        <w:ind w:firstLine="606" w:firstLineChars="202"/>
        <w:rPr>
          <w:rFonts w:hint="eastAsia" w:ascii="仿宋" w:hAnsi="仿宋" w:eastAsia="仿宋"/>
          <w:sz w:val="30"/>
          <w:szCs w:val="30"/>
        </w:rPr>
      </w:pPr>
      <w:r>
        <w:rPr>
          <w:rFonts w:hint="eastAsia" w:ascii="仿宋" w:hAnsi="仿宋" w:eastAsia="仿宋"/>
          <w:sz w:val="30"/>
          <w:szCs w:val="30"/>
        </w:rPr>
        <w:t>（13）“5+10”现代化产业体系建设产业链专班工作经费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预算5.00万元，决算数5.09万元；</w:t>
      </w:r>
    </w:p>
    <w:p w14:paraId="194AA841">
      <w:pPr>
        <w:ind w:firstLine="606" w:firstLineChars="202"/>
        <w:rPr>
          <w:rFonts w:hint="eastAsia" w:ascii="仿宋" w:hAnsi="仿宋" w:eastAsia="仿宋"/>
          <w:sz w:val="30"/>
          <w:szCs w:val="30"/>
        </w:rPr>
      </w:pPr>
      <w:r>
        <w:rPr>
          <w:rFonts w:hint="eastAsia" w:ascii="仿宋" w:hAnsi="仿宋" w:eastAsia="仿宋"/>
          <w:sz w:val="30"/>
          <w:szCs w:val="30"/>
        </w:rPr>
        <w:t>（14）2023农产品成本和应急成本调查监测经费</w:t>
      </w:r>
      <w:r>
        <w:rPr>
          <w:rFonts w:hint="eastAsia" w:ascii="仿宋" w:hAnsi="仿宋" w:eastAsia="仿宋"/>
          <w:sz w:val="30"/>
          <w:szCs w:val="30"/>
          <w:highlight w:val="yellow"/>
          <w:lang w:eastAsia="zh-CN"/>
        </w:rPr>
        <w:t>全年</w:t>
      </w:r>
      <w:r>
        <w:rPr>
          <w:rFonts w:hint="eastAsia" w:ascii="仿宋" w:hAnsi="仿宋" w:eastAsia="仿宋"/>
          <w:sz w:val="30"/>
          <w:szCs w:val="30"/>
        </w:rPr>
        <w:t>预算3.00万元，决算数0.15万元；</w:t>
      </w:r>
    </w:p>
    <w:p w14:paraId="69B4E45B">
      <w:pPr>
        <w:ind w:firstLine="606" w:firstLineChars="202"/>
        <w:rPr>
          <w:rFonts w:hint="eastAsia" w:ascii="仿宋" w:hAnsi="仿宋" w:eastAsia="仿宋"/>
          <w:sz w:val="30"/>
          <w:szCs w:val="30"/>
        </w:rPr>
      </w:pPr>
      <w:r>
        <w:rPr>
          <w:rFonts w:hint="eastAsia" w:ascii="仿宋" w:hAnsi="仿宋" w:eastAsia="仿宋"/>
          <w:sz w:val="30"/>
          <w:szCs w:val="30"/>
        </w:rPr>
        <w:t>（15）涉改人员经费</w:t>
      </w:r>
      <w:r>
        <w:rPr>
          <w:rFonts w:hint="eastAsia" w:ascii="仿宋" w:hAnsi="仿宋" w:eastAsia="仿宋"/>
          <w:sz w:val="30"/>
          <w:szCs w:val="30"/>
          <w:highlight w:val="yellow"/>
          <w:lang w:eastAsia="zh-CN"/>
        </w:rPr>
        <w:t>全年</w:t>
      </w:r>
      <w:r>
        <w:rPr>
          <w:rFonts w:hint="eastAsia" w:ascii="仿宋" w:hAnsi="仿宋" w:eastAsia="仿宋"/>
          <w:sz w:val="30"/>
          <w:szCs w:val="30"/>
        </w:rPr>
        <w:t>预算15.88万元，决算数15.88万元；</w:t>
      </w:r>
    </w:p>
    <w:p w14:paraId="4BCEB629">
      <w:pPr>
        <w:ind w:firstLine="606" w:firstLineChars="202"/>
        <w:rPr>
          <w:rFonts w:hint="eastAsia" w:ascii="仿宋" w:hAnsi="仿宋" w:eastAsia="仿宋"/>
          <w:sz w:val="30"/>
          <w:szCs w:val="30"/>
        </w:rPr>
      </w:pPr>
      <w:r>
        <w:rPr>
          <w:rFonts w:hint="eastAsia" w:ascii="仿宋" w:hAnsi="仿宋" w:eastAsia="仿宋"/>
          <w:sz w:val="30"/>
          <w:szCs w:val="30"/>
        </w:rPr>
        <w:t>（16）市粮油产品质量检测中心仪器设备购置</w:t>
      </w:r>
      <w:r>
        <w:rPr>
          <w:rFonts w:hint="eastAsia" w:ascii="仿宋" w:hAnsi="仿宋" w:eastAsia="仿宋"/>
          <w:sz w:val="30"/>
          <w:szCs w:val="30"/>
          <w:highlight w:val="yellow"/>
          <w:lang w:eastAsia="zh-CN"/>
        </w:rPr>
        <w:t>全年</w:t>
      </w:r>
      <w:r>
        <w:rPr>
          <w:rFonts w:hint="eastAsia" w:ascii="仿宋" w:hAnsi="仿宋" w:eastAsia="仿宋"/>
          <w:sz w:val="30"/>
          <w:szCs w:val="30"/>
        </w:rPr>
        <w:t>预算40.00万元，决算数26.48万元；</w:t>
      </w:r>
    </w:p>
    <w:p w14:paraId="1B65523D">
      <w:pPr>
        <w:ind w:firstLine="606" w:firstLineChars="202"/>
        <w:rPr>
          <w:rFonts w:hint="eastAsia" w:ascii="仿宋" w:hAnsi="仿宋" w:eastAsia="仿宋"/>
          <w:sz w:val="30"/>
          <w:szCs w:val="30"/>
        </w:rPr>
      </w:pPr>
      <w:r>
        <w:rPr>
          <w:rFonts w:hint="eastAsia" w:ascii="仿宋" w:hAnsi="仿宋" w:eastAsia="仿宋"/>
          <w:sz w:val="30"/>
          <w:szCs w:val="30"/>
        </w:rPr>
        <w:t>（17）市级真抓实干奖励工作经费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预算126.66万元，决算数126.56万元；</w:t>
      </w:r>
    </w:p>
    <w:p w14:paraId="52EE8C22">
      <w:pPr>
        <w:ind w:firstLine="606" w:firstLineChars="202"/>
        <w:rPr>
          <w:rFonts w:hint="eastAsia" w:ascii="仿宋" w:hAnsi="仿宋" w:eastAsia="仿宋"/>
          <w:sz w:val="30"/>
          <w:szCs w:val="30"/>
        </w:rPr>
      </w:pPr>
      <w:r>
        <w:rPr>
          <w:rFonts w:hint="eastAsia" w:ascii="仿宋" w:hAnsi="仿宋" w:eastAsia="仿宋"/>
          <w:sz w:val="30"/>
          <w:szCs w:val="30"/>
        </w:rPr>
        <w:t>（18）智能粮库管理系统运行维护费</w:t>
      </w:r>
      <w:r>
        <w:rPr>
          <w:rFonts w:hint="eastAsia" w:ascii="仿宋" w:hAnsi="仿宋" w:eastAsia="仿宋"/>
          <w:sz w:val="30"/>
          <w:szCs w:val="30"/>
          <w:highlight w:val="yellow"/>
          <w:lang w:eastAsia="zh-CN"/>
        </w:rPr>
        <w:t>全年</w:t>
      </w:r>
      <w:r>
        <w:rPr>
          <w:rFonts w:hint="eastAsia" w:ascii="仿宋" w:hAnsi="仿宋" w:eastAsia="仿宋"/>
          <w:sz w:val="30"/>
          <w:szCs w:val="30"/>
        </w:rPr>
        <w:t>预算20.00万元，决算数19.93万元；</w:t>
      </w:r>
    </w:p>
    <w:p w14:paraId="7E12D50E">
      <w:pPr>
        <w:ind w:firstLine="606" w:firstLineChars="202"/>
        <w:rPr>
          <w:rFonts w:hint="eastAsia" w:ascii="仿宋" w:hAnsi="仿宋" w:eastAsia="仿宋"/>
          <w:sz w:val="30"/>
          <w:szCs w:val="30"/>
        </w:rPr>
      </w:pPr>
      <w:r>
        <w:rPr>
          <w:rFonts w:hint="eastAsia" w:ascii="仿宋" w:hAnsi="仿宋" w:eastAsia="仿宋"/>
          <w:sz w:val="30"/>
          <w:szCs w:val="30"/>
        </w:rPr>
        <w:t>（19）怀化市竹产业发展规划编制经费</w:t>
      </w:r>
      <w:r>
        <w:rPr>
          <w:rFonts w:hint="eastAsia" w:ascii="仿宋" w:hAnsi="仿宋" w:eastAsia="仿宋"/>
          <w:sz w:val="30"/>
          <w:szCs w:val="30"/>
          <w:highlight w:val="yellow"/>
          <w:lang w:eastAsia="zh-CN"/>
        </w:rPr>
        <w:t>全年</w:t>
      </w:r>
      <w:r>
        <w:rPr>
          <w:rFonts w:hint="eastAsia" w:ascii="仿宋" w:hAnsi="仿宋" w:eastAsia="仿宋"/>
          <w:sz w:val="30"/>
          <w:szCs w:val="30"/>
        </w:rPr>
        <w:t>预算50.00万元，决算数48.93万元；</w:t>
      </w:r>
    </w:p>
    <w:p w14:paraId="7F84FA68">
      <w:pPr>
        <w:ind w:firstLine="606" w:firstLineChars="202"/>
        <w:rPr>
          <w:rFonts w:hint="eastAsia" w:ascii="仿宋" w:hAnsi="仿宋" w:eastAsia="仿宋"/>
          <w:sz w:val="30"/>
          <w:szCs w:val="30"/>
        </w:rPr>
      </w:pPr>
      <w:r>
        <w:rPr>
          <w:rFonts w:hint="eastAsia" w:ascii="仿宋" w:hAnsi="仿宋" w:eastAsia="仿宋"/>
          <w:sz w:val="30"/>
          <w:szCs w:val="30"/>
        </w:rPr>
        <w:t>（20）十五五规划编制及课题研究经费</w:t>
      </w:r>
      <w:r>
        <w:rPr>
          <w:rFonts w:hint="eastAsia" w:ascii="仿宋" w:hAnsi="仿宋" w:eastAsia="仿宋"/>
          <w:sz w:val="30"/>
          <w:szCs w:val="30"/>
          <w:highlight w:val="yellow"/>
          <w:lang w:eastAsia="zh-CN"/>
        </w:rPr>
        <w:t>全年</w:t>
      </w:r>
      <w:r>
        <w:rPr>
          <w:rFonts w:hint="eastAsia" w:ascii="仿宋" w:hAnsi="仿宋" w:eastAsia="仿宋"/>
          <w:sz w:val="30"/>
          <w:szCs w:val="30"/>
        </w:rPr>
        <w:t>预算50.00万元，决算数42.05万元；</w:t>
      </w:r>
    </w:p>
    <w:p w14:paraId="5BB530FB">
      <w:pPr>
        <w:ind w:firstLine="606" w:firstLineChars="202"/>
        <w:rPr>
          <w:rFonts w:hint="eastAsia" w:ascii="仿宋" w:hAnsi="仿宋" w:eastAsia="仿宋"/>
          <w:sz w:val="30"/>
          <w:szCs w:val="30"/>
        </w:rPr>
      </w:pPr>
      <w:r>
        <w:rPr>
          <w:rFonts w:hint="eastAsia" w:ascii="仿宋" w:hAnsi="仿宋" w:eastAsia="仿宋"/>
          <w:sz w:val="30"/>
          <w:szCs w:val="30"/>
        </w:rPr>
        <w:t>（21）社会物流统计经费</w:t>
      </w:r>
      <w:r>
        <w:rPr>
          <w:rFonts w:hint="eastAsia" w:ascii="仿宋" w:hAnsi="仿宋" w:eastAsia="仿宋"/>
          <w:sz w:val="30"/>
          <w:szCs w:val="30"/>
          <w:highlight w:val="yellow"/>
          <w:lang w:eastAsia="zh-CN"/>
        </w:rPr>
        <w:t>全年</w:t>
      </w:r>
      <w:r>
        <w:rPr>
          <w:rFonts w:hint="eastAsia" w:ascii="仿宋" w:hAnsi="仿宋" w:eastAsia="仿宋"/>
          <w:sz w:val="30"/>
          <w:szCs w:val="30"/>
        </w:rPr>
        <w:t>预算20.00万元，决算数20.00万元；</w:t>
      </w:r>
    </w:p>
    <w:p w14:paraId="36B2F58C">
      <w:pPr>
        <w:ind w:firstLine="606" w:firstLineChars="202"/>
        <w:rPr>
          <w:rFonts w:hint="eastAsia" w:ascii="仿宋" w:hAnsi="仿宋" w:eastAsia="仿宋"/>
          <w:sz w:val="30"/>
          <w:szCs w:val="30"/>
        </w:rPr>
      </w:pPr>
      <w:r>
        <w:rPr>
          <w:rFonts w:hint="eastAsia" w:ascii="仿宋" w:hAnsi="仿宋" w:eastAsia="仿宋"/>
          <w:sz w:val="30"/>
          <w:szCs w:val="30"/>
        </w:rPr>
        <w:t>（22）人才资源开发专项资金</w:t>
      </w:r>
      <w:r>
        <w:rPr>
          <w:rFonts w:hint="eastAsia" w:ascii="仿宋" w:hAnsi="仿宋" w:eastAsia="仿宋"/>
          <w:sz w:val="30"/>
          <w:szCs w:val="30"/>
          <w:highlight w:val="yellow"/>
          <w:lang w:eastAsia="zh-CN"/>
        </w:rPr>
        <w:t>全年</w:t>
      </w:r>
      <w:r>
        <w:rPr>
          <w:rFonts w:hint="eastAsia" w:ascii="仿宋" w:hAnsi="仿宋" w:eastAsia="仿宋"/>
          <w:sz w:val="30"/>
          <w:szCs w:val="30"/>
        </w:rPr>
        <w:t>预算14.60万元，决算数14.60万元；</w:t>
      </w:r>
    </w:p>
    <w:p w14:paraId="2E09F8E6">
      <w:pPr>
        <w:ind w:firstLine="606" w:firstLineChars="202"/>
        <w:rPr>
          <w:rFonts w:hint="eastAsia" w:ascii="仿宋" w:hAnsi="仿宋" w:eastAsia="仿宋"/>
          <w:sz w:val="30"/>
          <w:szCs w:val="30"/>
        </w:rPr>
      </w:pPr>
      <w:r>
        <w:rPr>
          <w:rFonts w:hint="eastAsia" w:ascii="仿宋" w:hAnsi="仿宋" w:eastAsia="仿宋"/>
          <w:sz w:val="30"/>
          <w:szCs w:val="30"/>
        </w:rPr>
        <w:t>（23）产业发展促进事务专项工作经费</w:t>
      </w:r>
      <w:r>
        <w:rPr>
          <w:rFonts w:hint="eastAsia" w:ascii="仿宋" w:hAnsi="仿宋" w:eastAsia="仿宋"/>
          <w:sz w:val="30"/>
          <w:szCs w:val="30"/>
          <w:highlight w:val="yellow"/>
          <w:lang w:eastAsia="zh-CN"/>
        </w:rPr>
        <w:t>全年</w:t>
      </w:r>
      <w:r>
        <w:rPr>
          <w:rFonts w:hint="eastAsia" w:ascii="仿宋" w:hAnsi="仿宋" w:eastAsia="仿宋"/>
          <w:sz w:val="30"/>
          <w:szCs w:val="30"/>
        </w:rPr>
        <w:t>预算0.00万元，决算数2.18万元；</w:t>
      </w:r>
    </w:p>
    <w:p w14:paraId="50C0B942">
      <w:pPr>
        <w:ind w:firstLine="606" w:firstLineChars="202"/>
        <w:rPr>
          <w:rFonts w:hint="eastAsia" w:ascii="仿宋" w:hAnsi="仿宋" w:eastAsia="仿宋"/>
          <w:sz w:val="30"/>
          <w:szCs w:val="30"/>
        </w:rPr>
      </w:pPr>
      <w:r>
        <w:rPr>
          <w:rFonts w:hint="eastAsia" w:ascii="仿宋" w:hAnsi="仿宋" w:eastAsia="仿宋"/>
          <w:sz w:val="30"/>
          <w:szCs w:val="30"/>
        </w:rPr>
        <w:t>（24）疏散基地</w:t>
      </w:r>
      <w:r>
        <w:rPr>
          <w:rFonts w:hint="eastAsia" w:ascii="仿宋" w:hAnsi="仿宋" w:eastAsia="仿宋"/>
          <w:sz w:val="30"/>
          <w:szCs w:val="30"/>
          <w:highlight w:val="yellow"/>
          <w:lang w:eastAsia="zh-CN"/>
        </w:rPr>
        <w:t>全年</w:t>
      </w:r>
      <w:r>
        <w:rPr>
          <w:rFonts w:hint="eastAsia" w:ascii="仿宋" w:hAnsi="仿宋" w:eastAsia="仿宋"/>
          <w:sz w:val="30"/>
          <w:szCs w:val="30"/>
        </w:rPr>
        <w:t>预算2278.00万元，决算数372.45万元；</w:t>
      </w:r>
    </w:p>
    <w:p w14:paraId="70B8DB83">
      <w:pPr>
        <w:ind w:firstLine="606" w:firstLineChars="202"/>
        <w:rPr>
          <w:rFonts w:hint="eastAsia" w:ascii="仿宋" w:hAnsi="仿宋" w:eastAsia="仿宋"/>
          <w:sz w:val="30"/>
          <w:szCs w:val="30"/>
        </w:rPr>
      </w:pPr>
      <w:r>
        <w:rPr>
          <w:rFonts w:hint="eastAsia" w:ascii="仿宋" w:hAnsi="仿宋" w:eastAsia="仿宋"/>
          <w:sz w:val="30"/>
          <w:szCs w:val="30"/>
        </w:rPr>
        <w:t>（25）战备物资库</w:t>
      </w:r>
      <w:r>
        <w:rPr>
          <w:rFonts w:hint="eastAsia" w:ascii="仿宋" w:hAnsi="仿宋" w:eastAsia="仿宋"/>
          <w:sz w:val="30"/>
          <w:szCs w:val="30"/>
          <w:highlight w:val="yellow"/>
          <w:lang w:eastAsia="zh-CN"/>
        </w:rPr>
        <w:t>全年</w:t>
      </w:r>
      <w:r>
        <w:rPr>
          <w:rFonts w:hint="eastAsia" w:ascii="仿宋" w:hAnsi="仿宋" w:eastAsia="仿宋"/>
          <w:sz w:val="30"/>
          <w:szCs w:val="30"/>
        </w:rPr>
        <w:t>预算0.00万元，决算数202.30万元；</w:t>
      </w:r>
    </w:p>
    <w:p w14:paraId="4FA5B13D">
      <w:pPr>
        <w:ind w:firstLine="606" w:firstLineChars="202"/>
        <w:rPr>
          <w:rFonts w:hint="eastAsia" w:ascii="仿宋" w:hAnsi="仿宋" w:eastAsia="仿宋"/>
          <w:sz w:val="30"/>
          <w:szCs w:val="30"/>
        </w:rPr>
      </w:pPr>
      <w:r>
        <w:rPr>
          <w:rFonts w:hint="eastAsia" w:ascii="仿宋" w:hAnsi="仿宋" w:eastAsia="仿宋"/>
          <w:sz w:val="30"/>
          <w:szCs w:val="30"/>
        </w:rPr>
        <w:t>（26）第二路由工程</w:t>
      </w:r>
      <w:r>
        <w:rPr>
          <w:rFonts w:hint="eastAsia" w:ascii="仿宋" w:hAnsi="仿宋" w:eastAsia="仿宋"/>
          <w:sz w:val="30"/>
          <w:szCs w:val="30"/>
          <w:highlight w:val="yellow"/>
          <w:lang w:eastAsia="zh-CN"/>
        </w:rPr>
        <w:t>全年</w:t>
      </w:r>
      <w:r>
        <w:rPr>
          <w:rFonts w:hint="eastAsia" w:ascii="仿宋" w:hAnsi="仿宋" w:eastAsia="仿宋"/>
          <w:sz w:val="30"/>
          <w:szCs w:val="30"/>
        </w:rPr>
        <w:t>预算0.00万元，决算数160.52万元；</w:t>
      </w:r>
    </w:p>
    <w:p w14:paraId="422ACC55">
      <w:pPr>
        <w:ind w:firstLine="606" w:firstLineChars="202"/>
        <w:rPr>
          <w:rFonts w:hint="eastAsia" w:ascii="仿宋" w:hAnsi="仿宋" w:eastAsia="仿宋"/>
          <w:sz w:val="30"/>
          <w:szCs w:val="30"/>
        </w:rPr>
      </w:pPr>
      <w:r>
        <w:rPr>
          <w:rFonts w:hint="eastAsia" w:ascii="仿宋" w:hAnsi="仿宋" w:eastAsia="仿宋"/>
          <w:sz w:val="30"/>
          <w:szCs w:val="30"/>
        </w:rPr>
        <w:t>（27）设备购置</w:t>
      </w:r>
      <w:r>
        <w:rPr>
          <w:rFonts w:hint="eastAsia" w:ascii="仿宋" w:hAnsi="仿宋" w:eastAsia="仿宋"/>
          <w:sz w:val="30"/>
          <w:szCs w:val="30"/>
          <w:highlight w:val="yellow"/>
          <w:lang w:eastAsia="zh-CN"/>
        </w:rPr>
        <w:t>全年</w:t>
      </w:r>
      <w:r>
        <w:rPr>
          <w:rFonts w:hint="eastAsia" w:ascii="仿宋" w:hAnsi="仿宋" w:eastAsia="仿宋"/>
          <w:sz w:val="30"/>
          <w:szCs w:val="30"/>
        </w:rPr>
        <w:t>预算28.35万元，决算数11.36万元；</w:t>
      </w:r>
    </w:p>
    <w:p w14:paraId="215EB927">
      <w:pPr>
        <w:ind w:firstLine="606" w:firstLineChars="202"/>
        <w:rPr>
          <w:rFonts w:hint="eastAsia" w:ascii="仿宋" w:hAnsi="仿宋" w:eastAsia="仿宋"/>
          <w:sz w:val="30"/>
          <w:szCs w:val="30"/>
        </w:rPr>
      </w:pPr>
      <w:r>
        <w:rPr>
          <w:rFonts w:hint="eastAsia" w:ascii="仿宋" w:hAnsi="仿宋" w:eastAsia="仿宋"/>
          <w:sz w:val="30"/>
          <w:szCs w:val="30"/>
        </w:rPr>
        <w:t>（28）人防专项业务经费</w:t>
      </w:r>
      <w:r>
        <w:rPr>
          <w:rFonts w:hint="eastAsia" w:ascii="仿宋" w:hAnsi="仿宋" w:eastAsia="仿宋"/>
          <w:sz w:val="30"/>
          <w:szCs w:val="30"/>
          <w:highlight w:val="yellow"/>
          <w:lang w:eastAsia="zh-CN"/>
        </w:rPr>
        <w:t>全年</w:t>
      </w:r>
      <w:r>
        <w:rPr>
          <w:rFonts w:hint="eastAsia" w:ascii="仿宋" w:hAnsi="仿宋" w:eastAsia="仿宋"/>
          <w:sz w:val="30"/>
          <w:szCs w:val="30"/>
        </w:rPr>
        <w:t>预算526.00万元，决算数147.84万元；</w:t>
      </w:r>
    </w:p>
    <w:p w14:paraId="41AF2EF2">
      <w:pPr>
        <w:ind w:firstLine="606" w:firstLineChars="202"/>
        <w:rPr>
          <w:rFonts w:ascii="仿宋" w:hAnsi="仿宋" w:eastAsia="仿宋"/>
          <w:sz w:val="30"/>
          <w:szCs w:val="30"/>
        </w:rPr>
      </w:pPr>
      <w:r>
        <w:rPr>
          <w:rFonts w:hint="eastAsia" w:ascii="仿宋" w:hAnsi="仿宋" w:eastAsia="仿宋"/>
          <w:sz w:val="30"/>
          <w:szCs w:val="30"/>
        </w:rPr>
        <w:t>（29）市级粮食应急保供企业补贴资金</w:t>
      </w:r>
      <w:r>
        <w:rPr>
          <w:rFonts w:hint="eastAsia" w:ascii="仿宋" w:hAnsi="仿宋" w:eastAsia="仿宋"/>
          <w:sz w:val="30"/>
          <w:szCs w:val="30"/>
          <w:highlight w:val="yellow"/>
          <w:lang w:eastAsia="zh-CN"/>
        </w:rPr>
        <w:t>全年</w:t>
      </w:r>
      <w:r>
        <w:rPr>
          <w:rFonts w:hint="eastAsia" w:ascii="仿宋" w:hAnsi="仿宋" w:eastAsia="仿宋"/>
          <w:sz w:val="30"/>
          <w:szCs w:val="30"/>
        </w:rPr>
        <w:t>预算20.20万元，决算数18.60万元。</w:t>
      </w:r>
    </w:p>
    <w:p w14:paraId="0CB285EF">
      <w:pPr>
        <w:ind w:firstLine="606" w:firstLineChars="202"/>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项目资金实际使用情况</w:t>
      </w:r>
    </w:p>
    <w:p w14:paraId="59E13D29">
      <w:pPr>
        <w:ind w:firstLine="606" w:firstLineChars="202"/>
        <w:rPr>
          <w:rFonts w:ascii="仿宋" w:hAnsi="仿宋" w:eastAsia="仿宋"/>
          <w:sz w:val="30"/>
          <w:szCs w:val="30"/>
        </w:rPr>
      </w:pPr>
      <w:r>
        <w:rPr>
          <w:rFonts w:ascii="仿宋" w:hAnsi="仿宋" w:eastAsia="仿宋"/>
          <w:sz w:val="30"/>
          <w:szCs w:val="30"/>
        </w:rPr>
        <w:t>项目资金实际支出2120.70万元，执行率58.04%，具体使用方向及成效如下：</w:t>
      </w:r>
    </w:p>
    <w:p w14:paraId="3481FA78">
      <w:pPr>
        <w:ind w:firstLine="606" w:firstLineChars="202"/>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经济发展类（1210.56万元，占57.1%）：</w:t>
      </w:r>
    </w:p>
    <w:p w14:paraId="17F59B45">
      <w:pPr>
        <w:ind w:firstLine="606" w:firstLineChars="202"/>
        <w:rPr>
          <w:rFonts w:ascii="仿宋" w:hAnsi="仿宋" w:eastAsia="仿宋"/>
          <w:sz w:val="30"/>
          <w:szCs w:val="30"/>
        </w:rPr>
      </w:pPr>
      <w:r>
        <w:rPr>
          <w:rFonts w:ascii="仿宋" w:hAnsi="仿宋" w:eastAsia="仿宋"/>
          <w:sz w:val="30"/>
          <w:szCs w:val="30"/>
        </w:rPr>
        <w:t>项目前期经费276.59万元，支撑㵲水大型灌区（投资67亿元）等重大项目落地，带动社会投资超12亿元。“5+10”产业链专班经费5.09万元，推动10条重点产业链增加值增长8.5%，新增规上企业43家。</w:t>
      </w:r>
    </w:p>
    <w:p w14:paraId="527FF4B7">
      <w:pPr>
        <w:ind w:firstLine="606" w:firstLineChars="202"/>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民生与粮食安全类（542.33万元，占25.6%）：</w:t>
      </w:r>
    </w:p>
    <w:p w14:paraId="63A54B05">
      <w:pPr>
        <w:ind w:firstLine="606" w:firstLineChars="202"/>
        <w:rPr>
          <w:rFonts w:ascii="仿宋" w:hAnsi="仿宋" w:eastAsia="仿宋"/>
          <w:sz w:val="30"/>
          <w:szCs w:val="30"/>
        </w:rPr>
      </w:pPr>
      <w:r>
        <w:rPr>
          <w:rFonts w:ascii="仿宋" w:hAnsi="仿宋" w:eastAsia="仿宋"/>
          <w:sz w:val="30"/>
          <w:szCs w:val="30"/>
        </w:rPr>
        <w:t>易地扶贫工作经费98.49万元，实施334个以工代赈项目，发放劳务报酬12.47亿元，带动6.48万人就业。粮食应急保供补贴18.6万元，新增成品粮储备130吨，市场断档率降至3%。</w:t>
      </w:r>
    </w:p>
    <w:p w14:paraId="779D7DF1">
      <w:pPr>
        <w:ind w:firstLine="606" w:firstLineChars="202"/>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区域与生态类（367.81万元，占17.3%）：</w:t>
      </w:r>
    </w:p>
    <w:p w14:paraId="5AC951E3">
      <w:pPr>
        <w:ind w:firstLine="606" w:firstLineChars="202"/>
        <w:rPr>
          <w:rFonts w:ascii="仿宋" w:hAnsi="仿宋" w:eastAsia="仿宋"/>
          <w:sz w:val="30"/>
          <w:szCs w:val="30"/>
        </w:rPr>
      </w:pPr>
      <w:r>
        <w:rPr>
          <w:rFonts w:ascii="仿宋" w:hAnsi="仿宋" w:eastAsia="仿宋"/>
          <w:sz w:val="30"/>
          <w:szCs w:val="30"/>
        </w:rPr>
        <w:t>鹤中一体化专项145.44万元，推动鹤城中方行政区划调整，区域常住人口达91.5万人。生态产品价值实现机制试点98.17万元，完成森林碳汇量核算1200万吨，培育生态经营主体3家。</w:t>
      </w:r>
    </w:p>
    <w:p w14:paraId="2DF09AB6">
      <w:pPr>
        <w:ind w:firstLine="708" w:firstLineChars="236"/>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w:t>
      </w:r>
      <w:r>
        <w:rPr>
          <w:rFonts w:ascii="仿宋" w:hAnsi="仿宋" w:eastAsia="仿宋"/>
          <w:sz w:val="30"/>
          <w:szCs w:val="30"/>
        </w:rPr>
        <w:t>项目资金管理情况</w:t>
      </w:r>
    </w:p>
    <w:p w14:paraId="118D9CE1">
      <w:pPr>
        <w:ind w:firstLine="708" w:firstLineChars="236"/>
        <w:rPr>
          <w:rFonts w:ascii="仿宋" w:hAnsi="仿宋" w:eastAsia="仿宋"/>
          <w:sz w:val="30"/>
          <w:szCs w:val="30"/>
        </w:rPr>
      </w:pPr>
      <w:r>
        <w:rPr>
          <w:rFonts w:ascii="仿宋" w:hAnsi="仿宋" w:eastAsia="仿宋"/>
          <w:sz w:val="30"/>
          <w:szCs w:val="30"/>
        </w:rPr>
        <w:t>市发改委制定了《怀化市发展和改革委员会项目资金管理办法》，明确项目资金申请、审批、拨付流程，实行“专款专用、单独核算”。对中央和省预算内投资项目，严格执行资金拨付与项目进度挂钩制度，按形象进度支付款项；对市级财政项目，建立资金使用台账，定期开展财务检查。此外，引入第三方机构对重大项目（如预算500万元以上的疏散基地、鹤中一体化专项）进行绩效评价，强化资金监管。</w:t>
      </w:r>
    </w:p>
    <w:p w14:paraId="3F937CFA">
      <w:pPr>
        <w:ind w:firstLine="708" w:firstLineChars="236"/>
        <w:rPr>
          <w:rFonts w:ascii="仿宋" w:hAnsi="仿宋" w:eastAsia="仿宋"/>
          <w:sz w:val="30"/>
          <w:szCs w:val="30"/>
        </w:rPr>
      </w:pPr>
      <w:r>
        <w:rPr>
          <w:rFonts w:ascii="仿宋" w:hAnsi="仿宋" w:eastAsia="仿宋"/>
          <w:sz w:val="30"/>
          <w:szCs w:val="30"/>
        </w:rPr>
        <w:t>三、项目组织实施情况</w:t>
      </w:r>
    </w:p>
    <w:p w14:paraId="58A952C8">
      <w:pPr>
        <w:ind w:firstLine="708" w:firstLineChars="236"/>
        <w:rPr>
          <w:rFonts w:ascii="仿宋" w:hAnsi="仿宋" w:eastAsia="仿宋"/>
          <w:sz w:val="30"/>
          <w:szCs w:val="30"/>
        </w:rPr>
      </w:pPr>
      <w:r>
        <w:rPr>
          <w:rFonts w:ascii="仿宋" w:hAnsi="仿宋" w:eastAsia="仿宋"/>
          <w:sz w:val="30"/>
          <w:szCs w:val="30"/>
        </w:rPr>
        <w:t>（一）项目组织情况</w:t>
      </w:r>
    </w:p>
    <w:p w14:paraId="5CDBBB6B">
      <w:pPr>
        <w:ind w:firstLine="708" w:firstLineChars="236"/>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项目招投标</w:t>
      </w:r>
    </w:p>
    <w:p w14:paraId="765DE8F6">
      <w:pPr>
        <w:ind w:firstLine="708" w:firstLineChars="236"/>
        <w:rPr>
          <w:rFonts w:ascii="仿宋" w:hAnsi="仿宋" w:eastAsia="仿宋"/>
          <w:sz w:val="30"/>
          <w:szCs w:val="30"/>
        </w:rPr>
      </w:pPr>
      <w:r>
        <w:rPr>
          <w:rFonts w:ascii="仿宋" w:hAnsi="仿宋" w:eastAsia="仿宋"/>
          <w:sz w:val="30"/>
          <w:szCs w:val="30"/>
        </w:rPr>
        <w:t>2024年市发改委牵头实施的重大项目严格按照《招标投标法》及相关规定开展招投标工作。例如，怀化国际陆港文化产业园文化交流互动中心建设项目采用EPC+O工程总承包模式，通过怀化市公共资源交易中心平台发布招标公告，要求投标人具备市政公用工程施工总承包叁级及以上资质和工程设计综合资质，采用综合评估法评标，确保招标过程公开、公平、公正。项目招投标流程包括审批备案、发布公告、资格审查、开标评标等环节，全程接受监管部门监督。</w:t>
      </w:r>
    </w:p>
    <w:p w14:paraId="0435E98D">
      <w:pPr>
        <w:ind w:firstLine="708" w:firstLineChars="236"/>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项目调整与竣工验收</w:t>
      </w:r>
    </w:p>
    <w:p w14:paraId="3759B354">
      <w:pPr>
        <w:ind w:firstLine="708" w:firstLineChars="236"/>
        <w:rPr>
          <w:rFonts w:ascii="仿宋" w:hAnsi="仿宋" w:eastAsia="仿宋"/>
          <w:sz w:val="30"/>
          <w:szCs w:val="30"/>
        </w:rPr>
      </w:pPr>
      <w:r>
        <w:rPr>
          <w:rFonts w:ascii="仿宋" w:hAnsi="仿宋" w:eastAsia="仿宋"/>
          <w:sz w:val="30"/>
          <w:szCs w:val="30"/>
        </w:rPr>
        <w:t>项目实施过程中，若因设计变更、工程量调整等需变更预算，需经市发改委党组会议审议通过，并报财政部门备案。竣工验收方面，重点项目如沅辰高速、怀熙小学等完工后，由市发改委组织相关部门开展联合验收，审核工程质量、资金使用等情况，确保项目符合设计要求和使用标准。</w:t>
      </w:r>
    </w:p>
    <w:p w14:paraId="6ED8AD74">
      <w:pPr>
        <w:ind w:firstLine="708" w:firstLineChars="236"/>
        <w:rPr>
          <w:rFonts w:ascii="仿宋" w:hAnsi="仿宋" w:eastAsia="仿宋"/>
          <w:sz w:val="30"/>
          <w:szCs w:val="30"/>
        </w:rPr>
      </w:pPr>
      <w:r>
        <w:rPr>
          <w:rFonts w:ascii="仿宋" w:hAnsi="仿宋" w:eastAsia="仿宋"/>
          <w:sz w:val="30"/>
          <w:szCs w:val="30"/>
        </w:rPr>
        <w:t>（二）项目管理情况</w:t>
      </w:r>
    </w:p>
    <w:p w14:paraId="077585BF">
      <w:pPr>
        <w:ind w:firstLine="708" w:firstLineChars="236"/>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项目管理制度建设</w:t>
      </w:r>
    </w:p>
    <w:p w14:paraId="60497FA2">
      <w:pPr>
        <w:ind w:firstLine="708" w:firstLineChars="236"/>
        <w:rPr>
          <w:rFonts w:ascii="仿宋" w:hAnsi="仿宋" w:eastAsia="仿宋"/>
          <w:sz w:val="30"/>
          <w:szCs w:val="30"/>
        </w:rPr>
      </w:pPr>
      <w:r>
        <w:rPr>
          <w:rFonts w:ascii="仿宋" w:hAnsi="仿宋" w:eastAsia="仿宋"/>
          <w:sz w:val="30"/>
          <w:szCs w:val="30"/>
        </w:rPr>
        <w:t>市发改委建立了项目全周期管理制度，涵盖前期谋划、申报审批、建设实施、竣工验收等环节。制定《怀化市重点项目管理办法》，明确项目责任主体、进度要求及考核机制；建立“双周调度”制度，由委领导牵头对重点项目（如第二路由工程）进行现场调度，协调解决施工障碍。</w:t>
      </w:r>
    </w:p>
    <w:p w14:paraId="7A00BA72">
      <w:pPr>
        <w:ind w:firstLine="708" w:firstLineChars="236"/>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日常检查监督管理</w:t>
      </w:r>
    </w:p>
    <w:p w14:paraId="736A95E8">
      <w:pPr>
        <w:ind w:firstLine="708" w:firstLineChars="236"/>
        <w:rPr>
          <w:rFonts w:ascii="仿宋" w:hAnsi="仿宋" w:eastAsia="仿宋"/>
          <w:sz w:val="30"/>
          <w:szCs w:val="30"/>
        </w:rPr>
      </w:pPr>
      <w:r>
        <w:rPr>
          <w:rFonts w:ascii="仿宋" w:hAnsi="仿宋" w:eastAsia="仿宋"/>
          <w:sz w:val="30"/>
          <w:szCs w:val="30"/>
        </w:rPr>
        <w:t>对在建项目实行“月通报、季督查”机制，业务科室每月报送项目进度表，财务部门与业务科室每季度召开绩效对接会，共享预算执行和项目进展数据。同时，联合审计、财政等部门开展专项检查，重点核查资金使用合规性、项目建设进度及效益发挥情况，对发现的问题要求责任科室限期整改。</w:t>
      </w:r>
    </w:p>
    <w:p w14:paraId="3E2E683A">
      <w:pPr>
        <w:ind w:firstLine="708" w:firstLineChars="236"/>
        <w:rPr>
          <w:rFonts w:ascii="仿宋" w:hAnsi="仿宋" w:eastAsia="仿宋"/>
          <w:sz w:val="30"/>
          <w:szCs w:val="30"/>
        </w:rPr>
      </w:pPr>
      <w:r>
        <w:rPr>
          <w:rFonts w:ascii="仿宋" w:hAnsi="仿宋" w:eastAsia="仿宋"/>
          <w:sz w:val="30"/>
          <w:szCs w:val="30"/>
        </w:rPr>
        <w:t>四、资产管理情况</w:t>
      </w:r>
    </w:p>
    <w:p w14:paraId="33ED08A9">
      <w:pPr>
        <w:ind w:firstLine="708" w:firstLineChars="236"/>
        <w:rPr>
          <w:rFonts w:ascii="仿宋" w:hAnsi="仿宋" w:eastAsia="仿宋"/>
          <w:sz w:val="30"/>
          <w:szCs w:val="30"/>
        </w:rPr>
      </w:pPr>
      <w:r>
        <w:rPr>
          <w:rFonts w:ascii="仿宋" w:hAnsi="仿宋" w:eastAsia="仿宋"/>
          <w:sz w:val="30"/>
          <w:szCs w:val="30"/>
        </w:rPr>
        <w:t>（一）制度建设与管理措施</w:t>
      </w:r>
    </w:p>
    <w:p w14:paraId="6FFCAA08">
      <w:pPr>
        <w:ind w:firstLine="708" w:firstLineChars="236"/>
        <w:rPr>
          <w:rFonts w:ascii="仿宋" w:hAnsi="仿宋" w:eastAsia="仿宋"/>
          <w:sz w:val="30"/>
          <w:szCs w:val="30"/>
        </w:rPr>
      </w:pPr>
      <w:r>
        <w:rPr>
          <w:rFonts w:ascii="仿宋" w:hAnsi="仿宋" w:eastAsia="仿宋"/>
          <w:sz w:val="30"/>
          <w:szCs w:val="30"/>
        </w:rPr>
        <w:t>市发改委制定了《怀化市发展和改革委员会国有资产管理办法》，明确资产配置、使用、处置的程序和责任。资产配置严格按编制和标准执行，新增资产纳入预算管理；使用中实行“专人管理、台账登记”，定期开展资产清查，确保账实相符；处置</w:t>
      </w:r>
      <w:r>
        <w:rPr>
          <w:rFonts w:ascii="仿宋" w:hAnsi="仿宋" w:eastAsia="仿宋"/>
          <w:sz w:val="30"/>
          <w:szCs w:val="30"/>
          <w:highlight w:val="yellow"/>
        </w:rPr>
        <w:t>资产</w:t>
      </w:r>
      <w:r>
        <w:rPr>
          <w:rFonts w:hint="eastAsia" w:ascii="仿宋" w:hAnsi="仿宋" w:eastAsia="仿宋"/>
          <w:sz w:val="30"/>
          <w:szCs w:val="30"/>
          <w:highlight w:val="yellow"/>
          <w:lang w:eastAsia="zh-CN"/>
        </w:rPr>
        <w:t>批量达</w:t>
      </w:r>
      <w:r>
        <w:rPr>
          <w:rFonts w:hint="eastAsia" w:ascii="仿宋" w:hAnsi="仿宋" w:eastAsia="仿宋"/>
          <w:sz w:val="30"/>
          <w:szCs w:val="30"/>
          <w:highlight w:val="yellow"/>
          <w:lang w:val="en-US" w:eastAsia="zh-CN"/>
        </w:rPr>
        <w:t>10万元以上</w:t>
      </w:r>
      <w:r>
        <w:rPr>
          <w:rFonts w:ascii="仿宋" w:hAnsi="仿宋" w:eastAsia="仿宋"/>
          <w:sz w:val="30"/>
          <w:szCs w:val="30"/>
        </w:rPr>
        <w:t>需经党组会议审议通过，并报财政部门审批，通过公开拍卖等方式规范处置。</w:t>
      </w:r>
    </w:p>
    <w:p w14:paraId="0FEE12AE">
      <w:pPr>
        <w:ind w:firstLine="708" w:firstLineChars="236"/>
        <w:rPr>
          <w:rFonts w:ascii="仿宋" w:hAnsi="仿宋" w:eastAsia="仿宋"/>
          <w:sz w:val="30"/>
          <w:szCs w:val="30"/>
        </w:rPr>
      </w:pPr>
      <w:r>
        <w:rPr>
          <w:rFonts w:ascii="仿宋" w:hAnsi="仿宋" w:eastAsia="仿宋"/>
          <w:sz w:val="30"/>
          <w:szCs w:val="30"/>
        </w:rPr>
        <w:t>（二）配置处置程序</w:t>
      </w:r>
    </w:p>
    <w:p w14:paraId="08FBE9C4">
      <w:pPr>
        <w:ind w:firstLine="708" w:firstLineChars="236"/>
        <w:rPr>
          <w:rFonts w:ascii="仿宋" w:hAnsi="仿宋" w:eastAsia="仿宋"/>
          <w:sz w:val="30"/>
          <w:szCs w:val="30"/>
        </w:rPr>
      </w:pPr>
      <w:r>
        <w:rPr>
          <w:rFonts w:ascii="仿宋" w:hAnsi="仿宋" w:eastAsia="仿宋"/>
          <w:sz w:val="30"/>
          <w:szCs w:val="30"/>
        </w:rPr>
        <w:t>资产配置方面，各科室根据工作需要提出申请，经办公室审核后报委领导审批，纳入年度采购计划；处置时，由使用科室提出申请，办公室组织评估，报财政部门批准后实施。2024年无重大资产处置事项，资产日常管理中未发现违规行为。</w:t>
      </w:r>
    </w:p>
    <w:p w14:paraId="207AC99A">
      <w:pPr>
        <w:ind w:firstLine="708" w:firstLineChars="236"/>
        <w:rPr>
          <w:rFonts w:ascii="仿宋" w:hAnsi="仿宋" w:eastAsia="仿宋"/>
          <w:sz w:val="30"/>
          <w:szCs w:val="30"/>
        </w:rPr>
      </w:pPr>
      <w:r>
        <w:rPr>
          <w:rFonts w:ascii="仿宋" w:hAnsi="仿宋" w:eastAsia="仿宋"/>
          <w:sz w:val="30"/>
          <w:szCs w:val="30"/>
        </w:rPr>
        <w:t>五、政府性基金预算支出情况</w:t>
      </w:r>
    </w:p>
    <w:p w14:paraId="303C82CC">
      <w:pPr>
        <w:ind w:firstLine="708" w:firstLineChars="236"/>
        <w:rPr>
          <w:rFonts w:ascii="仿宋" w:hAnsi="仿宋" w:eastAsia="仿宋"/>
          <w:sz w:val="30"/>
          <w:szCs w:val="30"/>
        </w:rPr>
      </w:pPr>
      <w:r>
        <w:rPr>
          <w:rFonts w:ascii="仿宋" w:hAnsi="仿宋" w:eastAsia="仿宋"/>
          <w:sz w:val="30"/>
          <w:szCs w:val="30"/>
        </w:rPr>
        <w:t>2024年市发改委无政府性基金预算支出。</w:t>
      </w:r>
    </w:p>
    <w:p w14:paraId="669C10C3">
      <w:pPr>
        <w:ind w:firstLine="708" w:firstLineChars="236"/>
        <w:rPr>
          <w:rFonts w:ascii="仿宋" w:hAnsi="仿宋" w:eastAsia="仿宋"/>
          <w:sz w:val="30"/>
          <w:szCs w:val="30"/>
        </w:rPr>
      </w:pPr>
      <w:r>
        <w:rPr>
          <w:rFonts w:ascii="仿宋" w:hAnsi="仿宋" w:eastAsia="仿宋"/>
          <w:sz w:val="30"/>
          <w:szCs w:val="30"/>
        </w:rPr>
        <w:t>六、国有资本经营预算支出情况</w:t>
      </w:r>
    </w:p>
    <w:p w14:paraId="04AF09B8">
      <w:pPr>
        <w:ind w:firstLine="708" w:firstLineChars="236"/>
        <w:rPr>
          <w:rFonts w:ascii="仿宋" w:hAnsi="仿宋" w:eastAsia="仿宋"/>
          <w:sz w:val="30"/>
          <w:szCs w:val="30"/>
        </w:rPr>
      </w:pPr>
      <w:r>
        <w:rPr>
          <w:rFonts w:ascii="仿宋" w:hAnsi="仿宋" w:eastAsia="仿宋"/>
          <w:sz w:val="30"/>
          <w:szCs w:val="30"/>
        </w:rPr>
        <w:t>2024年市发改委无国有资本经营预算支出。</w:t>
      </w:r>
    </w:p>
    <w:p w14:paraId="4D2D7E23">
      <w:pPr>
        <w:ind w:firstLine="708" w:firstLineChars="236"/>
        <w:rPr>
          <w:rFonts w:ascii="仿宋" w:hAnsi="仿宋" w:eastAsia="仿宋"/>
          <w:sz w:val="30"/>
          <w:szCs w:val="30"/>
        </w:rPr>
      </w:pPr>
      <w:r>
        <w:rPr>
          <w:rFonts w:ascii="仿宋" w:hAnsi="仿宋" w:eastAsia="仿宋"/>
          <w:sz w:val="30"/>
          <w:szCs w:val="30"/>
        </w:rPr>
        <w:t>七、社会保险基金预算支出情况</w:t>
      </w:r>
    </w:p>
    <w:p w14:paraId="151FB624">
      <w:pPr>
        <w:ind w:firstLine="708" w:firstLineChars="236"/>
        <w:rPr>
          <w:rFonts w:ascii="仿宋" w:hAnsi="仿宋" w:eastAsia="仿宋"/>
          <w:sz w:val="30"/>
          <w:szCs w:val="30"/>
        </w:rPr>
      </w:pPr>
      <w:r>
        <w:rPr>
          <w:rFonts w:ascii="仿宋" w:hAnsi="仿宋" w:eastAsia="仿宋"/>
          <w:sz w:val="30"/>
          <w:szCs w:val="30"/>
        </w:rPr>
        <w:t>2024年市发改委无社会保险基金预算支出。</w:t>
      </w:r>
    </w:p>
    <w:p w14:paraId="3872E72D">
      <w:pPr>
        <w:ind w:firstLine="708" w:firstLineChars="236"/>
        <w:rPr>
          <w:rFonts w:ascii="仿宋" w:hAnsi="仿宋" w:eastAsia="仿宋"/>
          <w:sz w:val="30"/>
          <w:szCs w:val="30"/>
        </w:rPr>
      </w:pPr>
      <w:r>
        <w:rPr>
          <w:rFonts w:ascii="仿宋" w:hAnsi="仿宋" w:eastAsia="仿宋"/>
          <w:sz w:val="30"/>
          <w:szCs w:val="30"/>
        </w:rPr>
        <w:t>八、部门整体支出绩效情况</w:t>
      </w:r>
    </w:p>
    <w:p w14:paraId="1FE6F746">
      <w:pPr>
        <w:ind w:firstLine="708" w:firstLineChars="236"/>
        <w:rPr>
          <w:rFonts w:ascii="仿宋" w:hAnsi="仿宋" w:eastAsia="仿宋"/>
          <w:sz w:val="30"/>
          <w:szCs w:val="30"/>
        </w:rPr>
      </w:pPr>
      <w:r>
        <w:rPr>
          <w:rFonts w:ascii="仿宋" w:hAnsi="仿宋" w:eastAsia="仿宋"/>
          <w:sz w:val="30"/>
          <w:szCs w:val="30"/>
        </w:rPr>
        <w:t>（一）“四本预算”绩效目标完成情况</w:t>
      </w:r>
    </w:p>
    <w:p w14:paraId="423C2913">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1</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一般公共预算</w:t>
      </w:r>
    </w:p>
    <w:p w14:paraId="2D4E0562">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2024年一般公共预算基本支出足额保障机关人员经费与公用经费，确保日常运转。项目支出中，固定资产投资科牵头实现1-11月固定资产投资增长11.4%，预计全年增长10%以上，增速全省第1；争取各类政策性项目资金111.4亿元，其中中央预算内资金17.86亿元、专项债79.81亿元，均超额完成年度目标。产业和创新高技术发展科推动“5+10”现代化产业体系建设，产业投资增长22.3%，超目标12.3个百分点，民间投资占比65.4%，较上年提升1个百分点。怀化国际陆港全年开行班列突破1000列，港区货运吞吐量超800万吨、增长22%，专项债资金使用合规，投资完成率达98.7%。鹤中一体化专项经费推动区域经济首位度达32.2%，较上年提升2.6个百分点，怀芷快速干线等基础设施项目按计划推进</w:t>
      </w:r>
      <w:r>
        <w:rPr>
          <w:rFonts w:hint="eastAsia" w:ascii="仿宋" w:hAnsi="仿宋" w:eastAsia="仿宋" w:cs="Segoe UI"/>
          <w:color w:val="1F2329"/>
          <w:sz w:val="30"/>
          <w:szCs w:val="30"/>
          <w:shd w:val="clear" w:color="auto" w:fill="FFFFFF"/>
        </w:rPr>
        <w:t>。</w:t>
      </w:r>
    </w:p>
    <w:p w14:paraId="2C75DB25">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2</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政府性基金预算</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国有资本经营预算与社会保险基金预算</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2024年无绩效目标涉及。</w:t>
      </w:r>
    </w:p>
    <w:p w14:paraId="1DBE1F79">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（二）产出与效益分析</w:t>
      </w:r>
    </w:p>
    <w:p w14:paraId="7067ECD3">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1</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运行成本</w:t>
      </w:r>
    </w:p>
    <w:p w14:paraId="49A4C555">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2024年机关运行经费压减后安排235.04万元，因与市国动办预算合并，同口径较上年增加59.84万元。“三公”经费严格控制在95万元预算内，其中公务接待费14万元、公务用车运行费81万元，执行中未超支，体现厉行节约原则。</w:t>
      </w:r>
    </w:p>
    <w:p w14:paraId="3E2B8D5C">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2</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管理效率</w:t>
      </w:r>
    </w:p>
    <w:p w14:paraId="5B6AC048">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年度</w:t>
      </w:r>
      <w:r>
        <w:rPr>
          <w:rFonts w:ascii="仿宋" w:hAnsi="仿宋" w:eastAsia="仿宋" w:cs="Segoe UI"/>
          <w:color w:val="1F2329"/>
          <w:sz w:val="30"/>
          <w:szCs w:val="30"/>
          <w:shd w:val="clear" w:color="auto" w:fill="FFFFFF"/>
        </w:rPr>
        <w:t>投资项目审批效率显著提升，企业投资项目核准和备案全程网办，即时办结率100%。固定资产投资科建立“双周调度”制度，对第二路由工程等重点项目实施现场调度；财务科与业务科室每季度召开绩效对接会，确保资金拨付与项目进度同步，如人防专项业务经费按季度根据工作量审核支付。</w:t>
      </w:r>
    </w:p>
    <w:p w14:paraId="3B723357">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3</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履职效能</w:t>
      </w:r>
    </w:p>
    <w:p w14:paraId="4B9C282A">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（1）</w:t>
      </w:r>
      <w:r>
        <w:rPr>
          <w:rFonts w:ascii="仿宋" w:hAnsi="仿宋" w:eastAsia="仿宋" w:cs="Segoe UI"/>
          <w:color w:val="1F2329"/>
          <w:sz w:val="30"/>
          <w:szCs w:val="30"/>
          <w:shd w:val="clear" w:color="auto" w:fill="FFFFFF"/>
        </w:rPr>
        <w:t>经济发展：综合规划科牵头推动地区生产总值突破2000亿元，固投、进出口、农村居民收入增速均排全省第1。产业和创新高技术发展科数据显示，战略性新兴产业增加值增长15%，高技术制造业投资增长18%，为经济高质量发展注入动力。</w:t>
      </w:r>
    </w:p>
    <w:p w14:paraId="06224E6D">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（2）</w:t>
      </w:r>
      <w:r>
        <w:rPr>
          <w:rFonts w:ascii="仿宋" w:hAnsi="仿宋" w:eastAsia="仿宋" w:cs="Segoe UI"/>
          <w:color w:val="1F2329"/>
          <w:sz w:val="30"/>
          <w:szCs w:val="30"/>
          <w:shd w:val="clear" w:color="auto" w:fill="FFFFFF"/>
        </w:rPr>
        <w:t>项目建设：储备2025年资金项目1240个，总投资1502亿元；新能源装机规模达205万千瓦，20个风电项目纳入省重点清单，装机量占全省28%。重点建设项目事务中心推动沅辰高速、怀熙小学等56个民生项目完工，其中怀熙小学新增学位8820个。</w:t>
      </w:r>
    </w:p>
    <w:p w14:paraId="52D07057">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（3）</w:t>
      </w:r>
      <w:r>
        <w:rPr>
          <w:rFonts w:ascii="仿宋" w:hAnsi="仿宋" w:eastAsia="仿宋" w:cs="Segoe UI"/>
          <w:color w:val="1F2329"/>
          <w:sz w:val="30"/>
          <w:szCs w:val="30"/>
          <w:shd w:val="clear" w:color="auto" w:fill="FFFFFF"/>
        </w:rPr>
        <w:t>区域协调：区域协调发展科牵头出台《怀化市鹤中一体化发展促进条例》，系全国首部行政区划一体化地方性法规。前三季度鹤中一体化规划区常住人口91.5万人，中心城区建成区面积90.1平方公里，基础设施互联互通项目完成投资120亿元。</w:t>
      </w:r>
    </w:p>
    <w:p w14:paraId="04312A69">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4</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社会效应</w:t>
      </w:r>
    </w:p>
    <w:p w14:paraId="09B46D93">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（1）</w:t>
      </w:r>
      <w:r>
        <w:rPr>
          <w:rFonts w:ascii="仿宋" w:hAnsi="仿宋" w:eastAsia="仿宋" w:cs="Segoe UI"/>
          <w:color w:val="1F2329"/>
          <w:sz w:val="30"/>
          <w:szCs w:val="30"/>
          <w:shd w:val="clear" w:color="auto" w:fill="FFFFFF"/>
        </w:rPr>
        <w:t>就业带动：农经科等科室实施以工代赈项目334个，总投资221.49亿元，带动64793人参与务工，发放劳务报酬12.47亿元，以工代训62428人，覆盖农村道路、水利等基础设施领域。</w:t>
      </w:r>
    </w:p>
    <w:p w14:paraId="629E0370">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（2）</w:t>
      </w:r>
      <w:r>
        <w:rPr>
          <w:rFonts w:ascii="仿宋" w:hAnsi="仿宋" w:eastAsia="仿宋" w:cs="Segoe UI"/>
          <w:color w:val="1F2329"/>
          <w:sz w:val="30"/>
          <w:szCs w:val="30"/>
          <w:shd w:val="clear" w:color="auto" w:fill="FFFFFF"/>
        </w:rPr>
        <w:t>公共服务：社会发展科推动湖南医药学院总院第六住院楼、市第二福利院等项目竣工，市疾控中心异地搬迁主体完工，医疗床位新增1200张，养老床位新增500张，公共服务供给能力显著提升。</w:t>
      </w:r>
    </w:p>
    <w:p w14:paraId="1922DCAC">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5</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可持续发展能力</w:t>
      </w:r>
    </w:p>
    <w:p w14:paraId="1FA13FBF">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（1）</w:t>
      </w:r>
      <w:r>
        <w:rPr>
          <w:rFonts w:ascii="仿宋" w:hAnsi="仿宋" w:eastAsia="仿宋" w:cs="Segoe UI"/>
          <w:color w:val="1F2329"/>
          <w:sz w:val="30"/>
          <w:szCs w:val="30"/>
          <w:shd w:val="clear" w:color="auto" w:fill="FFFFFF"/>
        </w:rPr>
        <w:t>产业规划：产业和创新高技术发展科编制《怀化市竹产业高质量发展规划（2025-2030年）》，谋划200亿元产业集群，发布97个总投资209亿元规划项目，配套设立5000万元竹产业发展基金。</w:t>
      </w:r>
    </w:p>
    <w:p w14:paraId="4837FF4D">
      <w:pPr>
        <w:ind w:firstLine="708" w:firstLineChars="236"/>
        <w:rPr>
          <w:rFonts w:ascii="仿宋" w:hAnsi="仿宋" w:eastAsia="仿宋" w:cs="Segoe UI"/>
          <w:color w:val="1F2329"/>
          <w:sz w:val="30"/>
          <w:szCs w:val="30"/>
          <w:shd w:val="clear" w:color="auto" w:fill="FFFFFF"/>
        </w:rPr>
      </w:pPr>
      <w:r>
        <w:rPr>
          <w:rFonts w:hint="eastAsia" w:ascii="仿宋" w:hAnsi="仿宋" w:eastAsia="仿宋" w:cs="Segoe UI"/>
          <w:color w:val="1F2329"/>
          <w:sz w:val="30"/>
          <w:szCs w:val="30"/>
          <w:shd w:val="clear" w:color="auto" w:fill="FFFFFF"/>
        </w:rPr>
        <w:t>（2）</w:t>
      </w:r>
      <w:r>
        <w:rPr>
          <w:rFonts w:ascii="仿宋" w:hAnsi="仿宋" w:eastAsia="仿宋" w:cs="Segoe UI"/>
          <w:color w:val="1F2329"/>
          <w:sz w:val="30"/>
          <w:szCs w:val="30"/>
          <w:shd w:val="clear" w:color="auto" w:fill="FFFFFF"/>
        </w:rPr>
        <w:t>生态保护：资源环境科牵头推进全国生态产品价值实现机制试点，靖州林下经营权、芷江水权等改革落地，2024年全市生态产品价值实现项目达32个，带动绿色产业投资45亿元。</w:t>
      </w:r>
    </w:p>
    <w:p w14:paraId="0CA06A04">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6</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服务对象满意度</w:t>
      </w:r>
    </w:p>
    <w:p w14:paraId="2F013232">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2024年办理人大建议和政协提案共89件，按时办结率100%，回访满意度98.6%。政务服务科通过“互联网+政务服务”平台，投资项目审批时限压缩60%，企业群众好评率达99.2%。</w:t>
      </w:r>
    </w:p>
    <w:p w14:paraId="471451EB">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（三）重点项目绩效情况</w:t>
      </w:r>
    </w:p>
    <w:p w14:paraId="1065F668">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1</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怀化国际陆港项目</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该项目获政府性基金预算重点支持，全年完成投资82亿元，建成集装箱堆场20万平方米、保税仓10万平方米，开通至北部湾港、重庆等铁海联运线路6条，带动周边新增物流企业120家，预计年税收贡献超5亿元。</w:t>
      </w:r>
    </w:p>
    <w:p w14:paraId="36A967B9">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2</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鹤中一体化项目</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区域协调发展科数据显示，2024年市级财政安排专项经费3000万元，推动舞水四桥、鹤中大道等15个基础设施项目，完成投资45亿元。教育、医疗资源共享方面，怀化市一中与中方县一中建立教育集团，湖南医药学院第一附属医院在鹤城设立分院，区域内群众就医、就学便利性显著提升。</w:t>
      </w:r>
    </w:p>
    <w:p w14:paraId="434BC527">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3</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粮食安全保障项目</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粮食调控和储备科完成地方储备粮轮换3.54万吨、储备油0.13万吨，抽检“国家级”放心粮油企业3家、“省级”9家，样品25份全部达标。投入1500万元维修改造粮食仓储设施20处，新增仓容5万吨，确保粮食储存安全。</w:t>
      </w:r>
    </w:p>
    <w:p w14:paraId="61802430">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4.以工代赈项目</w:t>
      </w:r>
      <w:r>
        <w:rPr>
          <w:rFonts w:hint="eastAsia" w:ascii="仿宋" w:hAnsi="仿宋" w:eastAsia="仿宋" w:cs="Segoe UI"/>
          <w:color w:val="1F2329"/>
          <w:sz w:val="30"/>
          <w:szCs w:val="30"/>
          <w:shd w:val="clear" w:color="auto" w:fill="FFFFFF"/>
        </w:rPr>
        <w:t>，</w:t>
      </w:r>
      <w:r>
        <w:rPr>
          <w:rFonts w:ascii="仿宋" w:hAnsi="仿宋" w:eastAsia="仿宋" w:cs="Segoe UI"/>
          <w:color w:val="1F2329"/>
          <w:sz w:val="30"/>
          <w:szCs w:val="30"/>
          <w:shd w:val="clear" w:color="auto" w:fill="FFFFFF"/>
        </w:rPr>
        <w:t>农经科组织实施的334个以工代赈项目中，农村公路建设项目187个，新建改建公路560公里，解决23万农村人口出行难题；农田水利项目76个，改善灌溉面积15万亩，带动项目区农民人均年增收2400元。</w:t>
      </w:r>
    </w:p>
    <w:p w14:paraId="08F6D496">
      <w:pPr>
        <w:ind w:firstLine="708" w:firstLineChars="236"/>
        <w:rPr>
          <w:rFonts w:ascii="仿宋" w:hAnsi="仿宋" w:eastAsia="仿宋" w:cs="Segoe UI"/>
          <w:color w:val="1F2329"/>
          <w:sz w:val="30"/>
          <w:szCs w:val="30"/>
          <w:shd w:val="clear" w:color="auto" w:fill="FFFFFF"/>
        </w:rPr>
      </w:pPr>
      <w:r>
        <w:rPr>
          <w:rFonts w:ascii="仿宋" w:hAnsi="仿宋" w:eastAsia="仿宋" w:cs="Segoe UI"/>
          <w:color w:val="1F2329"/>
          <w:sz w:val="30"/>
          <w:szCs w:val="30"/>
          <w:shd w:val="clear" w:color="auto" w:fill="FFFFFF"/>
        </w:rPr>
        <w:t>（四）预算资金管理与资产管理结合情况</w:t>
      </w:r>
    </w:p>
    <w:p w14:paraId="0C55CE92">
      <w:pPr>
        <w:ind w:firstLine="708" w:firstLineChars="236"/>
        <w:rPr>
          <w:rFonts w:ascii="仿宋" w:hAnsi="仿宋" w:eastAsia="仿宋"/>
          <w:sz w:val="30"/>
          <w:szCs w:val="30"/>
        </w:rPr>
      </w:pPr>
      <w:r>
        <w:rPr>
          <w:rFonts w:ascii="仿宋" w:hAnsi="仿宋" w:eastAsia="仿宋" w:cs="Segoe UI"/>
          <w:color w:val="1F2329"/>
          <w:sz w:val="30"/>
          <w:szCs w:val="30"/>
          <w:shd w:val="clear" w:color="auto" w:fill="FFFFFF"/>
        </w:rPr>
        <w:t>市发改委严格执行预算资金与资产管理联动机制，新增资产配置全部纳入预算管理，2024年通过政府采购新增办公设备120台（套），均按标准审批。项目资金使用中，对怀化国际陆港等重大项目实行“资金-资产-效益”闭环管理，定期盘点形成资产台账，确保国有资产保值增值。</w:t>
      </w:r>
    </w:p>
    <w:p w14:paraId="776F8573">
      <w:pPr>
        <w:ind w:firstLine="708" w:firstLineChars="236"/>
        <w:rPr>
          <w:rFonts w:ascii="仿宋" w:hAnsi="仿宋" w:eastAsia="仿宋"/>
          <w:sz w:val="30"/>
          <w:szCs w:val="30"/>
        </w:rPr>
      </w:pPr>
      <w:r>
        <w:rPr>
          <w:rFonts w:ascii="仿宋" w:hAnsi="仿宋" w:eastAsia="仿宋"/>
          <w:sz w:val="30"/>
          <w:szCs w:val="30"/>
        </w:rPr>
        <w:t>九、存在的问题及原因分析</w:t>
      </w:r>
    </w:p>
    <w:p w14:paraId="00348D2D">
      <w:pPr>
        <w:ind w:firstLine="708" w:firstLineChars="236"/>
        <w:rPr>
          <w:rFonts w:ascii="仿宋" w:hAnsi="仿宋" w:eastAsia="仿宋"/>
          <w:sz w:val="30"/>
          <w:szCs w:val="30"/>
        </w:rPr>
      </w:pPr>
      <w:r>
        <w:rPr>
          <w:rFonts w:ascii="仿宋" w:hAnsi="仿宋" w:eastAsia="仿宋"/>
          <w:sz w:val="30"/>
          <w:szCs w:val="30"/>
        </w:rPr>
        <w:t>（一）预算执行偏离问题</w:t>
      </w:r>
    </w:p>
    <w:p w14:paraId="05233215">
      <w:pPr>
        <w:ind w:firstLine="708" w:firstLineChars="236"/>
        <w:rPr>
          <w:rFonts w:ascii="仿宋" w:hAnsi="仿宋" w:eastAsia="仿宋"/>
          <w:sz w:val="30"/>
          <w:szCs w:val="30"/>
        </w:rPr>
      </w:pPr>
      <w:r>
        <w:rPr>
          <w:rFonts w:ascii="仿宋" w:hAnsi="仿宋" w:eastAsia="仿宋"/>
          <w:sz w:val="30"/>
          <w:szCs w:val="30"/>
        </w:rPr>
        <w:t>部分项目执行率低：疏散基地全年预算数2278万元，决算数372.45万元，执行率16.35%</w:t>
      </w:r>
      <w:r>
        <w:rPr>
          <w:rFonts w:hint="eastAsia" w:ascii="仿宋" w:hAnsi="仿宋" w:eastAsia="仿宋"/>
          <w:sz w:val="30"/>
          <w:szCs w:val="30"/>
        </w:rPr>
        <w:t>,</w:t>
      </w:r>
      <w:r>
        <w:rPr>
          <w:rFonts w:ascii="仿宋" w:hAnsi="仿宋" w:eastAsia="仿宋"/>
          <w:sz w:val="30"/>
          <w:szCs w:val="30"/>
        </w:rPr>
        <w:t>存在预算执行率不足的情况。资金使用效率待提升：部分项目资金拨付与项</w:t>
      </w:r>
      <w:bookmarkStart w:id="0" w:name="_GoBack"/>
      <w:bookmarkEnd w:id="0"/>
      <w:r>
        <w:rPr>
          <w:rFonts w:ascii="仿宋" w:hAnsi="仿宋" w:eastAsia="仿宋"/>
          <w:sz w:val="30"/>
          <w:szCs w:val="30"/>
        </w:rPr>
        <w:t>目进度不匹配，存在资金闲置或支付不及时现象。</w:t>
      </w:r>
    </w:p>
    <w:p w14:paraId="195E288A">
      <w:pPr>
        <w:ind w:firstLine="708" w:firstLineChars="236"/>
        <w:rPr>
          <w:rFonts w:ascii="仿宋" w:hAnsi="仿宋" w:eastAsia="仿宋"/>
          <w:sz w:val="30"/>
          <w:szCs w:val="30"/>
        </w:rPr>
      </w:pPr>
      <w:r>
        <w:rPr>
          <w:rFonts w:ascii="仿宋" w:hAnsi="仿宋" w:eastAsia="仿宋"/>
          <w:sz w:val="30"/>
          <w:szCs w:val="30"/>
        </w:rPr>
        <w:t>（二）项目管理</w:t>
      </w:r>
      <w:r>
        <w:rPr>
          <w:rFonts w:hint="eastAsia" w:ascii="仿宋" w:hAnsi="仿宋" w:eastAsia="仿宋"/>
          <w:sz w:val="30"/>
          <w:szCs w:val="30"/>
        </w:rPr>
        <w:t>问题</w:t>
      </w:r>
    </w:p>
    <w:p w14:paraId="1FF6630C">
      <w:pPr>
        <w:ind w:firstLine="708" w:firstLineChars="236"/>
        <w:rPr>
          <w:rFonts w:ascii="仿宋" w:hAnsi="仿宋" w:eastAsia="仿宋"/>
          <w:sz w:val="30"/>
          <w:szCs w:val="30"/>
        </w:rPr>
      </w:pPr>
      <w:r>
        <w:rPr>
          <w:rFonts w:ascii="仿宋" w:hAnsi="仿宋" w:eastAsia="仿宋"/>
          <w:sz w:val="30"/>
          <w:szCs w:val="30"/>
        </w:rPr>
        <w:t>鹤中一体化发展两年多，仍停留在市级独立推动阶段。“三区一县”因发展基础和资源禀赋差异，在诉求、项目推进等方面不一致，难成协调政策，区域集聚与要素支撑不足，高端要素难吸聚，需融入国省战略促高质量发展。</w:t>
      </w:r>
    </w:p>
    <w:p w14:paraId="0F05CFD5">
      <w:pPr>
        <w:ind w:firstLine="708" w:firstLineChars="236"/>
        <w:rPr>
          <w:rFonts w:ascii="仿宋" w:hAnsi="仿宋" w:eastAsia="仿宋"/>
          <w:sz w:val="30"/>
          <w:szCs w:val="30"/>
        </w:rPr>
      </w:pPr>
      <w:r>
        <w:rPr>
          <w:rFonts w:ascii="仿宋" w:hAnsi="仿宋" w:eastAsia="仿宋"/>
          <w:sz w:val="30"/>
          <w:szCs w:val="30"/>
        </w:rPr>
        <w:t>人防工程“重建设、轻管理”问题突出，老旧工程缺乏持续性维护，设施设备养护不足、墙体结构打洞穿孔、人防标识不统一等问题普遍，影响工程效能发挥。主要是监管保障机制不健全、维管责任主体不明确、维护资金保障不到位</w:t>
      </w:r>
      <w:r>
        <w:rPr>
          <w:rFonts w:hint="eastAsia" w:ascii="仿宋" w:hAnsi="仿宋" w:eastAsia="仿宋"/>
          <w:sz w:val="30"/>
          <w:szCs w:val="30"/>
        </w:rPr>
        <w:t>。</w:t>
      </w:r>
    </w:p>
    <w:p w14:paraId="365E9042">
      <w:pPr>
        <w:ind w:firstLine="708" w:firstLineChars="236"/>
        <w:rPr>
          <w:rFonts w:ascii="仿宋" w:hAnsi="仿宋" w:eastAsia="仿宋"/>
          <w:sz w:val="30"/>
          <w:szCs w:val="30"/>
        </w:rPr>
      </w:pPr>
      <w:r>
        <w:rPr>
          <w:rFonts w:ascii="仿宋" w:hAnsi="仿宋" w:eastAsia="仿宋"/>
          <w:sz w:val="30"/>
          <w:szCs w:val="30"/>
        </w:rPr>
        <w:t>十、下一步改进措施</w:t>
      </w:r>
    </w:p>
    <w:p w14:paraId="62F1CB16">
      <w:pPr>
        <w:ind w:firstLine="708" w:firstLineChars="236"/>
        <w:rPr>
          <w:rFonts w:ascii="仿宋" w:hAnsi="仿宋" w:eastAsia="仿宋"/>
          <w:sz w:val="30"/>
          <w:szCs w:val="30"/>
        </w:rPr>
      </w:pPr>
      <w:r>
        <w:rPr>
          <w:rFonts w:ascii="仿宋" w:hAnsi="仿宋" w:eastAsia="仿宋"/>
          <w:sz w:val="30"/>
          <w:szCs w:val="30"/>
        </w:rPr>
        <w:t>（一）强化预算执行管理</w:t>
      </w:r>
    </w:p>
    <w:p w14:paraId="04F8A877">
      <w:pPr>
        <w:ind w:firstLine="708" w:firstLineChars="236"/>
        <w:rPr>
          <w:rFonts w:ascii="仿宋" w:hAnsi="仿宋" w:eastAsia="仿宋"/>
          <w:sz w:val="30"/>
          <w:szCs w:val="30"/>
        </w:rPr>
      </w:pPr>
      <w:r>
        <w:rPr>
          <w:rFonts w:ascii="仿宋" w:hAnsi="仿宋" w:eastAsia="仿宋"/>
          <w:sz w:val="30"/>
          <w:szCs w:val="30"/>
        </w:rPr>
        <w:t>建立动态预警机制</w:t>
      </w:r>
      <w:r>
        <w:rPr>
          <w:rFonts w:hint="eastAsia" w:ascii="仿宋" w:hAnsi="仿宋" w:eastAsia="仿宋"/>
          <w:sz w:val="30"/>
          <w:szCs w:val="30"/>
        </w:rPr>
        <w:t>，</w:t>
      </w:r>
      <w:r>
        <w:rPr>
          <w:rFonts w:ascii="仿宋" w:hAnsi="仿宋" w:eastAsia="仿宋"/>
          <w:sz w:val="30"/>
          <w:szCs w:val="30"/>
        </w:rPr>
        <w:t>对预算执行率低于60%的项目，每月由财务部门发布预警通知，项目责任科室需提交进度说明及赶工计划。优化资金拨付流程</w:t>
      </w:r>
      <w:r>
        <w:rPr>
          <w:rFonts w:hint="eastAsia" w:ascii="仿宋" w:hAnsi="仿宋" w:eastAsia="仿宋"/>
          <w:sz w:val="30"/>
          <w:szCs w:val="30"/>
        </w:rPr>
        <w:t>，</w:t>
      </w:r>
      <w:r>
        <w:rPr>
          <w:rFonts w:ascii="仿宋" w:hAnsi="仿宋" w:eastAsia="仿宋"/>
          <w:sz w:val="30"/>
          <w:szCs w:val="30"/>
        </w:rPr>
        <w:t>简化项目资金申请审批环节，对已开工项目实行“按形象进度付款”，如人防专项业务经费项目按季度根据实际工作量审核拨付资金。</w:t>
      </w:r>
    </w:p>
    <w:p w14:paraId="3063A8B0">
      <w:pPr>
        <w:ind w:firstLine="708" w:firstLineChars="236"/>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）加强项目全周期管控</w:t>
      </w:r>
    </w:p>
    <w:p w14:paraId="11CA8FFC">
      <w:pPr>
        <w:ind w:firstLine="708" w:firstLineChars="236"/>
        <w:rPr>
          <w:rFonts w:ascii="仿宋" w:hAnsi="仿宋" w:eastAsia="仿宋"/>
          <w:sz w:val="30"/>
          <w:szCs w:val="30"/>
        </w:rPr>
      </w:pPr>
      <w:r>
        <w:rPr>
          <w:rFonts w:ascii="仿宋" w:hAnsi="仿宋" w:eastAsia="仿宋"/>
          <w:sz w:val="30"/>
          <w:szCs w:val="30"/>
        </w:rPr>
        <w:t>完善前期筹备机制</w:t>
      </w:r>
      <w:r>
        <w:rPr>
          <w:rFonts w:hint="eastAsia" w:ascii="仿宋" w:hAnsi="仿宋" w:eastAsia="仿宋"/>
          <w:sz w:val="30"/>
          <w:szCs w:val="30"/>
        </w:rPr>
        <w:t>，</w:t>
      </w:r>
      <w:r>
        <w:rPr>
          <w:rFonts w:ascii="仿宋" w:hAnsi="仿宋" w:eastAsia="仿宋"/>
          <w:sz w:val="30"/>
          <w:szCs w:val="30"/>
        </w:rPr>
        <w:t>项目申报前需完成立项、环评、用地预审等前期工作。建立双周调度制度</w:t>
      </w:r>
      <w:r>
        <w:rPr>
          <w:rFonts w:hint="eastAsia" w:ascii="仿宋" w:hAnsi="仿宋" w:eastAsia="仿宋"/>
          <w:sz w:val="30"/>
          <w:szCs w:val="30"/>
        </w:rPr>
        <w:t>，</w:t>
      </w:r>
      <w:r>
        <w:rPr>
          <w:rFonts w:ascii="仿宋" w:hAnsi="仿宋" w:eastAsia="仿宋"/>
          <w:sz w:val="30"/>
          <w:szCs w:val="30"/>
        </w:rPr>
        <w:t>由委领导牵头，对重点项目实行双周现场调度，完成现有项目的进度问题梳理。</w:t>
      </w:r>
    </w:p>
    <w:p w14:paraId="77829FA8">
      <w:pPr>
        <w:ind w:firstLine="708" w:firstLineChars="236"/>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）提升绩效目标达成度</w:t>
      </w:r>
    </w:p>
    <w:p w14:paraId="69D3966D">
      <w:pPr>
        <w:ind w:firstLine="708" w:firstLineChars="236"/>
        <w:rPr>
          <w:rFonts w:ascii="仿宋" w:hAnsi="仿宋" w:eastAsia="仿宋"/>
          <w:sz w:val="30"/>
          <w:szCs w:val="30"/>
        </w:rPr>
      </w:pPr>
      <w:r>
        <w:rPr>
          <w:rFonts w:ascii="仿宋" w:hAnsi="仿宋" w:eastAsia="仿宋"/>
          <w:sz w:val="30"/>
          <w:szCs w:val="30"/>
        </w:rPr>
        <w:t>动态调整目标指标</w:t>
      </w:r>
      <w:r>
        <w:rPr>
          <w:rFonts w:hint="eastAsia" w:ascii="仿宋" w:hAnsi="仿宋" w:eastAsia="仿宋"/>
          <w:sz w:val="30"/>
          <w:szCs w:val="30"/>
        </w:rPr>
        <w:t>，</w:t>
      </w:r>
      <w:r>
        <w:rPr>
          <w:rFonts w:ascii="仿宋" w:hAnsi="仿宋" w:eastAsia="仿宋"/>
          <w:sz w:val="30"/>
          <w:szCs w:val="30"/>
        </w:rPr>
        <w:t>对因政策变化或市场波动导致无法完成的指标，如部分产业项目产值目标，重新核定并报上级备案。强化效益跟踪评估</w:t>
      </w:r>
      <w:r>
        <w:rPr>
          <w:rFonts w:hint="eastAsia" w:ascii="仿宋" w:hAnsi="仿宋" w:eastAsia="仿宋"/>
          <w:sz w:val="30"/>
          <w:szCs w:val="30"/>
        </w:rPr>
        <w:t>，</w:t>
      </w:r>
      <w:r>
        <w:rPr>
          <w:rFonts w:ascii="仿宋" w:hAnsi="仿宋" w:eastAsia="仿宋"/>
          <w:sz w:val="30"/>
          <w:szCs w:val="30"/>
        </w:rPr>
        <w:t>对已完工项目开展后评价。</w:t>
      </w:r>
    </w:p>
    <w:p w14:paraId="6BE64139">
      <w:pPr>
        <w:ind w:firstLine="708" w:firstLineChars="236"/>
        <w:rPr>
          <w:rFonts w:ascii="仿宋" w:hAnsi="仿宋" w:eastAsia="仿宋"/>
          <w:sz w:val="30"/>
          <w:szCs w:val="30"/>
        </w:rPr>
      </w:pPr>
      <w:r>
        <w:rPr>
          <w:rFonts w:ascii="仿宋" w:hAnsi="仿宋" w:eastAsia="仿宋"/>
          <w:sz w:val="30"/>
          <w:szCs w:val="30"/>
        </w:rPr>
        <w:t>十一、绩效自评结果拟应用和公开情况</w:t>
      </w:r>
    </w:p>
    <w:p w14:paraId="6ACF4FF6">
      <w:pPr>
        <w:ind w:firstLine="708" w:firstLineChars="236"/>
        <w:rPr>
          <w:rFonts w:ascii="仿宋" w:hAnsi="仿宋" w:eastAsia="仿宋"/>
          <w:sz w:val="30"/>
          <w:szCs w:val="30"/>
        </w:rPr>
      </w:pPr>
      <w:r>
        <w:rPr>
          <w:rFonts w:ascii="仿宋" w:hAnsi="仿宋" w:eastAsia="仿宋"/>
          <w:sz w:val="30"/>
          <w:szCs w:val="30"/>
        </w:rPr>
        <w:t>绩效自评结果将作为2025年预算安排的重要依据，对自评得分90分以上的项目优先保障并上浮10%预算，得分70分以下的项目削减20%预算。同时，自评报告将通过市发改委官网公开，接受社会监督，具体公开时间待内部审议后确定。</w:t>
      </w:r>
    </w:p>
    <w:p w14:paraId="4CAE166E">
      <w:pPr>
        <w:ind w:firstLine="708" w:firstLineChars="236"/>
        <w:rPr>
          <w:rFonts w:ascii="仿宋" w:hAnsi="仿宋" w:eastAsia="仿宋"/>
          <w:sz w:val="30"/>
          <w:szCs w:val="30"/>
        </w:rPr>
      </w:pPr>
      <w:r>
        <w:rPr>
          <w:rFonts w:ascii="仿宋" w:hAnsi="仿宋" w:eastAsia="仿宋"/>
          <w:sz w:val="30"/>
          <w:szCs w:val="30"/>
        </w:rPr>
        <w:t>十二、其他需要说明的问题</w:t>
      </w:r>
    </w:p>
    <w:p w14:paraId="059FBEF1">
      <w:pPr>
        <w:ind w:firstLine="708" w:firstLineChars="236"/>
        <w:rPr>
          <w:rFonts w:ascii="仿宋" w:hAnsi="仿宋" w:eastAsia="仿宋"/>
          <w:sz w:val="30"/>
          <w:szCs w:val="30"/>
        </w:rPr>
      </w:pPr>
      <w:r>
        <w:rPr>
          <w:rFonts w:hint="eastAsia" w:ascii="仿宋" w:hAnsi="仿宋" w:eastAsia="仿宋"/>
          <w:sz w:val="30"/>
          <w:szCs w:val="30"/>
        </w:rPr>
        <w:t>无</w:t>
      </w:r>
    </w:p>
    <w:p w14:paraId="5475F371">
      <w:pPr>
        <w:ind w:firstLine="708" w:firstLineChars="236"/>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5563"/>
    <w:rsid w:val="00094820"/>
    <w:rsid w:val="000C62FD"/>
    <w:rsid w:val="000E0A43"/>
    <w:rsid w:val="00136CE3"/>
    <w:rsid w:val="00195563"/>
    <w:rsid w:val="001C0169"/>
    <w:rsid w:val="001C2109"/>
    <w:rsid w:val="001C47A2"/>
    <w:rsid w:val="00260725"/>
    <w:rsid w:val="002919A3"/>
    <w:rsid w:val="004357D7"/>
    <w:rsid w:val="00495FB3"/>
    <w:rsid w:val="00550B40"/>
    <w:rsid w:val="005E5C44"/>
    <w:rsid w:val="006B45A2"/>
    <w:rsid w:val="0074527C"/>
    <w:rsid w:val="007B39B8"/>
    <w:rsid w:val="007C7858"/>
    <w:rsid w:val="00822FAF"/>
    <w:rsid w:val="008F4297"/>
    <w:rsid w:val="009B71B2"/>
    <w:rsid w:val="00A21C90"/>
    <w:rsid w:val="00A9410E"/>
    <w:rsid w:val="00BE64A9"/>
    <w:rsid w:val="00C448EC"/>
    <w:rsid w:val="00D71E3C"/>
    <w:rsid w:val="00DA6924"/>
    <w:rsid w:val="00E52146"/>
    <w:rsid w:val="00E61F73"/>
    <w:rsid w:val="00EC3770"/>
    <w:rsid w:val="00EE7507"/>
    <w:rsid w:val="00F96273"/>
    <w:rsid w:val="00F96D18"/>
    <w:rsid w:val="00FF6A7F"/>
    <w:rsid w:val="338A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w w:val="100"/>
      <w:kern w:val="2"/>
      <w:sz w:val="21"/>
      <w:szCs w:val="24"/>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customStyle="1" w:styleId="12">
    <w:name w:val="标题 1 Char"/>
    <w:basedOn w:val="10"/>
    <w:link w:val="2"/>
    <w:uiPriority w:val="9"/>
    <w:rPr>
      <w:rFonts w:ascii="宋体" w:hAnsi="宋体" w:eastAsia="宋体" w:cs="宋体"/>
      <w:b/>
      <w:bCs/>
      <w:w w:val="100"/>
      <w:kern w:val="36"/>
      <w:sz w:val="48"/>
      <w:szCs w:val="48"/>
    </w:rPr>
  </w:style>
  <w:style w:type="character" w:customStyle="1" w:styleId="13">
    <w:name w:val="页眉 Char"/>
    <w:basedOn w:val="10"/>
    <w:link w:val="7"/>
    <w:semiHidden/>
    <w:uiPriority w:val="99"/>
    <w:rPr>
      <w:rFonts w:asciiTheme="minorHAnsi" w:hAnsiTheme="minorHAnsi" w:eastAsiaTheme="minorEastAsia"/>
      <w:w w:val="100"/>
      <w:sz w:val="18"/>
      <w:szCs w:val="18"/>
    </w:rPr>
  </w:style>
  <w:style w:type="character" w:customStyle="1" w:styleId="14">
    <w:name w:val="页脚 Char"/>
    <w:basedOn w:val="10"/>
    <w:link w:val="6"/>
    <w:semiHidden/>
    <w:uiPriority w:val="99"/>
    <w:rPr>
      <w:rFonts w:asciiTheme="minorHAnsi" w:hAnsiTheme="minorHAnsi" w:eastAsiaTheme="minorEastAsia"/>
      <w:w w:val="100"/>
      <w:sz w:val="18"/>
      <w:szCs w:val="18"/>
    </w:rPr>
  </w:style>
  <w:style w:type="character" w:customStyle="1" w:styleId="15">
    <w:name w:val="标题 2 Char"/>
    <w:basedOn w:val="10"/>
    <w:link w:val="3"/>
    <w:semiHidden/>
    <w:uiPriority w:val="9"/>
    <w:rPr>
      <w:rFonts w:asciiTheme="majorHAnsi" w:hAnsiTheme="majorHAnsi" w:eastAsiaTheme="majorEastAsia" w:cstheme="majorBidi"/>
      <w:b/>
      <w:bCs/>
      <w:w w:val="100"/>
      <w:sz w:val="32"/>
      <w:szCs w:val="32"/>
    </w:rPr>
  </w:style>
  <w:style w:type="character" w:customStyle="1" w:styleId="16">
    <w:name w:val="标题 3 Char"/>
    <w:basedOn w:val="10"/>
    <w:link w:val="4"/>
    <w:semiHidden/>
    <w:uiPriority w:val="9"/>
    <w:rPr>
      <w:rFonts w:asciiTheme="minorHAnsi" w:hAnsiTheme="minorHAnsi" w:eastAsiaTheme="minorEastAsia"/>
      <w:b/>
      <w:bCs/>
      <w:w w:val="100"/>
      <w:sz w:val="32"/>
      <w:szCs w:val="32"/>
    </w:rPr>
  </w:style>
  <w:style w:type="character" w:customStyle="1" w:styleId="17">
    <w:name w:val="标题 4 Char"/>
    <w:basedOn w:val="10"/>
    <w:link w:val="5"/>
    <w:semiHidden/>
    <w:uiPriority w:val="9"/>
    <w:rPr>
      <w:rFonts w:asciiTheme="majorHAnsi" w:hAnsiTheme="majorHAnsi" w:eastAsiaTheme="majorEastAsia" w:cstheme="majorBidi"/>
      <w:b/>
      <w:bCs/>
      <w:w w:val="1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6249</Words>
  <Characters>6929</Characters>
  <Lines>50</Lines>
  <Paragraphs>14</Paragraphs>
  <TotalTime>6</TotalTime>
  <ScaleCrop>false</ScaleCrop>
  <LinksUpToDate>false</LinksUpToDate>
  <CharactersWithSpaces>6929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2025-06-10T17:35:00Z</dcterms:created>
  <dc:creator>Administrator</dc:creator>
  <cp:lastModifiedBy>奔跑吧少年</cp:lastModifiedBy>
  <dcterms:modified xsi:type="dcterms:W3CDTF">2025-06-23T00:59:21Z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eyJoZGlkIjoiOTAyMzE4NmNjMDMyOWRiNzdjMGFlZTJjMzVhYWI1ZGQiLCJ1c2VySWQiOiIyOTgwNDkwNjQifQ==</vt:lpwstr>
  </property>
  <property fmtid="{D5CDD505-2E9C-101B-9397-08002B2CF9AE}" pid="3" name="KSOProductBuildVer">
    <vt:lpwstr>2052-12.1.0.21541</vt:lpwstr>
  </property>
  <property fmtid="{D5CDD505-2E9C-101B-9397-08002B2CF9AE}" pid="4" name="ICV">
    <vt:lpwstr>42903E28DC604B4F837CE6D43F5BB6ED_12</vt:lpwstr>
  </property>
</Properties>
</file>