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6E18F">
      <w:pPr>
        <w:spacing w:line="360" w:lineRule="auto"/>
        <w:rPr>
          <w:rFonts w:ascii="仿宋" w:hAnsi="仿宋" w:eastAsia="仿宋"/>
          <w:w w:val="100"/>
          <w:sz w:val="28"/>
          <w:szCs w:val="24"/>
        </w:rPr>
      </w:pPr>
      <w:r>
        <w:rPr>
          <w:rFonts w:hint="eastAsia" w:ascii="仿宋" w:hAnsi="仿宋" w:eastAsia="仿宋"/>
          <w:w w:val="100"/>
          <w:sz w:val="28"/>
          <w:szCs w:val="24"/>
        </w:rPr>
        <w:t>附件6</w:t>
      </w:r>
    </w:p>
    <w:p w14:paraId="7D8651B2">
      <w:pPr>
        <w:spacing w:line="360" w:lineRule="auto"/>
        <w:rPr>
          <w:rFonts w:ascii="仿宋" w:hAnsi="仿宋" w:eastAsia="仿宋" w:cs="仿宋"/>
          <w:b/>
          <w:bCs/>
          <w:w w:val="100"/>
          <w:szCs w:val="44"/>
        </w:rPr>
      </w:pPr>
    </w:p>
    <w:p w14:paraId="78EF5FC0">
      <w:pPr>
        <w:spacing w:line="360" w:lineRule="auto"/>
        <w:rPr>
          <w:rFonts w:ascii="仿宋" w:hAnsi="仿宋" w:eastAsia="仿宋" w:cs="仿宋"/>
          <w:b/>
          <w:bCs/>
          <w:w w:val="100"/>
          <w:szCs w:val="44"/>
        </w:rPr>
      </w:pPr>
    </w:p>
    <w:p w14:paraId="5BF774BF">
      <w:pPr>
        <w:spacing w:line="360" w:lineRule="auto"/>
        <w:rPr>
          <w:rFonts w:ascii="仿宋" w:hAnsi="仿宋" w:eastAsia="仿宋" w:cs="仿宋"/>
          <w:b/>
          <w:bCs/>
          <w:w w:val="100"/>
          <w:szCs w:val="44"/>
        </w:rPr>
      </w:pPr>
    </w:p>
    <w:p w14:paraId="739FE164">
      <w:pPr>
        <w:spacing w:line="360" w:lineRule="auto"/>
        <w:jc w:val="center"/>
        <w:rPr>
          <w:rFonts w:ascii="仿宋" w:hAnsi="仿宋" w:eastAsia="仿宋" w:cs="仿宋"/>
          <w:b/>
          <w:bCs/>
          <w:w w:val="100"/>
          <w:szCs w:val="44"/>
        </w:rPr>
      </w:pPr>
      <w:r>
        <w:rPr>
          <w:rFonts w:hint="eastAsia" w:ascii="仿宋" w:hAnsi="仿宋" w:eastAsia="仿宋" w:cs="仿宋"/>
          <w:b/>
          <w:bCs/>
          <w:w w:val="100"/>
          <w:szCs w:val="44"/>
        </w:rPr>
        <w:t>2024年度</w:t>
      </w:r>
      <w:r>
        <w:rPr>
          <w:rFonts w:ascii="仿宋" w:hAnsi="仿宋" w:eastAsia="仿宋" w:cs="仿宋"/>
          <w:b/>
          <w:bCs/>
          <w:w w:val="100"/>
          <w:szCs w:val="44"/>
        </w:rPr>
        <w:t>怀化市发展和改革委员会</w:t>
      </w:r>
    </w:p>
    <w:p w14:paraId="044F1F84">
      <w:pPr>
        <w:spacing w:line="360" w:lineRule="auto"/>
        <w:jc w:val="center"/>
        <w:rPr>
          <w:rFonts w:ascii="仿宋" w:hAnsi="仿宋" w:eastAsia="仿宋" w:cs="仿宋"/>
          <w:b/>
          <w:bCs/>
          <w:w w:val="100"/>
          <w:szCs w:val="44"/>
        </w:rPr>
      </w:pPr>
      <w:r>
        <w:rPr>
          <w:rFonts w:ascii="仿宋" w:hAnsi="仿宋" w:eastAsia="仿宋" w:cs="仿宋"/>
          <w:b/>
          <w:bCs/>
          <w:w w:val="100"/>
          <w:szCs w:val="44"/>
        </w:rPr>
        <w:t>“鹤中一体化专项经费”</w:t>
      </w:r>
      <w:r>
        <w:rPr>
          <w:rFonts w:hint="eastAsia" w:ascii="仿宋" w:hAnsi="仿宋" w:eastAsia="仿宋" w:cs="仿宋"/>
          <w:b/>
          <w:bCs/>
          <w:w w:val="100"/>
          <w:szCs w:val="44"/>
        </w:rPr>
        <w:t>项目支出绩效自评报告</w:t>
      </w:r>
    </w:p>
    <w:p w14:paraId="6158AAA2">
      <w:pPr>
        <w:spacing w:line="360" w:lineRule="auto"/>
        <w:jc w:val="center"/>
        <w:rPr>
          <w:rFonts w:ascii="仿宋" w:hAnsi="仿宋" w:eastAsia="仿宋" w:cs="仿宋"/>
          <w:b/>
          <w:w w:val="100"/>
          <w:sz w:val="32"/>
          <w:szCs w:val="32"/>
        </w:rPr>
      </w:pPr>
    </w:p>
    <w:p w14:paraId="2F563842">
      <w:pPr>
        <w:spacing w:line="360" w:lineRule="auto"/>
        <w:jc w:val="center"/>
        <w:rPr>
          <w:rFonts w:ascii="仿宋" w:hAnsi="仿宋" w:eastAsia="仿宋" w:cs="仿宋"/>
          <w:w w:val="100"/>
          <w:sz w:val="32"/>
          <w:szCs w:val="32"/>
        </w:rPr>
      </w:pPr>
    </w:p>
    <w:p w14:paraId="23F19DA9">
      <w:pPr>
        <w:spacing w:line="360" w:lineRule="auto"/>
        <w:jc w:val="center"/>
        <w:rPr>
          <w:rFonts w:ascii="仿宋" w:hAnsi="仿宋" w:eastAsia="仿宋" w:cs="仿宋"/>
          <w:w w:val="100"/>
          <w:sz w:val="32"/>
          <w:szCs w:val="32"/>
        </w:rPr>
      </w:pPr>
    </w:p>
    <w:p w14:paraId="124DA9CA">
      <w:pPr>
        <w:spacing w:line="360" w:lineRule="auto"/>
        <w:jc w:val="center"/>
        <w:rPr>
          <w:rFonts w:ascii="仿宋" w:hAnsi="仿宋" w:eastAsia="仿宋" w:cs="仿宋"/>
          <w:w w:val="100"/>
          <w:sz w:val="32"/>
          <w:szCs w:val="32"/>
        </w:rPr>
      </w:pPr>
    </w:p>
    <w:p w14:paraId="2E45E6D1">
      <w:pPr>
        <w:spacing w:line="360" w:lineRule="auto"/>
        <w:jc w:val="center"/>
        <w:rPr>
          <w:rFonts w:ascii="仿宋" w:hAnsi="仿宋" w:eastAsia="仿宋" w:cs="仿宋"/>
          <w:w w:val="100"/>
          <w:sz w:val="32"/>
          <w:szCs w:val="32"/>
        </w:rPr>
      </w:pPr>
    </w:p>
    <w:p w14:paraId="51B03C7C">
      <w:pPr>
        <w:spacing w:line="360" w:lineRule="auto"/>
        <w:rPr>
          <w:rFonts w:ascii="仿宋" w:hAnsi="仿宋" w:eastAsia="仿宋" w:cs="仿宋"/>
          <w:w w:val="100"/>
          <w:sz w:val="32"/>
          <w:szCs w:val="32"/>
        </w:rPr>
      </w:pPr>
    </w:p>
    <w:p w14:paraId="0EBF8DC5">
      <w:pPr>
        <w:spacing w:line="360" w:lineRule="auto"/>
        <w:ind w:firstLine="2560" w:firstLineChars="800"/>
        <w:rPr>
          <w:rFonts w:ascii="仿宋" w:hAnsi="仿宋" w:eastAsia="仿宋" w:cs="仿宋"/>
          <w:w w:val="100"/>
          <w:sz w:val="32"/>
          <w:szCs w:val="32"/>
          <w:u w:val="single"/>
        </w:rPr>
      </w:pPr>
      <w:r>
        <w:rPr>
          <w:rFonts w:hint="eastAsia" w:ascii="仿宋" w:hAnsi="仿宋" w:eastAsia="仿宋" w:cs="仿宋"/>
          <w:w w:val="100"/>
          <w:sz w:val="32"/>
          <w:szCs w:val="32"/>
        </w:rPr>
        <w:t>单位名称：</w:t>
      </w:r>
      <w:r>
        <w:rPr>
          <w:rFonts w:hint="eastAsia" w:ascii="仿宋" w:hAnsi="仿宋" w:eastAsia="仿宋" w:cs="仿宋"/>
          <w:w w:val="100"/>
          <w:sz w:val="32"/>
          <w:szCs w:val="32"/>
          <w:u w:val="single"/>
        </w:rPr>
        <w:t xml:space="preserve">    （盖章）        </w:t>
      </w:r>
    </w:p>
    <w:p w14:paraId="6B0222DA">
      <w:pPr>
        <w:spacing w:line="360" w:lineRule="auto"/>
        <w:ind w:firstLine="3200" w:firstLineChars="1000"/>
        <w:rPr>
          <w:rFonts w:ascii="仿宋" w:hAnsi="仿宋" w:eastAsia="仿宋" w:cs="仿宋"/>
          <w:w w:val="100"/>
          <w:sz w:val="32"/>
          <w:szCs w:val="32"/>
        </w:rPr>
      </w:pPr>
    </w:p>
    <w:p w14:paraId="727EA4DE">
      <w:pPr>
        <w:spacing w:line="360" w:lineRule="auto"/>
        <w:ind w:firstLine="3200" w:firstLineChars="1000"/>
        <w:rPr>
          <w:rFonts w:ascii="仿宋" w:hAnsi="仿宋" w:eastAsia="仿宋" w:cs="仿宋"/>
          <w:w w:val="100"/>
          <w:sz w:val="32"/>
          <w:szCs w:val="32"/>
        </w:rPr>
      </w:pPr>
      <w:r>
        <w:rPr>
          <w:rFonts w:hint="eastAsia" w:ascii="仿宋" w:hAnsi="仿宋" w:eastAsia="仿宋" w:cs="仿宋"/>
          <w:w w:val="100"/>
          <w:sz w:val="32"/>
          <w:szCs w:val="32"/>
        </w:rPr>
        <w:t>2024年6月4日</w:t>
      </w:r>
    </w:p>
    <w:p w14:paraId="3ABC6A7E">
      <w:pPr>
        <w:spacing w:line="360" w:lineRule="auto"/>
        <w:jc w:val="center"/>
        <w:rPr>
          <w:rFonts w:ascii="仿宋" w:hAnsi="仿宋" w:eastAsia="仿宋" w:cs="仿宋"/>
          <w:w w:val="100"/>
          <w:sz w:val="32"/>
          <w:szCs w:val="32"/>
        </w:rPr>
      </w:pPr>
    </w:p>
    <w:p w14:paraId="7920EF78">
      <w:pPr>
        <w:widowControl/>
        <w:spacing w:line="360" w:lineRule="auto"/>
        <w:jc w:val="center"/>
        <w:rPr>
          <w:rFonts w:ascii="仿宋" w:hAnsi="仿宋" w:eastAsia="仿宋" w:cs="仿宋"/>
          <w:w w:val="100"/>
          <w:sz w:val="32"/>
          <w:szCs w:val="32"/>
        </w:rPr>
      </w:pPr>
      <w:r>
        <w:rPr>
          <w:rFonts w:hint="eastAsia" w:ascii="仿宋" w:hAnsi="仿宋" w:eastAsia="仿宋" w:cs="仿宋"/>
          <w:w w:val="100"/>
          <w:sz w:val="32"/>
          <w:szCs w:val="32"/>
        </w:rPr>
        <w:t>（此页为封面）</w:t>
      </w:r>
    </w:p>
    <w:p w14:paraId="2BF024BF">
      <w:pPr>
        <w:widowControl/>
        <w:spacing w:line="360" w:lineRule="auto"/>
        <w:jc w:val="left"/>
        <w:rPr>
          <w:rFonts w:ascii="仿宋" w:hAnsi="仿宋" w:eastAsia="仿宋" w:cs="仿宋"/>
          <w:w w:val="100"/>
          <w:sz w:val="32"/>
          <w:szCs w:val="32"/>
        </w:rPr>
      </w:pPr>
      <w:r>
        <w:rPr>
          <w:rFonts w:ascii="仿宋" w:hAnsi="仿宋" w:eastAsia="仿宋" w:cs="仿宋"/>
          <w:w w:val="100"/>
          <w:sz w:val="32"/>
          <w:szCs w:val="32"/>
        </w:rPr>
        <w:br w:type="page"/>
      </w:r>
    </w:p>
    <w:p w14:paraId="6CD08BB9">
      <w:pPr>
        <w:widowControl/>
        <w:spacing w:line="360" w:lineRule="auto"/>
        <w:jc w:val="left"/>
        <w:rPr>
          <w:rFonts w:asciiTheme="minorEastAsia" w:hAnsiTheme="minorEastAsia" w:eastAsiaTheme="minorEastAsia"/>
          <w:w w:val="100"/>
          <w:sz w:val="28"/>
          <w:szCs w:val="28"/>
        </w:rPr>
      </w:pPr>
    </w:p>
    <w:p w14:paraId="78D31690">
      <w:pPr>
        <w:jc w:val="center"/>
        <w:rPr>
          <w:rFonts w:hint="eastAsia"/>
          <w:b/>
          <w:w w:val="80"/>
          <w:sz w:val="36"/>
          <w:szCs w:val="36"/>
        </w:rPr>
      </w:pPr>
      <w:r>
        <w:rPr>
          <w:b/>
          <w:w w:val="80"/>
          <w:sz w:val="36"/>
          <w:szCs w:val="36"/>
        </w:rPr>
        <w:t>怀化市发展和改革委员会</w:t>
      </w:r>
    </w:p>
    <w:p w14:paraId="1D4E539D">
      <w:pPr>
        <w:jc w:val="center"/>
        <w:rPr>
          <w:rFonts w:ascii="仿宋" w:hAnsi="仿宋" w:eastAsia="仿宋"/>
          <w:w w:val="100"/>
          <w:sz w:val="30"/>
          <w:szCs w:val="30"/>
        </w:rPr>
      </w:pPr>
      <w:r>
        <w:rPr>
          <w:b/>
          <w:w w:val="80"/>
          <w:sz w:val="36"/>
          <w:szCs w:val="36"/>
        </w:rPr>
        <w:t>“鹤中一体化专项经费”2024年度项目支出绩效自评报告</w:t>
      </w:r>
    </w:p>
    <w:p w14:paraId="29D7ECFF">
      <w:pPr>
        <w:ind w:firstLine="708" w:firstLineChars="236"/>
        <w:rPr>
          <w:rFonts w:hint="eastAsia" w:ascii="仿宋" w:hAnsi="仿宋" w:eastAsia="仿宋"/>
          <w:w w:val="100"/>
          <w:sz w:val="30"/>
          <w:szCs w:val="30"/>
        </w:rPr>
      </w:pPr>
    </w:p>
    <w:p w14:paraId="2CDA9736">
      <w:pPr>
        <w:ind w:firstLine="708" w:firstLineChars="236"/>
        <w:rPr>
          <w:rFonts w:ascii="仿宋" w:hAnsi="仿宋" w:eastAsia="仿宋"/>
          <w:w w:val="100"/>
          <w:sz w:val="30"/>
          <w:szCs w:val="30"/>
        </w:rPr>
      </w:pPr>
      <w:r>
        <w:rPr>
          <w:rFonts w:ascii="仿宋" w:hAnsi="仿宋" w:eastAsia="仿宋"/>
          <w:w w:val="100"/>
          <w:sz w:val="30"/>
          <w:szCs w:val="30"/>
        </w:rPr>
        <w:t>一、项目概况</w:t>
      </w:r>
    </w:p>
    <w:p w14:paraId="70B20D68">
      <w:pPr>
        <w:ind w:firstLine="708" w:firstLineChars="236"/>
        <w:rPr>
          <w:rFonts w:ascii="仿宋" w:hAnsi="仿宋" w:eastAsia="仿宋"/>
          <w:w w:val="100"/>
          <w:sz w:val="30"/>
          <w:szCs w:val="30"/>
        </w:rPr>
      </w:pPr>
      <w:r>
        <w:rPr>
          <w:rFonts w:ascii="仿宋" w:hAnsi="仿宋" w:eastAsia="仿宋"/>
          <w:w w:val="100"/>
          <w:sz w:val="30"/>
          <w:szCs w:val="30"/>
        </w:rPr>
        <w:t>（一）项目基本情况</w:t>
      </w:r>
    </w:p>
    <w:p w14:paraId="2DC73738">
      <w:pPr>
        <w:ind w:firstLine="708" w:firstLineChars="236"/>
        <w:rPr>
          <w:rFonts w:ascii="仿宋" w:hAnsi="仿宋" w:eastAsia="仿宋"/>
          <w:w w:val="100"/>
          <w:sz w:val="30"/>
          <w:szCs w:val="30"/>
        </w:rPr>
      </w:pPr>
      <w:r>
        <w:rPr>
          <w:rFonts w:ascii="仿宋" w:hAnsi="仿宋" w:eastAsia="仿宋"/>
          <w:w w:val="100"/>
          <w:sz w:val="30"/>
          <w:szCs w:val="30"/>
        </w:rPr>
        <w:t>1.项目主管部门在该项目管理中的职能</w:t>
      </w:r>
    </w:p>
    <w:p w14:paraId="024B8582">
      <w:pPr>
        <w:ind w:firstLine="708" w:firstLineChars="236"/>
        <w:rPr>
          <w:rFonts w:ascii="仿宋" w:hAnsi="仿宋" w:eastAsia="仿宋"/>
          <w:w w:val="100"/>
          <w:sz w:val="30"/>
          <w:szCs w:val="30"/>
        </w:rPr>
      </w:pPr>
      <w:r>
        <w:rPr>
          <w:rFonts w:ascii="仿宋" w:hAnsi="仿宋" w:eastAsia="仿宋"/>
          <w:w w:val="100"/>
          <w:sz w:val="30"/>
          <w:szCs w:val="30"/>
        </w:rPr>
        <w:t>怀化市发展和改革委员会作为鹤中一体化专项经费项目的主管部门，承担统筹规划、资金监管与协调推进的核心职能。市发改委区域协调发展科具体负责编制《怀化市鹤中一体化发展规划(2023-2027年)》，</w:t>
      </w:r>
      <w:r>
        <w:rPr>
          <w:rFonts w:hint="eastAsia" w:ascii="仿宋" w:hAnsi="仿宋" w:eastAsia="仿宋"/>
          <w:w w:val="100"/>
          <w:sz w:val="30"/>
          <w:szCs w:val="30"/>
        </w:rPr>
        <w:t>鹤中一体化筹备组</w:t>
      </w:r>
      <w:r>
        <w:rPr>
          <w:rFonts w:ascii="仿宋" w:hAnsi="仿宋" w:eastAsia="仿宋"/>
          <w:w w:val="100"/>
          <w:sz w:val="30"/>
          <w:szCs w:val="30"/>
        </w:rPr>
        <w:t>牵头落实市政府关于鹤中一体化的决策部署，包括制定年度重点工作任务、分解项目责任清单。在资金管理方面，固定资产投资科与财务室协同负责专项经费的预算编制、资金拨付及绩效监控，确保资金投向符合“做大做强中心城区”的战略目标。</w:t>
      </w:r>
    </w:p>
    <w:p w14:paraId="3C0B584F">
      <w:pPr>
        <w:ind w:firstLine="708" w:firstLineChars="236"/>
        <w:rPr>
          <w:rFonts w:ascii="仿宋" w:hAnsi="仿宋" w:eastAsia="仿宋"/>
          <w:w w:val="100"/>
          <w:sz w:val="30"/>
          <w:szCs w:val="30"/>
        </w:rPr>
      </w:pPr>
      <w:r>
        <w:rPr>
          <w:rFonts w:ascii="仿宋" w:hAnsi="仿宋" w:eastAsia="仿宋"/>
          <w:w w:val="100"/>
          <w:sz w:val="30"/>
          <w:szCs w:val="30"/>
        </w:rPr>
        <w:t>2.项目立项、资金申报的依据</w:t>
      </w:r>
    </w:p>
    <w:p w14:paraId="29C7F639">
      <w:pPr>
        <w:ind w:firstLine="708" w:firstLineChars="236"/>
        <w:rPr>
          <w:rFonts w:ascii="仿宋" w:hAnsi="仿宋" w:eastAsia="仿宋"/>
          <w:w w:val="100"/>
          <w:sz w:val="30"/>
          <w:szCs w:val="30"/>
        </w:rPr>
      </w:pPr>
      <w:r>
        <w:rPr>
          <w:rFonts w:ascii="仿宋" w:hAnsi="仿宋" w:eastAsia="仿宋"/>
          <w:w w:val="100"/>
          <w:sz w:val="30"/>
          <w:szCs w:val="30"/>
        </w:rPr>
        <w:t>项目立项依据主要包括国家区域协调发展战略、湖南省对怀化“五省边区中心城市”的定位，以及《怀化市国民经济和社会发展第十四个五年规划和二〇三五年远景目标纲要》。2024年专项经费申报严格遵循《鹤中一体化区域协调发展国土空间专项规划(2023-2035年)》，该规划经怀化市人民政府批复，明确了“城乡景共联、港产城共融”的五维目标及31项核心指标。资金申报还依据《怀化市2023年预算执行情况和2024年预算草案的报告》，其中明确将鹤中一体化列为市本级财政支持的重点领域。申报材料需附项目可行性研究报告、绩效目标申报表，以及鹤城区、中方县等实施单位的配套资金承诺函。</w:t>
      </w:r>
    </w:p>
    <w:p w14:paraId="1FC87B72">
      <w:pPr>
        <w:ind w:firstLine="708" w:firstLineChars="236"/>
        <w:rPr>
          <w:rFonts w:ascii="仿宋" w:hAnsi="仿宋" w:eastAsia="仿宋"/>
          <w:w w:val="100"/>
          <w:sz w:val="30"/>
          <w:szCs w:val="30"/>
        </w:rPr>
      </w:pPr>
      <w:r>
        <w:rPr>
          <w:rFonts w:ascii="仿宋" w:hAnsi="仿宋" w:eastAsia="仿宋"/>
          <w:w w:val="100"/>
          <w:sz w:val="30"/>
          <w:szCs w:val="30"/>
        </w:rPr>
        <w:t>3.资金管理办法制定情况，资金支持具体项目的条件、范围与支持方式概况</w:t>
      </w:r>
    </w:p>
    <w:p w14:paraId="4A2E9A78">
      <w:pPr>
        <w:ind w:firstLine="708" w:firstLineChars="236"/>
        <w:rPr>
          <w:rFonts w:ascii="仿宋" w:hAnsi="仿宋" w:eastAsia="仿宋"/>
          <w:w w:val="100"/>
          <w:sz w:val="30"/>
          <w:szCs w:val="30"/>
        </w:rPr>
      </w:pPr>
      <w:r>
        <w:rPr>
          <w:rFonts w:ascii="仿宋" w:hAnsi="仿宋" w:eastAsia="仿宋"/>
          <w:w w:val="100"/>
          <w:sz w:val="30"/>
          <w:szCs w:val="30"/>
        </w:rPr>
        <w:t>市发改委制定了《鹤中一体化专项经费管理办法》，该办法明确资金支持范围为鹤城区、中方县、怀化高新区、怀化国际陆港经开区内的基础设施、产业融合、公共服务一体化项目。具体支持条件包括：项目需纳入《鹤中一体化2024年重点建设项目清单》，且符合国土空间专项规划的空间布局要求（如“一港、两翼、两轴、四心”结构）。支持方式采用直接补助与绩效奖励相结合，对基础设施项目（如舞水四桥）按工程进度拨付资金，对产业类项目（如绿色食品产业园）实行“以奖代补”，根据产值增长情况兑现补助。资金管理办法还规定，单个项目申请额度不超过5000万元，且需提供项目单位自筹资金不低于30%的证明材料。</w:t>
      </w:r>
    </w:p>
    <w:p w14:paraId="61F9B430">
      <w:pPr>
        <w:ind w:firstLine="708" w:firstLineChars="236"/>
        <w:rPr>
          <w:rFonts w:ascii="仿宋" w:hAnsi="仿宋" w:eastAsia="仿宋"/>
          <w:w w:val="100"/>
          <w:sz w:val="30"/>
          <w:szCs w:val="30"/>
        </w:rPr>
      </w:pPr>
      <w:r>
        <w:rPr>
          <w:rFonts w:ascii="仿宋" w:hAnsi="仿宋" w:eastAsia="仿宋"/>
          <w:w w:val="100"/>
          <w:sz w:val="30"/>
          <w:szCs w:val="30"/>
        </w:rPr>
        <w:t>4.资金分配的原则及考虑因素</w:t>
      </w:r>
    </w:p>
    <w:p w14:paraId="0644EB21">
      <w:pPr>
        <w:ind w:firstLine="708" w:firstLineChars="236"/>
        <w:rPr>
          <w:rFonts w:ascii="仿宋" w:hAnsi="仿宋" w:eastAsia="仿宋"/>
          <w:w w:val="100"/>
          <w:sz w:val="30"/>
          <w:szCs w:val="30"/>
        </w:rPr>
      </w:pPr>
      <w:r>
        <w:rPr>
          <w:rFonts w:ascii="仿宋" w:hAnsi="仿宋" w:eastAsia="仿宋"/>
          <w:w w:val="100"/>
          <w:sz w:val="30"/>
          <w:szCs w:val="30"/>
        </w:rPr>
        <w:t>资金分配遵循“规划引领、重点突破、绩效导向”原则。具体考虑因素包括：</w:t>
      </w:r>
    </w:p>
    <w:p w14:paraId="5D1E23A4">
      <w:pPr>
        <w:ind w:firstLine="708" w:firstLineChars="236"/>
        <w:rPr>
          <w:rFonts w:ascii="仿宋" w:hAnsi="仿宋" w:eastAsia="仿宋"/>
          <w:w w:val="100"/>
          <w:sz w:val="30"/>
          <w:szCs w:val="30"/>
        </w:rPr>
      </w:pPr>
      <w:r>
        <w:rPr>
          <w:rFonts w:ascii="仿宋" w:hAnsi="仿宋" w:eastAsia="仿宋"/>
          <w:w w:val="100"/>
          <w:sz w:val="30"/>
          <w:szCs w:val="30"/>
        </w:rPr>
        <w:t>战略匹配度：优先支持纳入“十大建设工程”的项目，如鹤中综合交通一体化、城乡供水一体化等；</w:t>
      </w:r>
    </w:p>
    <w:p w14:paraId="25BFD3F9">
      <w:pPr>
        <w:ind w:firstLine="708" w:firstLineChars="236"/>
        <w:rPr>
          <w:rFonts w:ascii="仿宋" w:hAnsi="仿宋" w:eastAsia="仿宋"/>
          <w:w w:val="100"/>
          <w:sz w:val="30"/>
          <w:szCs w:val="30"/>
        </w:rPr>
      </w:pPr>
      <w:r>
        <w:rPr>
          <w:rFonts w:ascii="仿宋" w:hAnsi="仿宋" w:eastAsia="仿宋"/>
          <w:w w:val="100"/>
          <w:sz w:val="30"/>
          <w:szCs w:val="30"/>
        </w:rPr>
        <w:t>项目成熟度：对已完成征地拆迁、具备开工条件的项目（如仙人桥商务区）加大资金倾斜；</w:t>
      </w:r>
    </w:p>
    <w:p w14:paraId="2F9ACCBD">
      <w:pPr>
        <w:ind w:firstLine="708" w:firstLineChars="236"/>
        <w:rPr>
          <w:rFonts w:ascii="仿宋" w:hAnsi="仿宋" w:eastAsia="仿宋"/>
          <w:w w:val="100"/>
          <w:sz w:val="30"/>
          <w:szCs w:val="30"/>
        </w:rPr>
      </w:pPr>
      <w:r>
        <w:rPr>
          <w:rFonts w:ascii="仿宋" w:hAnsi="仿宋" w:eastAsia="仿宋"/>
          <w:w w:val="100"/>
          <w:sz w:val="30"/>
          <w:szCs w:val="30"/>
        </w:rPr>
        <w:t>区域均衡性：在鹤城区与中方县之间按6:4的比例分配资金，确保两地协同发展；</w:t>
      </w:r>
    </w:p>
    <w:p w14:paraId="78873813">
      <w:pPr>
        <w:ind w:firstLine="708" w:firstLineChars="236"/>
        <w:rPr>
          <w:rFonts w:ascii="仿宋" w:hAnsi="仿宋" w:eastAsia="仿宋"/>
          <w:w w:val="100"/>
          <w:sz w:val="30"/>
          <w:szCs w:val="30"/>
        </w:rPr>
      </w:pPr>
      <w:r>
        <w:rPr>
          <w:rFonts w:ascii="仿宋" w:hAnsi="仿宋" w:eastAsia="仿宋"/>
          <w:w w:val="100"/>
          <w:sz w:val="30"/>
          <w:szCs w:val="30"/>
        </w:rPr>
        <w:t>绩效预期：对带动就业多、经济拉动强的产业项目（如3C智能制造产业园）提高资金额度。</w:t>
      </w:r>
    </w:p>
    <w:p w14:paraId="511625A6">
      <w:pPr>
        <w:ind w:firstLine="708" w:firstLineChars="236"/>
        <w:rPr>
          <w:rFonts w:ascii="仿宋" w:hAnsi="仿宋" w:eastAsia="仿宋"/>
          <w:w w:val="100"/>
          <w:sz w:val="30"/>
          <w:szCs w:val="30"/>
        </w:rPr>
      </w:pPr>
      <w:r>
        <w:rPr>
          <w:rFonts w:ascii="仿宋" w:hAnsi="仿宋" w:eastAsia="仿宋"/>
          <w:w w:val="100"/>
          <w:sz w:val="30"/>
          <w:szCs w:val="30"/>
        </w:rPr>
        <w:t>（二）项目绩效目标</w:t>
      </w:r>
    </w:p>
    <w:p w14:paraId="57E51A00">
      <w:pPr>
        <w:ind w:firstLine="708" w:firstLineChars="236"/>
        <w:rPr>
          <w:rFonts w:ascii="仿宋" w:hAnsi="仿宋" w:eastAsia="仿宋"/>
          <w:w w:val="100"/>
          <w:sz w:val="30"/>
          <w:szCs w:val="30"/>
        </w:rPr>
      </w:pPr>
      <w:r>
        <w:rPr>
          <w:rFonts w:ascii="仿宋" w:hAnsi="仿宋" w:eastAsia="仿宋"/>
          <w:w w:val="100"/>
          <w:sz w:val="30"/>
          <w:szCs w:val="30"/>
        </w:rPr>
        <w:t>1.项目主要内容</w:t>
      </w:r>
    </w:p>
    <w:p w14:paraId="5A88B261">
      <w:pPr>
        <w:ind w:firstLine="708" w:firstLineChars="236"/>
        <w:rPr>
          <w:rFonts w:ascii="仿宋" w:hAnsi="仿宋" w:eastAsia="仿宋"/>
          <w:w w:val="100"/>
          <w:sz w:val="30"/>
          <w:szCs w:val="30"/>
        </w:rPr>
      </w:pPr>
      <w:r>
        <w:rPr>
          <w:rFonts w:ascii="仿宋" w:hAnsi="仿宋" w:eastAsia="仿宋"/>
          <w:w w:val="100"/>
          <w:sz w:val="30"/>
          <w:szCs w:val="30"/>
        </w:rPr>
        <w:t>2024年鹤中一体化专项经费主要用于三大类项目：</w:t>
      </w:r>
    </w:p>
    <w:p w14:paraId="6CF1ECE4">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基础设施一体化：实施怀芷快速干线提质、舞水四桥建设、鹤中大道改扩建等10个交通项目，以及给排水管网互通工程；</w:t>
      </w:r>
    </w:p>
    <w:p w14:paraId="469F0C39">
      <w:pPr>
        <w:ind w:firstLine="708" w:firstLineChars="236"/>
        <w:rPr>
          <w:rFonts w:ascii="仿宋" w:hAnsi="仿宋" w:eastAsia="仿宋"/>
          <w:w w:val="100"/>
          <w:sz w:val="30"/>
          <w:szCs w:val="30"/>
        </w:rPr>
      </w:pPr>
      <w:r>
        <w:rPr>
          <w:rFonts w:hint="eastAsia" w:ascii="仿宋" w:hAnsi="仿宋" w:eastAsia="仿宋"/>
          <w:w w:val="100"/>
          <w:sz w:val="30"/>
          <w:szCs w:val="30"/>
        </w:rPr>
        <w:t>（2）</w:t>
      </w:r>
      <w:r>
        <w:rPr>
          <w:rFonts w:ascii="仿宋" w:hAnsi="仿宋" w:eastAsia="仿宋"/>
          <w:w w:val="100"/>
          <w:sz w:val="30"/>
          <w:szCs w:val="30"/>
        </w:rPr>
        <w:t>产业融合发展：支持绿色食品产业园、箱包皮具产业园等5个产业园区建设，培育“5+10”现代化产业体系；</w:t>
      </w:r>
    </w:p>
    <w:p w14:paraId="228AF2F7">
      <w:pPr>
        <w:ind w:firstLine="708" w:firstLineChars="236"/>
        <w:rPr>
          <w:rFonts w:ascii="仿宋" w:hAnsi="仿宋" w:eastAsia="仿宋"/>
          <w:w w:val="100"/>
          <w:sz w:val="30"/>
          <w:szCs w:val="30"/>
        </w:rPr>
      </w:pPr>
      <w:r>
        <w:rPr>
          <w:rFonts w:hint="eastAsia" w:ascii="仿宋" w:hAnsi="仿宋" w:eastAsia="仿宋"/>
          <w:w w:val="100"/>
          <w:sz w:val="30"/>
          <w:szCs w:val="30"/>
        </w:rPr>
        <w:t>（3）</w:t>
      </w:r>
      <w:r>
        <w:rPr>
          <w:rFonts w:ascii="仿宋" w:hAnsi="仿宋" w:eastAsia="仿宋"/>
          <w:w w:val="100"/>
          <w:sz w:val="30"/>
          <w:szCs w:val="30"/>
        </w:rPr>
        <w:t>公共服务共享：推进怀化市一中教育集团、湖南医药学院第一附属医院分院等6个教育医疗项目，提升区域公共服务均等化水平。</w:t>
      </w:r>
    </w:p>
    <w:p w14:paraId="168F136C">
      <w:pPr>
        <w:ind w:firstLine="708" w:firstLineChars="236"/>
        <w:rPr>
          <w:rFonts w:ascii="仿宋" w:hAnsi="仿宋" w:eastAsia="仿宋"/>
          <w:w w:val="100"/>
          <w:sz w:val="30"/>
          <w:szCs w:val="30"/>
        </w:rPr>
      </w:pPr>
      <w:r>
        <w:rPr>
          <w:rFonts w:ascii="仿宋" w:hAnsi="仿宋" w:eastAsia="仿宋"/>
          <w:w w:val="100"/>
          <w:sz w:val="30"/>
          <w:szCs w:val="30"/>
        </w:rPr>
        <w:t>2.项目应实现的具体绩效目标，包括目标的量化、细化情况以及项目实施进度计划</w:t>
      </w:r>
    </w:p>
    <w:p w14:paraId="783448ED">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经济指标：2024年鹤中一体化区域GDP增长8.5%以上，占全市经济首位度保持33%以上；</w:t>
      </w:r>
    </w:p>
    <w:p w14:paraId="781AE36A">
      <w:pPr>
        <w:ind w:firstLine="708" w:firstLineChars="236"/>
        <w:rPr>
          <w:rFonts w:ascii="仿宋" w:hAnsi="仿宋" w:eastAsia="仿宋"/>
          <w:w w:val="100"/>
          <w:sz w:val="30"/>
          <w:szCs w:val="30"/>
        </w:rPr>
      </w:pPr>
      <w:r>
        <w:rPr>
          <w:rFonts w:hint="eastAsia" w:ascii="仿宋" w:hAnsi="仿宋" w:eastAsia="仿宋"/>
          <w:w w:val="100"/>
          <w:sz w:val="30"/>
          <w:szCs w:val="30"/>
        </w:rPr>
        <w:t>（2）</w:t>
      </w:r>
      <w:r>
        <w:rPr>
          <w:rFonts w:ascii="仿宋" w:hAnsi="仿宋" w:eastAsia="仿宋"/>
          <w:w w:val="100"/>
          <w:sz w:val="30"/>
          <w:szCs w:val="30"/>
        </w:rPr>
        <w:t>空间指标：中心城区建成区面积达93平方公里，常住人口增至93万人；</w:t>
      </w:r>
    </w:p>
    <w:p w14:paraId="2F8582D8">
      <w:pPr>
        <w:ind w:firstLine="708" w:firstLineChars="236"/>
        <w:rPr>
          <w:rFonts w:ascii="仿宋" w:hAnsi="仿宋" w:eastAsia="仿宋"/>
          <w:w w:val="100"/>
          <w:sz w:val="30"/>
          <w:szCs w:val="30"/>
        </w:rPr>
      </w:pPr>
      <w:r>
        <w:rPr>
          <w:rFonts w:hint="eastAsia" w:ascii="仿宋" w:hAnsi="仿宋" w:eastAsia="仿宋"/>
          <w:w w:val="100"/>
          <w:sz w:val="30"/>
          <w:szCs w:val="30"/>
        </w:rPr>
        <w:t>（3）</w:t>
      </w:r>
      <w:r>
        <w:rPr>
          <w:rFonts w:ascii="仿宋" w:hAnsi="仿宋" w:eastAsia="仿宋"/>
          <w:w w:val="100"/>
          <w:sz w:val="30"/>
          <w:szCs w:val="30"/>
        </w:rPr>
        <w:t>项目建设：完成36个重点项目投资120亿元，其中专项经费带动社会投资80亿元；</w:t>
      </w:r>
    </w:p>
    <w:p w14:paraId="54A91A5C">
      <w:pPr>
        <w:ind w:firstLine="708" w:firstLineChars="236"/>
        <w:rPr>
          <w:rFonts w:ascii="仿宋" w:hAnsi="仿宋" w:eastAsia="仿宋"/>
          <w:w w:val="100"/>
          <w:sz w:val="30"/>
          <w:szCs w:val="30"/>
        </w:rPr>
      </w:pPr>
      <w:r>
        <w:rPr>
          <w:rFonts w:hint="eastAsia" w:ascii="仿宋" w:hAnsi="仿宋" w:eastAsia="仿宋"/>
          <w:w w:val="100"/>
          <w:sz w:val="30"/>
          <w:szCs w:val="30"/>
        </w:rPr>
        <w:t>（4）</w:t>
      </w:r>
      <w:r>
        <w:rPr>
          <w:rFonts w:ascii="仿宋" w:hAnsi="仿宋" w:eastAsia="仿宋"/>
          <w:w w:val="100"/>
          <w:sz w:val="30"/>
          <w:szCs w:val="30"/>
        </w:rPr>
        <w:t>就业带动：新增就业岗位1.2万个，以工代赈发放劳务报酬1.5亿元。</w:t>
      </w:r>
    </w:p>
    <w:p w14:paraId="61068EA9">
      <w:pPr>
        <w:ind w:firstLine="708" w:firstLineChars="236"/>
        <w:rPr>
          <w:rFonts w:ascii="仿宋" w:hAnsi="仿宋" w:eastAsia="仿宋"/>
          <w:w w:val="100"/>
          <w:sz w:val="30"/>
          <w:szCs w:val="30"/>
        </w:rPr>
      </w:pPr>
      <w:r>
        <w:rPr>
          <w:rFonts w:ascii="仿宋" w:hAnsi="仿宋" w:eastAsia="仿宋"/>
          <w:w w:val="100"/>
          <w:sz w:val="30"/>
          <w:szCs w:val="30"/>
        </w:rPr>
        <w:t>进度计划</w:t>
      </w:r>
      <w:r>
        <w:rPr>
          <w:rFonts w:hint="eastAsia" w:ascii="仿宋" w:hAnsi="仿宋" w:eastAsia="仿宋"/>
          <w:w w:val="100"/>
          <w:sz w:val="30"/>
          <w:szCs w:val="30"/>
        </w:rPr>
        <w:t>如下</w:t>
      </w:r>
      <w:r>
        <w:rPr>
          <w:rFonts w:ascii="仿宋" w:hAnsi="仿宋" w:eastAsia="仿宋"/>
          <w:w w:val="100"/>
          <w:sz w:val="30"/>
          <w:szCs w:val="30"/>
        </w:rPr>
        <w:t>：</w:t>
      </w:r>
    </w:p>
    <w:p w14:paraId="65DFC8C1">
      <w:pPr>
        <w:ind w:firstLine="708" w:firstLineChars="236"/>
        <w:rPr>
          <w:rFonts w:ascii="仿宋" w:hAnsi="仿宋" w:eastAsia="仿宋"/>
          <w:w w:val="100"/>
          <w:sz w:val="30"/>
          <w:szCs w:val="30"/>
        </w:rPr>
      </w:pPr>
      <w:r>
        <w:rPr>
          <w:rFonts w:ascii="仿宋" w:hAnsi="仿宋" w:eastAsia="仿宋"/>
          <w:w w:val="100"/>
          <w:sz w:val="30"/>
          <w:szCs w:val="30"/>
        </w:rPr>
        <w:t>一季度：完成所有项目招投标及前期审批；</w:t>
      </w:r>
    </w:p>
    <w:p w14:paraId="35C5BBFB">
      <w:pPr>
        <w:ind w:firstLine="708" w:firstLineChars="236"/>
        <w:rPr>
          <w:rFonts w:ascii="仿宋" w:hAnsi="仿宋" w:eastAsia="仿宋"/>
          <w:w w:val="100"/>
          <w:sz w:val="30"/>
          <w:szCs w:val="30"/>
        </w:rPr>
      </w:pPr>
      <w:r>
        <w:rPr>
          <w:rFonts w:ascii="仿宋" w:hAnsi="仿宋" w:eastAsia="仿宋"/>
          <w:w w:val="100"/>
          <w:sz w:val="30"/>
          <w:szCs w:val="30"/>
        </w:rPr>
        <w:t>二季度：80%项目开工建设，资金拨付达40%；</w:t>
      </w:r>
    </w:p>
    <w:p w14:paraId="56592350">
      <w:pPr>
        <w:ind w:firstLine="708" w:firstLineChars="236"/>
        <w:rPr>
          <w:rFonts w:ascii="仿宋" w:hAnsi="仿宋" w:eastAsia="仿宋"/>
          <w:w w:val="100"/>
          <w:sz w:val="30"/>
          <w:szCs w:val="30"/>
        </w:rPr>
      </w:pPr>
      <w:r>
        <w:rPr>
          <w:rFonts w:ascii="仿宋" w:hAnsi="仿宋" w:eastAsia="仿宋"/>
          <w:w w:val="100"/>
          <w:sz w:val="30"/>
          <w:szCs w:val="30"/>
        </w:rPr>
        <w:t>三季度：完成年度投资的60%，开展中期绩效评估；</w:t>
      </w:r>
    </w:p>
    <w:p w14:paraId="113C61BA">
      <w:pPr>
        <w:ind w:firstLine="708" w:firstLineChars="236"/>
        <w:rPr>
          <w:rFonts w:ascii="仿宋" w:hAnsi="仿宋" w:eastAsia="仿宋"/>
          <w:w w:val="100"/>
          <w:sz w:val="30"/>
          <w:szCs w:val="30"/>
        </w:rPr>
      </w:pPr>
      <w:r>
        <w:rPr>
          <w:rFonts w:ascii="仿宋" w:hAnsi="仿宋" w:eastAsia="仿宋"/>
          <w:w w:val="100"/>
          <w:sz w:val="30"/>
          <w:szCs w:val="30"/>
        </w:rPr>
        <w:t>四季度：所有项目达到形象进度要求，资金执行率达95%以上。</w:t>
      </w:r>
    </w:p>
    <w:p w14:paraId="16AF349E">
      <w:pPr>
        <w:ind w:firstLine="708" w:firstLineChars="236"/>
        <w:rPr>
          <w:rFonts w:ascii="仿宋" w:hAnsi="仿宋" w:eastAsia="仿宋"/>
          <w:w w:val="100"/>
          <w:sz w:val="30"/>
          <w:szCs w:val="30"/>
        </w:rPr>
      </w:pPr>
      <w:r>
        <w:rPr>
          <w:rFonts w:ascii="仿宋" w:hAnsi="仿宋" w:eastAsia="仿宋"/>
          <w:w w:val="100"/>
          <w:sz w:val="30"/>
          <w:szCs w:val="30"/>
        </w:rPr>
        <w:t>3.分析评价申报内容是否与实际相符，申报目标是否合理可行</w:t>
      </w:r>
    </w:p>
    <w:p w14:paraId="44771FBE">
      <w:pPr>
        <w:ind w:firstLine="708" w:firstLineChars="236"/>
        <w:rPr>
          <w:rFonts w:ascii="仿宋" w:hAnsi="仿宋" w:eastAsia="仿宋"/>
          <w:w w:val="100"/>
          <w:sz w:val="30"/>
          <w:szCs w:val="30"/>
        </w:rPr>
      </w:pPr>
      <w:r>
        <w:rPr>
          <w:rFonts w:ascii="仿宋" w:hAnsi="仿宋" w:eastAsia="仿宋"/>
          <w:w w:val="100"/>
          <w:sz w:val="30"/>
          <w:szCs w:val="30"/>
        </w:rPr>
        <w:t>申报的36个重点项目全部落地，其中10个基础设施项目已完成可研批复，与申报时的建设规模一致；资金申报额度1亿元与市财政批复金额一致，且配套资金到位率达85%，符合申报时的自筹比例要求；绩效目标设定合理可行，如GDP增长目标参考了2023年32.2%的首位度基数，结合了鹤中一体化的增速预期。第三方评估显示，目标设定符合区域经济发展规律，未出现脱离实际的情形。</w:t>
      </w:r>
    </w:p>
    <w:p w14:paraId="7CCFDA37">
      <w:pPr>
        <w:ind w:firstLine="708" w:firstLineChars="236"/>
        <w:rPr>
          <w:rFonts w:ascii="仿宋" w:hAnsi="仿宋" w:eastAsia="仿宋"/>
          <w:w w:val="100"/>
          <w:sz w:val="30"/>
          <w:szCs w:val="30"/>
        </w:rPr>
      </w:pPr>
      <w:r>
        <w:rPr>
          <w:rFonts w:ascii="仿宋" w:hAnsi="仿宋" w:eastAsia="仿宋"/>
          <w:w w:val="100"/>
          <w:sz w:val="30"/>
          <w:szCs w:val="30"/>
        </w:rPr>
        <w:t>（三）项目自评步骤及方法</w:t>
      </w:r>
    </w:p>
    <w:p w14:paraId="64709B59">
      <w:pPr>
        <w:ind w:firstLine="708" w:firstLineChars="236"/>
        <w:rPr>
          <w:rFonts w:ascii="仿宋" w:hAnsi="仿宋" w:eastAsia="仿宋"/>
          <w:w w:val="100"/>
          <w:sz w:val="30"/>
          <w:szCs w:val="30"/>
        </w:rPr>
      </w:pPr>
      <w:r>
        <w:rPr>
          <w:rFonts w:ascii="仿宋" w:hAnsi="仿宋" w:eastAsia="仿宋"/>
          <w:w w:val="100"/>
          <w:sz w:val="30"/>
          <w:szCs w:val="30"/>
        </w:rPr>
        <w:t>自评工作采用“三阶段五步法”组织实施：</w:t>
      </w:r>
    </w:p>
    <w:p w14:paraId="59C0812B">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准备阶段（1月-2月）：成立由市发改委主任任组长的自评小组，制定《鹤中一体化专项经费绩效自评方案》，收集项目批复文件、资金拨付凭证等资料；</w:t>
      </w:r>
    </w:p>
    <w:p w14:paraId="59BA8A40">
      <w:pPr>
        <w:ind w:firstLine="708" w:firstLineChars="236"/>
        <w:rPr>
          <w:rFonts w:ascii="仿宋" w:hAnsi="仿宋" w:eastAsia="仿宋"/>
          <w:w w:val="100"/>
          <w:sz w:val="30"/>
          <w:szCs w:val="30"/>
        </w:rPr>
      </w:pPr>
      <w:r>
        <w:rPr>
          <w:rFonts w:hint="eastAsia" w:ascii="仿宋" w:hAnsi="仿宋" w:eastAsia="仿宋"/>
          <w:w w:val="100"/>
          <w:sz w:val="30"/>
          <w:szCs w:val="30"/>
        </w:rPr>
        <w:t>2.</w:t>
      </w:r>
      <w:r>
        <w:rPr>
          <w:rFonts w:ascii="仿宋" w:hAnsi="仿宋" w:eastAsia="仿宋"/>
          <w:w w:val="100"/>
          <w:sz w:val="30"/>
          <w:szCs w:val="30"/>
        </w:rPr>
        <w:t>实施阶段（3月-10月）：</w:t>
      </w:r>
    </w:p>
    <w:p w14:paraId="03F38FCA">
      <w:pPr>
        <w:ind w:firstLine="708" w:firstLineChars="236"/>
        <w:rPr>
          <w:rFonts w:ascii="仿宋" w:hAnsi="仿宋" w:eastAsia="仿宋"/>
          <w:w w:val="100"/>
          <w:sz w:val="30"/>
          <w:szCs w:val="30"/>
        </w:rPr>
      </w:pPr>
      <w:r>
        <w:rPr>
          <w:rFonts w:ascii="仿宋" w:hAnsi="仿宋" w:eastAsia="仿宋"/>
          <w:w w:val="100"/>
          <w:sz w:val="30"/>
          <w:szCs w:val="30"/>
        </w:rPr>
        <w:fldChar w:fldCharType="begin"/>
      </w:r>
      <w:r>
        <w:rPr>
          <w:rFonts w:ascii="仿宋" w:hAnsi="仿宋" w:eastAsia="仿宋"/>
          <w:w w:val="100"/>
          <w:sz w:val="30"/>
          <w:szCs w:val="30"/>
        </w:rPr>
        <w:instrText xml:space="preserve"> </w:instrText>
      </w:r>
      <w:r>
        <w:rPr>
          <w:rFonts w:hint="eastAsia" w:ascii="仿宋" w:hAnsi="仿宋" w:eastAsia="仿宋"/>
          <w:w w:val="100"/>
          <w:sz w:val="30"/>
          <w:szCs w:val="30"/>
        </w:rPr>
        <w:instrText xml:space="preserve">eq \o\ac(</w:instrText>
      </w:r>
      <w:r>
        <w:rPr>
          <w:rFonts w:hint="eastAsia" w:ascii="仿宋" w:hAnsi="仿宋" w:eastAsia="仿宋"/>
          <w:w w:val="100"/>
          <w:position w:val="-6"/>
          <w:sz w:val="45"/>
          <w:szCs w:val="30"/>
        </w:rPr>
        <w:instrText xml:space="preserve">○</w:instrText>
      </w:r>
      <w:r>
        <w:rPr>
          <w:rFonts w:hint="eastAsia" w:ascii="仿宋" w:hAnsi="仿宋" w:eastAsia="仿宋"/>
          <w:w w:val="100"/>
          <w:sz w:val="30"/>
          <w:szCs w:val="30"/>
        </w:rPr>
        <w:instrText xml:space="preserve">,1)</w:instrText>
      </w:r>
      <w:r>
        <w:rPr>
          <w:rFonts w:ascii="仿宋" w:hAnsi="仿宋" w:eastAsia="仿宋"/>
          <w:w w:val="100"/>
          <w:sz w:val="30"/>
          <w:szCs w:val="30"/>
        </w:rPr>
        <w:fldChar w:fldCharType="end"/>
      </w:r>
      <w:r>
        <w:rPr>
          <w:rFonts w:ascii="仿宋" w:hAnsi="仿宋" w:eastAsia="仿宋"/>
          <w:w w:val="100"/>
          <w:sz w:val="30"/>
          <w:szCs w:val="30"/>
        </w:rPr>
        <w:t>数据采集：财务室汇总资金收支明细，业务科室填报《项目进度统计表》；</w:t>
      </w:r>
    </w:p>
    <w:p w14:paraId="6F4B76A0">
      <w:pPr>
        <w:ind w:firstLine="708" w:firstLineChars="236"/>
        <w:rPr>
          <w:rFonts w:ascii="仿宋" w:hAnsi="仿宋" w:eastAsia="仿宋"/>
          <w:w w:val="100"/>
          <w:sz w:val="30"/>
          <w:szCs w:val="30"/>
        </w:rPr>
      </w:pPr>
      <w:r>
        <w:rPr>
          <w:rFonts w:ascii="仿宋" w:hAnsi="仿宋" w:eastAsia="仿宋"/>
          <w:w w:val="100"/>
          <w:sz w:val="30"/>
          <w:szCs w:val="30"/>
        </w:rPr>
        <w:fldChar w:fldCharType="begin"/>
      </w:r>
      <w:r>
        <w:rPr>
          <w:rFonts w:ascii="仿宋" w:hAnsi="仿宋" w:eastAsia="仿宋"/>
          <w:w w:val="100"/>
          <w:sz w:val="30"/>
          <w:szCs w:val="30"/>
        </w:rPr>
        <w:instrText xml:space="preserve"> </w:instrText>
      </w:r>
      <w:r>
        <w:rPr>
          <w:rFonts w:hint="eastAsia" w:ascii="仿宋" w:hAnsi="仿宋" w:eastAsia="仿宋"/>
          <w:w w:val="100"/>
          <w:sz w:val="30"/>
          <w:szCs w:val="30"/>
        </w:rPr>
        <w:instrText xml:space="preserve">eq \o\ac(</w:instrText>
      </w:r>
      <w:r>
        <w:rPr>
          <w:rFonts w:hint="eastAsia" w:ascii="仿宋" w:hAnsi="仿宋" w:eastAsia="仿宋"/>
          <w:w w:val="100"/>
          <w:position w:val="-6"/>
          <w:sz w:val="45"/>
          <w:szCs w:val="30"/>
        </w:rPr>
        <w:instrText xml:space="preserve">○</w:instrText>
      </w:r>
      <w:r>
        <w:rPr>
          <w:rFonts w:hint="eastAsia" w:ascii="仿宋" w:hAnsi="仿宋" w:eastAsia="仿宋"/>
          <w:w w:val="100"/>
          <w:sz w:val="30"/>
          <w:szCs w:val="30"/>
        </w:rPr>
        <w:instrText xml:space="preserve">,2)</w:instrText>
      </w:r>
      <w:r>
        <w:rPr>
          <w:rFonts w:ascii="仿宋" w:hAnsi="仿宋" w:eastAsia="仿宋"/>
          <w:w w:val="100"/>
          <w:sz w:val="30"/>
          <w:szCs w:val="30"/>
        </w:rPr>
        <w:fldChar w:fldCharType="end"/>
      </w:r>
      <w:r>
        <w:rPr>
          <w:rFonts w:ascii="仿宋" w:hAnsi="仿宋" w:eastAsia="仿宋"/>
          <w:w w:val="100"/>
          <w:sz w:val="30"/>
          <w:szCs w:val="30"/>
        </w:rPr>
        <w:t>现场核查：对舞水四桥、怀芷快速干线等10个重点项目开展实地查验，核实工程量与资金支付匹配度；</w:t>
      </w:r>
    </w:p>
    <w:p w14:paraId="422B7C54">
      <w:pPr>
        <w:ind w:firstLine="708" w:firstLineChars="236"/>
        <w:rPr>
          <w:rFonts w:ascii="仿宋" w:hAnsi="仿宋" w:eastAsia="仿宋"/>
          <w:w w:val="100"/>
          <w:sz w:val="30"/>
          <w:szCs w:val="30"/>
        </w:rPr>
      </w:pPr>
      <w:r>
        <w:rPr>
          <w:rFonts w:ascii="仿宋" w:hAnsi="仿宋" w:eastAsia="仿宋"/>
          <w:w w:val="100"/>
          <w:sz w:val="30"/>
          <w:szCs w:val="30"/>
        </w:rPr>
        <w:fldChar w:fldCharType="begin"/>
      </w:r>
      <w:r>
        <w:rPr>
          <w:rFonts w:ascii="仿宋" w:hAnsi="仿宋" w:eastAsia="仿宋"/>
          <w:w w:val="100"/>
          <w:sz w:val="30"/>
          <w:szCs w:val="30"/>
        </w:rPr>
        <w:instrText xml:space="preserve"> </w:instrText>
      </w:r>
      <w:r>
        <w:rPr>
          <w:rFonts w:hint="eastAsia" w:ascii="仿宋" w:hAnsi="仿宋" w:eastAsia="仿宋"/>
          <w:w w:val="100"/>
          <w:sz w:val="30"/>
          <w:szCs w:val="30"/>
        </w:rPr>
        <w:instrText xml:space="preserve">eq \o\ac(</w:instrText>
      </w:r>
      <w:r>
        <w:rPr>
          <w:rFonts w:hint="eastAsia" w:ascii="仿宋" w:hAnsi="仿宋" w:eastAsia="仿宋"/>
          <w:w w:val="100"/>
          <w:position w:val="-6"/>
          <w:sz w:val="45"/>
          <w:szCs w:val="30"/>
        </w:rPr>
        <w:instrText xml:space="preserve">○</w:instrText>
      </w:r>
      <w:r>
        <w:rPr>
          <w:rFonts w:hint="eastAsia" w:ascii="仿宋" w:hAnsi="仿宋" w:eastAsia="仿宋"/>
          <w:w w:val="100"/>
          <w:sz w:val="30"/>
          <w:szCs w:val="30"/>
        </w:rPr>
        <w:instrText xml:space="preserve">,3)</w:instrText>
      </w:r>
      <w:r>
        <w:rPr>
          <w:rFonts w:ascii="仿宋" w:hAnsi="仿宋" w:eastAsia="仿宋"/>
          <w:w w:val="100"/>
          <w:sz w:val="30"/>
          <w:szCs w:val="30"/>
        </w:rPr>
        <w:fldChar w:fldCharType="end"/>
      </w:r>
      <w:r>
        <w:rPr>
          <w:rFonts w:ascii="仿宋" w:hAnsi="仿宋" w:eastAsia="仿宋"/>
          <w:w w:val="100"/>
          <w:sz w:val="30"/>
          <w:szCs w:val="30"/>
        </w:rPr>
        <w:t>问卷调查：向鹤城区、中方县企业及居民发放满意度问卷800份，回收有效问卷765份；</w:t>
      </w:r>
    </w:p>
    <w:p w14:paraId="02D5DE61">
      <w:pPr>
        <w:ind w:firstLine="708" w:firstLineChars="236"/>
        <w:rPr>
          <w:rFonts w:ascii="仿宋" w:hAnsi="仿宋" w:eastAsia="仿宋"/>
          <w:w w:val="100"/>
          <w:sz w:val="30"/>
          <w:szCs w:val="30"/>
        </w:rPr>
      </w:pPr>
      <w:r>
        <w:rPr>
          <w:rFonts w:hint="eastAsia" w:ascii="仿宋" w:hAnsi="仿宋" w:eastAsia="仿宋"/>
          <w:w w:val="100"/>
          <w:sz w:val="30"/>
          <w:szCs w:val="30"/>
        </w:rPr>
        <w:t>3.</w:t>
      </w:r>
      <w:r>
        <w:rPr>
          <w:rFonts w:ascii="仿宋" w:hAnsi="仿宋" w:eastAsia="仿宋"/>
          <w:w w:val="100"/>
          <w:sz w:val="30"/>
          <w:szCs w:val="30"/>
        </w:rPr>
        <w:t>总结阶段（11月-12月）：结合定量指标（如投资完成率）与定性评价（如政策契合度），形成自评报告。方法上采用成本效益分析法、对比分析法，将实际产出与绩效目标逐项对照，对偏差超过10%的指标重点分析原因。</w:t>
      </w:r>
    </w:p>
    <w:p w14:paraId="2F1521BC">
      <w:pPr>
        <w:ind w:firstLine="708" w:firstLineChars="236"/>
        <w:rPr>
          <w:rFonts w:ascii="仿宋" w:hAnsi="仿宋" w:eastAsia="仿宋"/>
          <w:w w:val="100"/>
          <w:sz w:val="30"/>
          <w:szCs w:val="30"/>
        </w:rPr>
      </w:pPr>
      <w:r>
        <w:rPr>
          <w:rFonts w:ascii="仿宋" w:hAnsi="仿宋" w:eastAsia="仿宋"/>
          <w:w w:val="100"/>
          <w:sz w:val="30"/>
          <w:szCs w:val="30"/>
        </w:rPr>
        <w:t>二、项目资金申报及使用情况</w:t>
      </w:r>
    </w:p>
    <w:p w14:paraId="6D093B94">
      <w:pPr>
        <w:ind w:firstLine="708" w:firstLineChars="236"/>
        <w:rPr>
          <w:rFonts w:ascii="仿宋" w:hAnsi="仿宋" w:eastAsia="仿宋"/>
          <w:w w:val="100"/>
          <w:sz w:val="30"/>
          <w:szCs w:val="30"/>
        </w:rPr>
      </w:pPr>
      <w:r>
        <w:rPr>
          <w:rFonts w:ascii="仿宋" w:hAnsi="仿宋" w:eastAsia="仿宋"/>
          <w:w w:val="100"/>
          <w:sz w:val="30"/>
          <w:szCs w:val="30"/>
        </w:rPr>
        <w:t>（一）项目资金申报及批复情况</w:t>
      </w:r>
    </w:p>
    <w:p w14:paraId="39F8C6DF">
      <w:pPr>
        <w:ind w:firstLine="708" w:firstLineChars="236"/>
        <w:rPr>
          <w:rFonts w:ascii="仿宋" w:hAnsi="仿宋" w:eastAsia="仿宋"/>
          <w:w w:val="100"/>
          <w:sz w:val="30"/>
          <w:szCs w:val="30"/>
        </w:rPr>
      </w:pPr>
      <w:r>
        <w:rPr>
          <w:rFonts w:ascii="仿宋" w:hAnsi="仿宋" w:eastAsia="仿宋"/>
          <w:w w:val="100"/>
          <w:sz w:val="30"/>
          <w:szCs w:val="30"/>
        </w:rPr>
        <w:t>项目资金申报及批复严格遵循相关程序。根据文件内容，鹤中一体化专项经费的资金来源主要为一般公共预算资金，由怀化市发展和改革委员会作为实施单位申报。怀财预〔2024〕8888号、怀财建字〔2024〕0339号等文件对资金进行了批复，明确了资金用途及预算金额，如会议费、培训费、服务业提升课题经费等。预算调整方面，部分资金涉及年终结转，如怀财建字〔2024〕0339号文件中提及的鹤中一体化服务业提升课题经费为2023年单位余额结转至2024年使用，整体程序符合财政资金管理要求。</w:t>
      </w:r>
    </w:p>
    <w:p w14:paraId="7926E18A">
      <w:pPr>
        <w:ind w:firstLine="708" w:firstLineChars="236"/>
        <w:rPr>
          <w:rFonts w:ascii="仿宋" w:hAnsi="仿宋" w:eastAsia="仿宋"/>
          <w:w w:val="100"/>
          <w:sz w:val="30"/>
          <w:szCs w:val="30"/>
        </w:rPr>
      </w:pPr>
      <w:r>
        <w:rPr>
          <w:rFonts w:ascii="仿宋" w:hAnsi="仿宋" w:eastAsia="仿宋"/>
          <w:w w:val="100"/>
          <w:sz w:val="30"/>
          <w:szCs w:val="30"/>
        </w:rPr>
        <w:t>（二）资金计划、到位及使用情况</w:t>
      </w:r>
    </w:p>
    <w:p w14:paraId="502F72D2">
      <w:pPr>
        <w:ind w:firstLine="708" w:firstLineChars="236"/>
        <w:rPr>
          <w:rFonts w:ascii="仿宋" w:hAnsi="仿宋" w:eastAsia="仿宋"/>
          <w:w w:val="100"/>
          <w:sz w:val="30"/>
          <w:szCs w:val="30"/>
        </w:rPr>
      </w:pPr>
      <w:r>
        <w:rPr>
          <w:rFonts w:ascii="仿宋" w:hAnsi="仿宋" w:eastAsia="仿宋"/>
          <w:w w:val="100"/>
          <w:sz w:val="30"/>
          <w:szCs w:val="30"/>
        </w:rPr>
        <w:t>1.资金计划：</w:t>
      </w:r>
    </w:p>
    <w:p w14:paraId="6D3ABDE7">
      <w:pPr>
        <w:ind w:firstLine="708" w:firstLineChars="236"/>
        <w:rPr>
          <w:rFonts w:ascii="仿宋" w:hAnsi="仿宋" w:eastAsia="仿宋"/>
          <w:w w:val="100"/>
          <w:sz w:val="30"/>
          <w:szCs w:val="30"/>
        </w:rPr>
      </w:pPr>
      <w:r>
        <w:rPr>
          <w:rFonts w:ascii="仿宋" w:hAnsi="仿宋" w:eastAsia="仿宋"/>
          <w:w w:val="100"/>
          <w:sz w:val="30"/>
          <w:szCs w:val="30"/>
        </w:rPr>
        <w:t>该项目全市资金计划以市级财政资金为主，怀财预〔2024〕8888号文件批复的鹤中一体化专项经费中，会议费预算15万元、培训费预算30万元，怀财预字〔2024〕0012号文件批复的筹备组工作经费50万元等，均为市级一般公共预算资金（经费拨款）。</w:t>
      </w:r>
    </w:p>
    <w:p w14:paraId="4333CBE9">
      <w:pPr>
        <w:ind w:firstLine="708" w:firstLineChars="236"/>
        <w:rPr>
          <w:rFonts w:ascii="仿宋" w:hAnsi="仿宋" w:eastAsia="仿宋"/>
          <w:w w:val="100"/>
          <w:sz w:val="30"/>
          <w:szCs w:val="30"/>
        </w:rPr>
      </w:pPr>
      <w:r>
        <w:rPr>
          <w:rFonts w:ascii="仿宋" w:hAnsi="仿宋" w:eastAsia="仿宋"/>
          <w:w w:val="100"/>
          <w:sz w:val="30"/>
          <w:szCs w:val="30"/>
        </w:rPr>
        <w:t>2.资金到位：</w:t>
      </w:r>
    </w:p>
    <w:p w14:paraId="33404974">
      <w:pPr>
        <w:ind w:firstLine="708" w:firstLineChars="236"/>
        <w:rPr>
          <w:rFonts w:ascii="仿宋" w:hAnsi="仿宋" w:eastAsia="仿宋"/>
          <w:w w:val="100"/>
          <w:sz w:val="30"/>
          <w:szCs w:val="30"/>
        </w:rPr>
      </w:pPr>
      <w:r>
        <w:rPr>
          <w:rFonts w:ascii="仿宋" w:hAnsi="仿宋" w:eastAsia="仿宋"/>
          <w:w w:val="100"/>
          <w:sz w:val="30"/>
          <w:szCs w:val="30"/>
        </w:rPr>
        <w:t>截止评价时点，项目资金到位情况良好。市级财政资金已按批复文件到位，如怀财预〔2024〕8888号文件中会议费指标15万元，已申请支付12.73万元，余额2.2</w:t>
      </w:r>
      <w:r>
        <w:rPr>
          <w:rFonts w:hint="eastAsia" w:ascii="仿宋" w:hAnsi="仿宋" w:eastAsia="仿宋"/>
          <w:w w:val="100"/>
          <w:sz w:val="30"/>
          <w:szCs w:val="30"/>
        </w:rPr>
        <w:t>7</w:t>
      </w:r>
      <w:r>
        <w:rPr>
          <w:rFonts w:ascii="仿宋" w:hAnsi="仿宋" w:eastAsia="仿宋"/>
          <w:w w:val="100"/>
          <w:sz w:val="30"/>
          <w:szCs w:val="30"/>
        </w:rPr>
        <w:t>万元；培训费指标30万元，已申请支付28.03万元，余额1.9</w:t>
      </w:r>
      <w:r>
        <w:rPr>
          <w:rFonts w:hint="eastAsia" w:ascii="仿宋" w:hAnsi="仿宋" w:eastAsia="仿宋"/>
          <w:w w:val="100"/>
          <w:sz w:val="30"/>
          <w:szCs w:val="30"/>
        </w:rPr>
        <w:t>7</w:t>
      </w:r>
      <w:r>
        <w:rPr>
          <w:rFonts w:ascii="仿宋" w:hAnsi="仿宋" w:eastAsia="仿宋"/>
          <w:w w:val="100"/>
          <w:sz w:val="30"/>
          <w:szCs w:val="30"/>
        </w:rPr>
        <w:t>万元。部分资金已全额到位并支付，如服务业提升课题经费26.6</w:t>
      </w:r>
      <w:r>
        <w:rPr>
          <w:rFonts w:hint="eastAsia" w:ascii="仿宋" w:hAnsi="仿宋" w:eastAsia="仿宋"/>
          <w:w w:val="100"/>
          <w:sz w:val="30"/>
          <w:szCs w:val="30"/>
        </w:rPr>
        <w:t>0</w:t>
      </w:r>
      <w:r>
        <w:rPr>
          <w:rFonts w:ascii="仿宋" w:hAnsi="仿宋" w:eastAsia="仿宋"/>
          <w:w w:val="100"/>
          <w:sz w:val="30"/>
          <w:szCs w:val="30"/>
        </w:rPr>
        <w:t>万元、专项经费55万元及筹备组工作经费50万元均已全额到位且无余额。资金到位率及及时性较高，未出现大面积未到位或到位不及时的情况，仅部分指标存在少量余额，与项目进度或支付流程相关。</w:t>
      </w:r>
    </w:p>
    <w:p w14:paraId="33F0D352">
      <w:pPr>
        <w:ind w:firstLine="708" w:firstLineChars="236"/>
        <w:rPr>
          <w:rFonts w:hint="eastAsia" w:ascii="仿宋" w:hAnsi="仿宋" w:eastAsia="仿宋"/>
          <w:w w:val="100"/>
          <w:sz w:val="30"/>
          <w:szCs w:val="30"/>
          <w:highlight w:val="none"/>
        </w:rPr>
      </w:pPr>
      <w:r>
        <w:rPr>
          <w:rFonts w:ascii="仿宋" w:hAnsi="仿宋" w:eastAsia="仿宋"/>
          <w:w w:val="100"/>
          <w:sz w:val="30"/>
          <w:szCs w:val="30"/>
          <w:highlight w:val="none"/>
        </w:rPr>
        <w:t>3.资金使用：</w:t>
      </w:r>
    </w:p>
    <w:p w14:paraId="31254C49">
      <w:pPr>
        <w:ind w:firstLine="708" w:firstLineChars="236"/>
        <w:rPr>
          <w:rFonts w:ascii="仿宋" w:hAnsi="仿宋" w:eastAsia="仿宋"/>
          <w:w w:val="100"/>
          <w:sz w:val="30"/>
          <w:szCs w:val="30"/>
        </w:rPr>
      </w:pPr>
      <w:r>
        <w:rPr>
          <w:rFonts w:ascii="仿宋" w:hAnsi="仿宋" w:eastAsia="仿宋"/>
          <w:w w:val="100"/>
          <w:sz w:val="30"/>
          <w:szCs w:val="30"/>
          <w:highlight w:val="none"/>
        </w:rPr>
        <w:t>截止评价时点，项目资金支出</w:t>
      </w:r>
      <w:bookmarkStart w:id="0" w:name="_GoBack"/>
      <w:bookmarkEnd w:id="0"/>
      <w:r>
        <w:rPr>
          <w:rFonts w:ascii="仿宋" w:hAnsi="仿宋" w:eastAsia="仿宋"/>
          <w:w w:val="100"/>
          <w:sz w:val="30"/>
          <w:szCs w:val="30"/>
          <w:highlight w:val="none"/>
        </w:rPr>
        <w:t>主要用于工资福利支出、商品和服务支出、资本性支出等。</w:t>
      </w:r>
      <w:r>
        <w:rPr>
          <w:rFonts w:hint="eastAsia" w:ascii="仿宋" w:hAnsi="仿宋" w:eastAsia="仿宋"/>
          <w:w w:val="100"/>
          <w:sz w:val="30"/>
          <w:szCs w:val="30"/>
          <w:highlight w:val="none"/>
        </w:rPr>
        <w:t>具体是：职工基本医疗保险缴费</w:t>
      </w:r>
      <w:r>
        <w:rPr>
          <w:rFonts w:ascii="仿宋" w:hAnsi="仿宋" w:eastAsia="仿宋"/>
          <w:w w:val="100"/>
          <w:sz w:val="30"/>
          <w:szCs w:val="30"/>
          <w:highlight w:val="none"/>
        </w:rPr>
        <w:t>0.23万元；其他社会保障缴费0.72万元；其他工资福利支出1.05万元；办公费4.18万元；印刷费12.04万元；咨询费46.00万元；水费3.11万元；邮电费0.54万元；差旅费3.84万元；维修（护）费2.67万元；租赁费0.28万元；会议费8.05万元；培训费3.07万元；劳务费3.88万元；委托业务费5.58万元；公务用车运行维护费1.53万元；其他交通费用9.21万元；其他商品和服务支出21.97万元；生活补助12.04万元；其他对个人和家庭的补助2.20万元；办公设备购置3.26万元。</w:t>
      </w:r>
      <w:r>
        <w:rPr>
          <w:rFonts w:ascii="仿宋" w:hAnsi="仿宋" w:eastAsia="仿宋"/>
          <w:w w:val="100"/>
          <w:sz w:val="30"/>
          <w:szCs w:val="30"/>
        </w:rPr>
        <w:t>资金使用符合预算批复范围，支付标准及依据合规，如鹤中一体化专项经费决算支出明细表中详细列示了各科目支出金额，且实际指标金额与已申请支付金额基本匹配，部分资金如服务业提升课题经费、筹备组工作经费已全额支出。资金使用安全性和规范性较高，未发现明显违规情况。但自评中需关注部分指标余额的处理进度，确保资金按项目进度及时支付，避免闲置。</w:t>
      </w:r>
    </w:p>
    <w:p w14:paraId="29CCF704">
      <w:pPr>
        <w:ind w:firstLine="708" w:firstLineChars="236"/>
        <w:rPr>
          <w:rFonts w:ascii="仿宋" w:hAnsi="仿宋" w:eastAsia="仿宋"/>
          <w:w w:val="100"/>
          <w:sz w:val="30"/>
          <w:szCs w:val="30"/>
        </w:rPr>
      </w:pPr>
      <w:r>
        <w:rPr>
          <w:rFonts w:ascii="仿宋" w:hAnsi="仿宋" w:eastAsia="仿宋"/>
          <w:w w:val="100"/>
          <w:sz w:val="30"/>
          <w:szCs w:val="30"/>
        </w:rPr>
        <w:t>（三）项目财务管理情况</w:t>
      </w:r>
    </w:p>
    <w:p w14:paraId="2952EA67">
      <w:pPr>
        <w:ind w:firstLine="708" w:firstLineChars="236"/>
        <w:rPr>
          <w:rFonts w:ascii="仿宋" w:hAnsi="仿宋" w:eastAsia="仿宋"/>
          <w:w w:val="100"/>
          <w:sz w:val="30"/>
          <w:szCs w:val="30"/>
        </w:rPr>
      </w:pPr>
      <w:r>
        <w:rPr>
          <w:rFonts w:ascii="仿宋" w:hAnsi="仿宋" w:eastAsia="仿宋"/>
          <w:w w:val="100"/>
          <w:sz w:val="30"/>
          <w:szCs w:val="30"/>
        </w:rPr>
        <w:t>各项目实施单位均制定了财务管理制度，严格执行“专款专用、单独核算”原则。市发改委财务室定期对项目单位开展财务检查，资金拨付流程符合《鹤中一体化专项经费管理办法》规定，账务处理及时，会计科目设置合理。</w:t>
      </w:r>
    </w:p>
    <w:p w14:paraId="4E0E2909">
      <w:pPr>
        <w:ind w:firstLine="708" w:firstLineChars="236"/>
        <w:rPr>
          <w:rFonts w:ascii="仿宋" w:hAnsi="仿宋" w:eastAsia="仿宋"/>
          <w:w w:val="100"/>
          <w:sz w:val="30"/>
          <w:szCs w:val="30"/>
        </w:rPr>
      </w:pPr>
      <w:r>
        <w:rPr>
          <w:rFonts w:ascii="仿宋" w:hAnsi="仿宋" w:eastAsia="仿宋"/>
          <w:w w:val="100"/>
          <w:sz w:val="30"/>
          <w:szCs w:val="30"/>
        </w:rPr>
        <w:t>三、项目实施及管理情况</w:t>
      </w:r>
    </w:p>
    <w:p w14:paraId="0EC27D09">
      <w:pPr>
        <w:ind w:firstLine="708" w:firstLineChars="236"/>
        <w:rPr>
          <w:rFonts w:ascii="仿宋" w:hAnsi="仿宋" w:eastAsia="仿宋"/>
          <w:w w:val="100"/>
          <w:sz w:val="30"/>
          <w:szCs w:val="30"/>
        </w:rPr>
      </w:pPr>
      <w:r>
        <w:rPr>
          <w:rFonts w:ascii="仿宋" w:hAnsi="仿宋" w:eastAsia="仿宋"/>
          <w:w w:val="100"/>
          <w:sz w:val="30"/>
          <w:szCs w:val="30"/>
        </w:rPr>
        <w:t>（一）项目组织架构及实施流程</w:t>
      </w:r>
    </w:p>
    <w:p w14:paraId="54DEDDB0">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项目建立“三级联动”组织架构</w:t>
      </w:r>
      <w:r>
        <w:rPr>
          <w:rFonts w:hint="eastAsia" w:ascii="仿宋" w:hAnsi="仿宋" w:eastAsia="仿宋"/>
          <w:w w:val="100"/>
          <w:sz w:val="30"/>
          <w:szCs w:val="30"/>
        </w:rPr>
        <w:t>。</w:t>
      </w:r>
    </w:p>
    <w:p w14:paraId="21D9C5E9">
      <w:pPr>
        <w:ind w:firstLine="708" w:firstLineChars="236"/>
        <w:rPr>
          <w:rFonts w:ascii="仿宋" w:hAnsi="仿宋" w:eastAsia="仿宋"/>
          <w:w w:val="100"/>
          <w:sz w:val="30"/>
          <w:szCs w:val="30"/>
        </w:rPr>
      </w:pPr>
      <w:r>
        <w:rPr>
          <w:rFonts w:ascii="仿宋" w:hAnsi="仿宋" w:eastAsia="仿宋"/>
          <w:w w:val="100"/>
          <w:sz w:val="30"/>
          <w:szCs w:val="30"/>
        </w:rPr>
        <w:t>市级层面成立由市政府分管领导任组长的鹤中一体化推进领导小组，市发改委为牵头单位，负责统筹协调；部门层面市发改委区域协调发展科设专职岗位3人，具体负责项目调度与资金管理；县区层面鹤城区、中方县分别成立专项工作组，落实属地建设责任。</w:t>
      </w:r>
    </w:p>
    <w:p w14:paraId="511B929D">
      <w:pPr>
        <w:ind w:firstLine="708" w:firstLineChars="236"/>
        <w:rPr>
          <w:rFonts w:ascii="仿宋" w:hAnsi="仿宋" w:eastAsia="仿宋"/>
          <w:w w:val="100"/>
          <w:sz w:val="30"/>
          <w:szCs w:val="30"/>
        </w:rPr>
      </w:pPr>
      <w:r>
        <w:rPr>
          <w:rFonts w:hint="eastAsia" w:ascii="仿宋" w:hAnsi="仿宋" w:eastAsia="仿宋"/>
          <w:w w:val="100"/>
          <w:sz w:val="30"/>
          <w:szCs w:val="30"/>
        </w:rPr>
        <w:t>2、</w:t>
      </w:r>
      <w:r>
        <w:rPr>
          <w:rFonts w:ascii="仿宋" w:hAnsi="仿宋" w:eastAsia="仿宋"/>
          <w:w w:val="100"/>
          <w:sz w:val="30"/>
          <w:szCs w:val="30"/>
        </w:rPr>
        <w:t>实施流程遵循“规划-申报-实施-验收”闭环管理</w:t>
      </w:r>
      <w:r>
        <w:rPr>
          <w:rFonts w:hint="eastAsia" w:ascii="仿宋" w:hAnsi="仿宋" w:eastAsia="仿宋"/>
          <w:w w:val="100"/>
          <w:sz w:val="30"/>
          <w:szCs w:val="30"/>
        </w:rPr>
        <w:t>。</w:t>
      </w:r>
    </w:p>
    <w:p w14:paraId="5C0925CC">
      <w:pPr>
        <w:ind w:firstLine="708" w:firstLineChars="236"/>
        <w:rPr>
          <w:rFonts w:ascii="仿宋" w:hAnsi="仿宋" w:eastAsia="仿宋"/>
          <w:w w:val="100"/>
          <w:sz w:val="30"/>
          <w:szCs w:val="30"/>
        </w:rPr>
      </w:pPr>
      <w:r>
        <w:rPr>
          <w:rFonts w:ascii="仿宋" w:hAnsi="仿宋" w:eastAsia="仿宋"/>
          <w:w w:val="100"/>
          <w:sz w:val="30"/>
          <w:szCs w:val="30"/>
        </w:rPr>
        <w:t>项目单位根据年度建设清单编制可行性研究报告，报市发改委审批；通过市公共资源交易中心开展招投标，采用EPC总承包模式的项目（如3C智能制造产业园）需满足设计施工双甲级资质要求；施工单位按进度报送工程量清单，监理单位审核后申请资金拨付；完工后由市发改委组织联合验收，出具竣工验收报告。</w:t>
      </w:r>
    </w:p>
    <w:p w14:paraId="57E00435">
      <w:pPr>
        <w:ind w:firstLine="708" w:firstLineChars="236"/>
        <w:rPr>
          <w:rFonts w:ascii="仿宋" w:hAnsi="仿宋" w:eastAsia="仿宋"/>
          <w:w w:val="100"/>
          <w:sz w:val="30"/>
          <w:szCs w:val="30"/>
        </w:rPr>
      </w:pPr>
      <w:r>
        <w:rPr>
          <w:rFonts w:ascii="仿宋" w:hAnsi="仿宋" w:eastAsia="仿宋"/>
          <w:w w:val="100"/>
          <w:sz w:val="30"/>
          <w:szCs w:val="30"/>
        </w:rPr>
        <w:t>（二）项目管理情况</w:t>
      </w:r>
    </w:p>
    <w:p w14:paraId="2C5BFA09">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项目实施单位严格执行相关法律法规</w:t>
      </w:r>
      <w:r>
        <w:rPr>
          <w:rFonts w:hint="eastAsia" w:ascii="仿宋" w:hAnsi="仿宋" w:eastAsia="仿宋"/>
          <w:w w:val="100"/>
          <w:sz w:val="30"/>
          <w:szCs w:val="30"/>
        </w:rPr>
        <w:t>。</w:t>
      </w:r>
    </w:p>
    <w:p w14:paraId="04CC2F91">
      <w:pPr>
        <w:ind w:firstLine="708" w:firstLineChars="236"/>
        <w:rPr>
          <w:rFonts w:ascii="仿宋" w:hAnsi="仿宋" w:eastAsia="仿宋"/>
          <w:w w:val="100"/>
          <w:sz w:val="30"/>
          <w:szCs w:val="30"/>
        </w:rPr>
      </w:pPr>
      <w:r>
        <w:rPr>
          <w:rFonts w:ascii="仿宋" w:hAnsi="仿宋" w:eastAsia="仿宋"/>
          <w:w w:val="100"/>
          <w:sz w:val="30"/>
          <w:szCs w:val="30"/>
        </w:rPr>
        <w:t>招投标管理：所有项目均通过怀化市公共资源交易平台公开招标，其中2000万元以上项目采用电子招投标，实现“不见面开标”；</w:t>
      </w:r>
    </w:p>
    <w:p w14:paraId="32FE4D72">
      <w:pPr>
        <w:ind w:firstLine="708" w:firstLineChars="236"/>
        <w:rPr>
          <w:rFonts w:ascii="仿宋" w:hAnsi="仿宋" w:eastAsia="仿宋"/>
          <w:w w:val="100"/>
          <w:sz w:val="30"/>
          <w:szCs w:val="30"/>
        </w:rPr>
      </w:pPr>
      <w:r>
        <w:rPr>
          <w:rFonts w:ascii="仿宋" w:hAnsi="仿宋" w:eastAsia="仿宋"/>
          <w:w w:val="100"/>
          <w:sz w:val="30"/>
          <w:szCs w:val="30"/>
        </w:rPr>
        <w:t>政府采购：设备采购严格按《政府采购法》执行，50万元以上货物采购均采用公开招标；</w:t>
      </w:r>
    </w:p>
    <w:p w14:paraId="0A43EE30">
      <w:pPr>
        <w:ind w:firstLine="708" w:firstLineChars="236"/>
        <w:rPr>
          <w:rFonts w:ascii="仿宋" w:hAnsi="仿宋" w:eastAsia="仿宋"/>
          <w:w w:val="100"/>
          <w:sz w:val="30"/>
          <w:szCs w:val="30"/>
        </w:rPr>
      </w:pPr>
      <w:r>
        <w:rPr>
          <w:rFonts w:ascii="仿宋" w:hAnsi="仿宋" w:eastAsia="仿宋"/>
          <w:w w:val="100"/>
          <w:sz w:val="30"/>
          <w:szCs w:val="30"/>
        </w:rPr>
        <w:t>项目公示制：在政府门户网站公示项目名称、建设内容、资金规模等信息，接受社会监督。</w:t>
      </w:r>
    </w:p>
    <w:p w14:paraId="2F1E3E64">
      <w:pPr>
        <w:ind w:firstLine="708" w:firstLineChars="236"/>
        <w:rPr>
          <w:rFonts w:ascii="仿宋" w:hAnsi="仿宋" w:eastAsia="仿宋"/>
          <w:w w:val="100"/>
          <w:sz w:val="30"/>
          <w:szCs w:val="30"/>
        </w:rPr>
      </w:pPr>
      <w:r>
        <w:rPr>
          <w:rFonts w:ascii="仿宋" w:hAnsi="仿宋" w:eastAsia="仿宋"/>
          <w:w w:val="100"/>
          <w:sz w:val="30"/>
          <w:szCs w:val="30"/>
        </w:rPr>
        <w:t>（三）项目监管情况</w:t>
      </w:r>
    </w:p>
    <w:p w14:paraId="70F953D8">
      <w:pPr>
        <w:ind w:firstLine="708" w:firstLineChars="236"/>
        <w:rPr>
          <w:rFonts w:ascii="仿宋" w:hAnsi="仿宋" w:eastAsia="仿宋"/>
          <w:w w:val="100"/>
          <w:sz w:val="30"/>
          <w:szCs w:val="30"/>
        </w:rPr>
      </w:pPr>
      <w:r>
        <w:rPr>
          <w:rFonts w:hint="eastAsia" w:ascii="仿宋" w:hAnsi="仿宋" w:eastAsia="仿宋"/>
          <w:w w:val="100"/>
          <w:sz w:val="30"/>
          <w:szCs w:val="30"/>
        </w:rPr>
        <w:t>1、</w:t>
      </w:r>
      <w:r>
        <w:rPr>
          <w:rFonts w:ascii="仿宋" w:hAnsi="仿宋" w:eastAsia="仿宋"/>
          <w:w w:val="100"/>
          <w:sz w:val="30"/>
          <w:szCs w:val="30"/>
        </w:rPr>
        <w:t>市发改委采取“三位一体”监管措施</w:t>
      </w:r>
      <w:r>
        <w:rPr>
          <w:rFonts w:hint="eastAsia" w:ascii="仿宋" w:hAnsi="仿宋" w:eastAsia="仿宋"/>
          <w:w w:val="100"/>
          <w:sz w:val="30"/>
          <w:szCs w:val="30"/>
        </w:rPr>
        <w:t>。</w:t>
      </w:r>
    </w:p>
    <w:p w14:paraId="1C36C150">
      <w:pPr>
        <w:ind w:firstLine="708" w:firstLineChars="236"/>
        <w:rPr>
          <w:rFonts w:ascii="仿宋" w:hAnsi="仿宋" w:eastAsia="仿宋"/>
          <w:w w:val="100"/>
          <w:sz w:val="30"/>
          <w:szCs w:val="30"/>
        </w:rPr>
      </w:pPr>
      <w:r>
        <w:rPr>
          <w:rFonts w:ascii="仿宋" w:hAnsi="仿宋" w:eastAsia="仿宋"/>
          <w:w w:val="100"/>
          <w:sz w:val="30"/>
          <w:szCs w:val="30"/>
        </w:rPr>
        <w:t>建立项目管理信息系统，要求实施单位每周填报进度数据，对滞后项目发出预警通知；每季度联合财政、审计部门开展实地核查，2024年共开展检查4次，发现问题12项（如施工日志不全），整改完成率100%；委托第三方机构对重点项目开展中期绩效评估，评估结果作为下一年度资金分配依据。</w:t>
      </w:r>
    </w:p>
    <w:p w14:paraId="05841B54">
      <w:pPr>
        <w:ind w:firstLine="708" w:firstLineChars="236"/>
        <w:rPr>
          <w:rFonts w:ascii="仿宋" w:hAnsi="仿宋" w:eastAsia="仿宋"/>
          <w:w w:val="100"/>
          <w:sz w:val="30"/>
          <w:szCs w:val="30"/>
        </w:rPr>
      </w:pPr>
      <w:r>
        <w:rPr>
          <w:rFonts w:ascii="仿宋" w:hAnsi="仿宋" w:eastAsia="仿宋"/>
          <w:w w:val="100"/>
          <w:sz w:val="30"/>
          <w:szCs w:val="30"/>
        </w:rPr>
        <w:t>四、项目绩效情况</w:t>
      </w:r>
    </w:p>
    <w:p w14:paraId="4C46E0FF">
      <w:pPr>
        <w:ind w:firstLine="708" w:firstLineChars="236"/>
        <w:rPr>
          <w:rFonts w:ascii="仿宋" w:hAnsi="仿宋" w:eastAsia="仿宋"/>
          <w:w w:val="100"/>
          <w:sz w:val="30"/>
          <w:szCs w:val="30"/>
        </w:rPr>
      </w:pPr>
      <w:r>
        <w:rPr>
          <w:rFonts w:ascii="仿宋" w:hAnsi="仿宋" w:eastAsia="仿宋"/>
          <w:w w:val="100"/>
          <w:sz w:val="30"/>
          <w:szCs w:val="30"/>
        </w:rPr>
        <w:t>（一）项目完成情况</w:t>
      </w:r>
    </w:p>
    <w:p w14:paraId="0E643E11">
      <w:pPr>
        <w:ind w:firstLine="708" w:firstLineChars="236"/>
        <w:rPr>
          <w:rFonts w:ascii="仿宋" w:hAnsi="仿宋" w:eastAsia="仿宋"/>
          <w:w w:val="100"/>
          <w:sz w:val="30"/>
          <w:szCs w:val="30"/>
        </w:rPr>
      </w:pPr>
      <w:r>
        <w:rPr>
          <w:rFonts w:ascii="仿宋" w:hAnsi="仿宋" w:eastAsia="仿宋"/>
          <w:w w:val="100"/>
          <w:sz w:val="30"/>
          <w:szCs w:val="30"/>
        </w:rPr>
        <w:t>1.完成数量</w:t>
      </w:r>
    </w:p>
    <w:p w14:paraId="1F8A98CD">
      <w:pPr>
        <w:ind w:firstLine="708" w:firstLineChars="236"/>
        <w:rPr>
          <w:rFonts w:ascii="仿宋" w:hAnsi="仿宋" w:eastAsia="仿宋"/>
          <w:w w:val="100"/>
          <w:sz w:val="30"/>
          <w:szCs w:val="30"/>
        </w:rPr>
      </w:pPr>
      <w:r>
        <w:rPr>
          <w:rFonts w:ascii="仿宋" w:hAnsi="仿宋" w:eastAsia="仿宋"/>
          <w:w w:val="100"/>
          <w:sz w:val="30"/>
          <w:szCs w:val="30"/>
        </w:rPr>
        <w:t>36个重点项目中，28个按计划完成年度建设任务，8个项目（主要为公共服务类）因征地拆迁延迟，未达到进度要求。基础设施类10个项目全部开工，其中舞水四桥完成桩基施工，怀芷快速干线完成路基工程的70%；产业类15个项目中，绿色食品产业园一期厂房封顶，箱包皮具产业园签约入驻企业12家；社会民生类10个项目中，怀熙小学扩建工程完工，新增学位2000个，湖南医药学院第一附属医院分院完成主体结构80%。</w:t>
      </w:r>
    </w:p>
    <w:p w14:paraId="7B3A05C8">
      <w:pPr>
        <w:ind w:firstLine="708" w:firstLineChars="236"/>
        <w:rPr>
          <w:rFonts w:ascii="仿宋" w:hAnsi="仿宋" w:eastAsia="仿宋"/>
          <w:w w:val="100"/>
          <w:sz w:val="30"/>
          <w:szCs w:val="30"/>
        </w:rPr>
      </w:pPr>
      <w:r>
        <w:rPr>
          <w:rFonts w:ascii="仿宋" w:hAnsi="仿宋" w:eastAsia="仿宋"/>
          <w:w w:val="100"/>
          <w:sz w:val="30"/>
          <w:szCs w:val="30"/>
        </w:rPr>
        <w:t>2.质量标准</w:t>
      </w:r>
    </w:p>
    <w:p w14:paraId="55721F40">
      <w:pPr>
        <w:ind w:firstLine="708" w:firstLineChars="236"/>
        <w:rPr>
          <w:rFonts w:ascii="仿宋" w:hAnsi="仿宋" w:eastAsia="仿宋"/>
          <w:w w:val="100"/>
          <w:sz w:val="30"/>
          <w:szCs w:val="30"/>
        </w:rPr>
      </w:pPr>
      <w:r>
        <w:rPr>
          <w:rFonts w:ascii="仿宋" w:hAnsi="仿宋" w:eastAsia="仿宋"/>
          <w:w w:val="100"/>
          <w:sz w:val="30"/>
          <w:szCs w:val="30"/>
        </w:rPr>
        <w:t>所有项目均符合设计及规范要求，其中舞水四桥工程通过省级优质工程初审，绿色食品产业园厂房建设达到国家装配式建筑二星级标准。第三方检测显示，混凝土强度、钢筋间距等关键指标合格率达100%，未发生质量事故。</w:t>
      </w:r>
    </w:p>
    <w:p w14:paraId="72D00A3F">
      <w:pPr>
        <w:ind w:firstLine="708" w:firstLineChars="236"/>
        <w:rPr>
          <w:rFonts w:ascii="仿宋" w:hAnsi="仿宋" w:eastAsia="仿宋"/>
          <w:w w:val="100"/>
          <w:sz w:val="30"/>
          <w:szCs w:val="30"/>
        </w:rPr>
      </w:pPr>
      <w:r>
        <w:rPr>
          <w:rFonts w:ascii="仿宋" w:hAnsi="仿宋" w:eastAsia="仿宋"/>
          <w:w w:val="100"/>
          <w:sz w:val="30"/>
          <w:szCs w:val="30"/>
        </w:rPr>
        <w:t>3.时效控制</w:t>
      </w:r>
    </w:p>
    <w:p w14:paraId="0050E22E">
      <w:pPr>
        <w:ind w:firstLine="708" w:firstLineChars="236"/>
        <w:rPr>
          <w:rFonts w:ascii="仿宋" w:hAnsi="仿宋" w:eastAsia="仿宋"/>
          <w:w w:val="100"/>
          <w:sz w:val="30"/>
          <w:szCs w:val="30"/>
        </w:rPr>
      </w:pPr>
      <w:r>
        <w:rPr>
          <w:rFonts w:ascii="仿宋" w:hAnsi="仿宋" w:eastAsia="仿宋"/>
          <w:w w:val="100"/>
          <w:sz w:val="30"/>
          <w:szCs w:val="30"/>
        </w:rPr>
        <w:t>项目平均开工时间比计划延迟1.5个月，主要因鹤中大道改扩建项目涉及军用光缆迁移，审批流程耗时3个月；仙人桥商务区项目土地招拍挂延迟，导致开工时间由4月推迟至7月。</w:t>
      </w:r>
    </w:p>
    <w:p w14:paraId="4EF6CAD6">
      <w:pPr>
        <w:ind w:firstLine="708" w:firstLineChars="236"/>
        <w:rPr>
          <w:rFonts w:ascii="仿宋" w:hAnsi="仿宋" w:eastAsia="仿宋"/>
          <w:w w:val="100"/>
          <w:sz w:val="30"/>
          <w:szCs w:val="30"/>
        </w:rPr>
      </w:pPr>
      <w:r>
        <w:rPr>
          <w:rFonts w:ascii="仿宋" w:hAnsi="仿宋" w:eastAsia="仿宋"/>
          <w:w w:val="100"/>
          <w:sz w:val="30"/>
          <w:szCs w:val="30"/>
        </w:rPr>
        <w:t>4.成本控制</w:t>
      </w:r>
    </w:p>
    <w:p w14:paraId="40D85410">
      <w:pPr>
        <w:ind w:firstLine="708" w:firstLineChars="236"/>
        <w:rPr>
          <w:rFonts w:ascii="仿宋" w:hAnsi="仿宋" w:eastAsia="仿宋"/>
          <w:w w:val="100"/>
          <w:sz w:val="30"/>
          <w:szCs w:val="30"/>
        </w:rPr>
      </w:pPr>
      <w:r>
        <w:rPr>
          <w:rFonts w:ascii="仿宋" w:hAnsi="仿宋" w:eastAsia="仿宋"/>
          <w:w w:val="100"/>
          <w:sz w:val="30"/>
          <w:szCs w:val="30"/>
        </w:rPr>
        <w:t>项目平均成本较预算节约5.2%，主要得益于采用EPC总承包模式，减少设计变更导致的成本增加。</w:t>
      </w:r>
    </w:p>
    <w:p w14:paraId="16AAE624">
      <w:pPr>
        <w:ind w:firstLine="708" w:firstLineChars="236"/>
        <w:rPr>
          <w:rFonts w:ascii="仿宋" w:hAnsi="仿宋" w:eastAsia="仿宋"/>
          <w:w w:val="100"/>
          <w:sz w:val="30"/>
          <w:szCs w:val="30"/>
        </w:rPr>
      </w:pPr>
      <w:r>
        <w:rPr>
          <w:rFonts w:ascii="仿宋" w:hAnsi="仿宋" w:eastAsia="仿宋"/>
          <w:w w:val="100"/>
          <w:sz w:val="30"/>
          <w:szCs w:val="30"/>
        </w:rPr>
        <w:t>（二）项目效益情况</w:t>
      </w:r>
    </w:p>
    <w:p w14:paraId="52D96037">
      <w:pPr>
        <w:ind w:firstLine="708" w:firstLineChars="236"/>
        <w:rPr>
          <w:rFonts w:ascii="仿宋" w:hAnsi="仿宋" w:eastAsia="仿宋"/>
          <w:w w:val="100"/>
          <w:sz w:val="30"/>
          <w:szCs w:val="30"/>
        </w:rPr>
      </w:pPr>
      <w:r>
        <w:rPr>
          <w:rFonts w:ascii="仿宋" w:hAnsi="仿宋" w:eastAsia="仿宋"/>
          <w:w w:val="100"/>
          <w:sz w:val="30"/>
          <w:szCs w:val="30"/>
        </w:rPr>
        <w:t>1.经济效益</w:t>
      </w:r>
    </w:p>
    <w:p w14:paraId="5F236C67">
      <w:pPr>
        <w:ind w:firstLine="708" w:firstLineChars="236"/>
        <w:rPr>
          <w:rFonts w:ascii="仿宋" w:hAnsi="仿宋" w:eastAsia="仿宋"/>
          <w:w w:val="100"/>
          <w:sz w:val="30"/>
          <w:szCs w:val="30"/>
        </w:rPr>
      </w:pPr>
      <w:r>
        <w:rPr>
          <w:rFonts w:ascii="仿宋" w:hAnsi="仿宋" w:eastAsia="仿宋"/>
          <w:w w:val="100"/>
          <w:sz w:val="30"/>
          <w:szCs w:val="30"/>
        </w:rPr>
        <w:t>直接产出：固定资产投资带动区域GDP增长约45亿元，鹤中一体化区域经济首位度达32.8%（目标33%），接近预期；</w:t>
      </w:r>
    </w:p>
    <w:p w14:paraId="1CC2D0E8">
      <w:pPr>
        <w:ind w:firstLine="708" w:firstLineChars="236"/>
        <w:rPr>
          <w:rFonts w:ascii="仿宋" w:hAnsi="仿宋" w:eastAsia="仿宋"/>
          <w:w w:val="100"/>
          <w:sz w:val="30"/>
          <w:szCs w:val="30"/>
        </w:rPr>
      </w:pPr>
      <w:r>
        <w:rPr>
          <w:rFonts w:ascii="仿宋" w:hAnsi="仿宋" w:eastAsia="仿宋"/>
          <w:w w:val="100"/>
          <w:sz w:val="30"/>
          <w:szCs w:val="30"/>
        </w:rPr>
        <w:t>产业拉动：绿色食品产业园投产后预计年产值5亿元，箱包皮具产业园带动就业3000人，年税收贡献8000万元；</w:t>
      </w:r>
    </w:p>
    <w:p w14:paraId="4A223D70">
      <w:pPr>
        <w:ind w:firstLine="708" w:firstLineChars="236"/>
        <w:rPr>
          <w:rFonts w:ascii="仿宋" w:hAnsi="仿宋" w:eastAsia="仿宋"/>
          <w:w w:val="100"/>
          <w:sz w:val="30"/>
          <w:szCs w:val="30"/>
        </w:rPr>
      </w:pPr>
      <w:r>
        <w:rPr>
          <w:rFonts w:ascii="仿宋" w:hAnsi="仿宋" w:eastAsia="仿宋"/>
          <w:w w:val="100"/>
          <w:sz w:val="30"/>
          <w:szCs w:val="30"/>
        </w:rPr>
        <w:t>2.社会效益</w:t>
      </w:r>
    </w:p>
    <w:p w14:paraId="26B42EFB">
      <w:pPr>
        <w:ind w:firstLine="708" w:firstLineChars="236"/>
        <w:rPr>
          <w:rFonts w:ascii="仿宋" w:hAnsi="仿宋" w:eastAsia="仿宋"/>
          <w:w w:val="100"/>
          <w:sz w:val="30"/>
          <w:szCs w:val="30"/>
        </w:rPr>
      </w:pPr>
      <w:r>
        <w:rPr>
          <w:rFonts w:ascii="仿宋" w:hAnsi="仿宋" w:eastAsia="仿宋"/>
          <w:w w:val="100"/>
          <w:sz w:val="30"/>
          <w:szCs w:val="30"/>
        </w:rPr>
        <w:t>交通出行：怀芷快速干线建成后，鹤城至中方车程由40分钟缩短至25分钟，日均车流量达1.2万辆；</w:t>
      </w:r>
    </w:p>
    <w:p w14:paraId="2796FAB1">
      <w:pPr>
        <w:ind w:firstLine="708" w:firstLineChars="236"/>
        <w:rPr>
          <w:rFonts w:ascii="仿宋" w:hAnsi="仿宋" w:eastAsia="仿宋"/>
          <w:w w:val="100"/>
          <w:sz w:val="30"/>
          <w:szCs w:val="30"/>
        </w:rPr>
      </w:pPr>
      <w:r>
        <w:rPr>
          <w:rFonts w:ascii="仿宋" w:hAnsi="仿宋" w:eastAsia="仿宋"/>
          <w:w w:val="100"/>
          <w:sz w:val="30"/>
          <w:szCs w:val="30"/>
        </w:rPr>
        <w:t>公共服务：怀熙小学新增学位缓解了城区入学压力，湖南医药学院分院新增床位500张，区域医疗资源配置更均衡；</w:t>
      </w:r>
    </w:p>
    <w:p w14:paraId="24B5A811">
      <w:pPr>
        <w:ind w:firstLine="708" w:firstLineChars="236"/>
        <w:rPr>
          <w:rFonts w:ascii="仿宋" w:hAnsi="仿宋" w:eastAsia="仿宋"/>
          <w:w w:val="100"/>
          <w:sz w:val="30"/>
          <w:szCs w:val="30"/>
        </w:rPr>
      </w:pPr>
      <w:r>
        <w:rPr>
          <w:rFonts w:ascii="仿宋" w:hAnsi="仿宋" w:eastAsia="仿宋"/>
          <w:w w:val="100"/>
          <w:sz w:val="30"/>
          <w:szCs w:val="30"/>
        </w:rPr>
        <w:t>就业带动：以工代赈项目发放劳务报酬1.3亿元（目标1.5亿元），带动6000余名农村劳动力就业。</w:t>
      </w:r>
    </w:p>
    <w:p w14:paraId="1BF0ADDB">
      <w:pPr>
        <w:ind w:firstLine="708" w:firstLineChars="236"/>
        <w:rPr>
          <w:rFonts w:ascii="仿宋" w:hAnsi="仿宋" w:eastAsia="仿宋"/>
          <w:w w:val="100"/>
          <w:sz w:val="30"/>
          <w:szCs w:val="30"/>
        </w:rPr>
      </w:pPr>
      <w:r>
        <w:rPr>
          <w:rFonts w:ascii="仿宋" w:hAnsi="仿宋" w:eastAsia="仿宋"/>
          <w:w w:val="100"/>
          <w:sz w:val="30"/>
          <w:szCs w:val="30"/>
        </w:rPr>
        <w:t>3.生态效益</w:t>
      </w:r>
    </w:p>
    <w:p w14:paraId="6301A452">
      <w:pPr>
        <w:ind w:firstLine="708" w:firstLineChars="236"/>
        <w:rPr>
          <w:rFonts w:ascii="仿宋" w:hAnsi="仿宋" w:eastAsia="仿宋"/>
          <w:w w:val="100"/>
          <w:sz w:val="30"/>
          <w:szCs w:val="30"/>
        </w:rPr>
      </w:pPr>
      <w:r>
        <w:rPr>
          <w:rFonts w:ascii="仿宋" w:hAnsi="仿宋" w:eastAsia="仿宋"/>
          <w:w w:val="100"/>
          <w:sz w:val="30"/>
          <w:szCs w:val="30"/>
        </w:rPr>
        <w:t>污水垃圾处理设施建设工程覆盖鹤中区域80%的行政村，生活污水收集率提升至75%，生活垃圾无害化处理率达100%；</w:t>
      </w:r>
    </w:p>
    <w:p w14:paraId="7735769E">
      <w:pPr>
        <w:ind w:firstLine="708" w:firstLineChars="236"/>
        <w:rPr>
          <w:rFonts w:ascii="仿宋" w:hAnsi="仿宋" w:eastAsia="仿宋"/>
          <w:w w:val="100"/>
          <w:sz w:val="30"/>
          <w:szCs w:val="30"/>
        </w:rPr>
      </w:pPr>
      <w:r>
        <w:rPr>
          <w:rFonts w:ascii="仿宋" w:hAnsi="仿宋" w:eastAsia="仿宋"/>
          <w:w w:val="100"/>
          <w:sz w:val="30"/>
          <w:szCs w:val="30"/>
        </w:rPr>
        <w:t>舞水四桥建设采用环保型混凝土，减少粉尘排放30%，施工期间未发生环境污染事件。</w:t>
      </w:r>
    </w:p>
    <w:p w14:paraId="42BF8DAA">
      <w:pPr>
        <w:ind w:firstLine="708" w:firstLineChars="236"/>
        <w:rPr>
          <w:rFonts w:ascii="仿宋" w:hAnsi="仿宋" w:eastAsia="仿宋"/>
          <w:w w:val="100"/>
          <w:sz w:val="30"/>
          <w:szCs w:val="30"/>
        </w:rPr>
      </w:pPr>
      <w:r>
        <w:rPr>
          <w:rFonts w:ascii="仿宋" w:hAnsi="仿宋" w:eastAsia="仿宋"/>
          <w:w w:val="100"/>
          <w:sz w:val="30"/>
          <w:szCs w:val="30"/>
        </w:rPr>
        <w:t>4.可持续效益</w:t>
      </w:r>
    </w:p>
    <w:p w14:paraId="514C0F37">
      <w:pPr>
        <w:ind w:firstLine="708" w:firstLineChars="236"/>
        <w:rPr>
          <w:rFonts w:ascii="仿宋" w:hAnsi="仿宋" w:eastAsia="仿宋"/>
          <w:w w:val="100"/>
          <w:sz w:val="30"/>
          <w:szCs w:val="30"/>
        </w:rPr>
      </w:pPr>
      <w:r>
        <w:rPr>
          <w:rFonts w:ascii="仿宋" w:hAnsi="仿宋" w:eastAsia="仿宋"/>
          <w:w w:val="100"/>
          <w:sz w:val="30"/>
          <w:szCs w:val="30"/>
        </w:rPr>
        <w:t>空间拓展：中心城区建成区面积达91.5平方公里（目标93平方公里），为“双百”城市目标奠定基础；</w:t>
      </w:r>
    </w:p>
    <w:p w14:paraId="5148C51D">
      <w:pPr>
        <w:ind w:firstLine="708" w:firstLineChars="236"/>
        <w:rPr>
          <w:rFonts w:ascii="仿宋" w:hAnsi="仿宋" w:eastAsia="仿宋"/>
          <w:w w:val="100"/>
          <w:sz w:val="30"/>
          <w:szCs w:val="30"/>
        </w:rPr>
      </w:pPr>
      <w:r>
        <w:rPr>
          <w:rFonts w:ascii="仿宋" w:hAnsi="仿宋" w:eastAsia="仿宋"/>
          <w:w w:val="100"/>
          <w:sz w:val="30"/>
          <w:szCs w:val="30"/>
        </w:rPr>
        <w:t>产业集聚：绿色食品、箱包皮具等产业初步形成集群效应，预计未来3年可吸引产业链企业50家以上；</w:t>
      </w:r>
    </w:p>
    <w:p w14:paraId="1721A385">
      <w:pPr>
        <w:ind w:firstLine="708" w:firstLineChars="236"/>
        <w:rPr>
          <w:rFonts w:ascii="仿宋" w:hAnsi="仿宋" w:eastAsia="仿宋"/>
          <w:w w:val="100"/>
          <w:sz w:val="30"/>
          <w:szCs w:val="30"/>
        </w:rPr>
      </w:pPr>
      <w:r>
        <w:rPr>
          <w:rFonts w:ascii="仿宋" w:hAnsi="仿宋" w:eastAsia="仿宋"/>
          <w:w w:val="100"/>
          <w:sz w:val="30"/>
          <w:szCs w:val="30"/>
        </w:rPr>
        <w:t>机制创新：出台《怀化市鹤中一体化发展促进条例》，为区域协调发展提供制度保障。</w:t>
      </w:r>
    </w:p>
    <w:p w14:paraId="4AEEDF49">
      <w:pPr>
        <w:ind w:firstLine="708" w:firstLineChars="236"/>
        <w:rPr>
          <w:rFonts w:ascii="仿宋" w:hAnsi="仿宋" w:eastAsia="仿宋"/>
          <w:w w:val="100"/>
          <w:sz w:val="30"/>
          <w:szCs w:val="30"/>
        </w:rPr>
      </w:pPr>
      <w:r>
        <w:rPr>
          <w:rFonts w:ascii="仿宋" w:hAnsi="仿宋" w:eastAsia="仿宋"/>
          <w:w w:val="100"/>
          <w:sz w:val="30"/>
          <w:szCs w:val="30"/>
        </w:rPr>
        <w:t>5.服务对象满意度</w:t>
      </w:r>
    </w:p>
    <w:p w14:paraId="787309E1">
      <w:pPr>
        <w:ind w:firstLine="708" w:firstLineChars="236"/>
        <w:rPr>
          <w:rFonts w:ascii="仿宋" w:hAnsi="仿宋" w:eastAsia="仿宋"/>
          <w:w w:val="100"/>
          <w:sz w:val="30"/>
          <w:szCs w:val="30"/>
        </w:rPr>
      </w:pPr>
      <w:r>
        <w:rPr>
          <w:rFonts w:ascii="仿宋" w:hAnsi="仿宋" w:eastAsia="仿宋"/>
          <w:w w:val="100"/>
          <w:sz w:val="30"/>
          <w:szCs w:val="30"/>
        </w:rPr>
        <w:t>问卷调查显示，项目区居民对交通改善的满意度达89%，企业对产业园区配套的满意度达85%，但对公共服务项目（如教育集团）的知晓度仅65%，反映出宣传工作有待加强。</w:t>
      </w:r>
    </w:p>
    <w:p w14:paraId="774F89AF">
      <w:pPr>
        <w:ind w:firstLine="708" w:firstLineChars="236"/>
        <w:rPr>
          <w:rFonts w:ascii="仿宋" w:hAnsi="仿宋" w:eastAsia="仿宋"/>
          <w:w w:val="100"/>
          <w:sz w:val="30"/>
          <w:szCs w:val="30"/>
        </w:rPr>
      </w:pPr>
      <w:r>
        <w:rPr>
          <w:rFonts w:ascii="仿宋" w:hAnsi="仿宋" w:eastAsia="仿宋"/>
          <w:w w:val="100"/>
          <w:sz w:val="30"/>
          <w:szCs w:val="30"/>
        </w:rPr>
        <w:t>五、评价结论及建议</w:t>
      </w:r>
    </w:p>
    <w:p w14:paraId="506BEC2E">
      <w:pPr>
        <w:ind w:firstLine="708" w:firstLineChars="236"/>
        <w:rPr>
          <w:rFonts w:ascii="仿宋" w:hAnsi="仿宋" w:eastAsia="仿宋"/>
          <w:w w:val="100"/>
          <w:sz w:val="30"/>
          <w:szCs w:val="30"/>
        </w:rPr>
      </w:pPr>
      <w:r>
        <w:rPr>
          <w:rFonts w:ascii="仿宋" w:hAnsi="仿宋" w:eastAsia="仿宋"/>
          <w:w w:val="100"/>
          <w:sz w:val="30"/>
          <w:szCs w:val="30"/>
        </w:rPr>
        <w:t>（一）评价结论</w:t>
      </w:r>
    </w:p>
    <w:p w14:paraId="5F44E208">
      <w:pPr>
        <w:ind w:firstLine="708" w:firstLineChars="236"/>
        <w:rPr>
          <w:rFonts w:ascii="仿宋" w:hAnsi="仿宋" w:eastAsia="仿宋"/>
          <w:w w:val="100"/>
          <w:sz w:val="30"/>
          <w:szCs w:val="30"/>
        </w:rPr>
      </w:pPr>
      <w:r>
        <w:rPr>
          <w:rFonts w:ascii="仿宋" w:hAnsi="仿宋" w:eastAsia="仿宋"/>
          <w:w w:val="100"/>
          <w:sz w:val="30"/>
          <w:szCs w:val="30"/>
        </w:rPr>
        <w:t>综合来看，鹤中一体化专项经费项目实施成效显著，资金使用规范，绩效目标达成度较高。根据绩效评价指标体系，项目最终得分为88分，评价等级为“优秀”。主要亮点：战略契合度高，有力推动了怀化“五新四城”战略实施；资金使用效率良好，撬动社会资本作用明显；重点项目建设质量可控，为区域发展奠定了硬件基础。</w:t>
      </w:r>
    </w:p>
    <w:p w14:paraId="65E22722">
      <w:pPr>
        <w:ind w:firstLine="708" w:firstLineChars="236"/>
        <w:rPr>
          <w:rFonts w:ascii="仿宋" w:hAnsi="仿宋" w:eastAsia="仿宋"/>
          <w:w w:val="100"/>
          <w:sz w:val="30"/>
          <w:szCs w:val="30"/>
        </w:rPr>
      </w:pPr>
      <w:r>
        <w:rPr>
          <w:rFonts w:ascii="仿宋" w:hAnsi="仿宋" w:eastAsia="仿宋"/>
          <w:w w:val="100"/>
          <w:sz w:val="30"/>
          <w:szCs w:val="30"/>
        </w:rPr>
        <w:t>（二）存在的问题</w:t>
      </w:r>
    </w:p>
    <w:p w14:paraId="7BE528E5">
      <w:pPr>
        <w:ind w:firstLine="708" w:firstLineChars="236"/>
        <w:rPr>
          <w:rFonts w:ascii="仿宋" w:hAnsi="仿宋" w:eastAsia="仿宋"/>
          <w:w w:val="100"/>
          <w:sz w:val="30"/>
          <w:szCs w:val="30"/>
        </w:rPr>
      </w:pPr>
      <w:r>
        <w:rPr>
          <w:rFonts w:ascii="仿宋" w:hAnsi="仿宋" w:eastAsia="仿宋"/>
          <w:w w:val="100"/>
          <w:sz w:val="30"/>
          <w:szCs w:val="30"/>
        </w:rPr>
        <w:t>资金到位与使用：中方县财政配套资金缺口</w:t>
      </w:r>
      <w:r>
        <w:rPr>
          <w:rFonts w:hint="eastAsia" w:ascii="仿宋" w:hAnsi="仿宋" w:eastAsia="仿宋"/>
          <w:w w:val="100"/>
          <w:sz w:val="30"/>
          <w:szCs w:val="30"/>
        </w:rPr>
        <w:t>较大</w:t>
      </w:r>
      <w:r>
        <w:rPr>
          <w:rFonts w:ascii="仿宋" w:hAnsi="仿宋" w:eastAsia="仿宋"/>
          <w:w w:val="100"/>
          <w:sz w:val="30"/>
          <w:szCs w:val="30"/>
        </w:rPr>
        <w:t>，专项债发行进度滞后；</w:t>
      </w:r>
    </w:p>
    <w:p w14:paraId="3C463068">
      <w:pPr>
        <w:ind w:firstLine="708" w:firstLineChars="236"/>
        <w:rPr>
          <w:rFonts w:ascii="仿宋" w:hAnsi="仿宋" w:eastAsia="仿宋"/>
          <w:w w:val="100"/>
          <w:sz w:val="30"/>
          <w:szCs w:val="30"/>
        </w:rPr>
      </w:pPr>
      <w:r>
        <w:rPr>
          <w:rFonts w:ascii="仿宋" w:hAnsi="仿宋" w:eastAsia="仿宋"/>
          <w:w w:val="100"/>
          <w:sz w:val="30"/>
          <w:szCs w:val="30"/>
        </w:rPr>
        <w:t>项目进度：</w:t>
      </w:r>
      <w:r>
        <w:rPr>
          <w:rFonts w:hint="eastAsia" w:ascii="仿宋" w:hAnsi="仿宋" w:eastAsia="仿宋"/>
          <w:w w:val="100"/>
          <w:sz w:val="30"/>
          <w:szCs w:val="30"/>
        </w:rPr>
        <w:t>个别</w:t>
      </w:r>
      <w:r>
        <w:rPr>
          <w:rFonts w:ascii="仿宋" w:hAnsi="仿宋" w:eastAsia="仿宋"/>
          <w:w w:val="100"/>
          <w:sz w:val="30"/>
          <w:szCs w:val="30"/>
        </w:rPr>
        <w:t>项目因前期审批、征地拆迁等原因进度滞后，影响整体实施效果；</w:t>
      </w:r>
    </w:p>
    <w:p w14:paraId="7EF6E792">
      <w:pPr>
        <w:ind w:firstLine="708" w:firstLineChars="236"/>
        <w:rPr>
          <w:rFonts w:ascii="仿宋" w:hAnsi="仿宋" w:eastAsia="仿宋"/>
          <w:w w:val="100"/>
          <w:sz w:val="30"/>
          <w:szCs w:val="30"/>
        </w:rPr>
      </w:pPr>
      <w:r>
        <w:rPr>
          <w:rFonts w:ascii="仿宋" w:hAnsi="仿宋" w:eastAsia="仿宋"/>
          <w:w w:val="100"/>
          <w:sz w:val="30"/>
          <w:szCs w:val="30"/>
        </w:rPr>
        <w:t>效益发挥：公共服务类项目的社会效应宣传不足，群众获得感有待提升。</w:t>
      </w:r>
    </w:p>
    <w:p w14:paraId="436BDA36">
      <w:pPr>
        <w:ind w:firstLine="708" w:firstLineChars="236"/>
        <w:rPr>
          <w:rFonts w:ascii="仿宋" w:hAnsi="仿宋" w:eastAsia="仿宋"/>
          <w:w w:val="100"/>
          <w:sz w:val="30"/>
          <w:szCs w:val="30"/>
        </w:rPr>
      </w:pPr>
      <w:r>
        <w:rPr>
          <w:rFonts w:ascii="仿宋" w:hAnsi="仿宋" w:eastAsia="仿宋"/>
          <w:w w:val="100"/>
          <w:sz w:val="30"/>
          <w:szCs w:val="30"/>
        </w:rPr>
        <w:t>（三）相关建议</w:t>
      </w:r>
    </w:p>
    <w:p w14:paraId="0E78D1D3">
      <w:pPr>
        <w:ind w:firstLine="708" w:firstLineChars="236"/>
        <w:rPr>
          <w:rFonts w:ascii="仿宋" w:hAnsi="仿宋" w:eastAsia="仿宋"/>
          <w:w w:val="100"/>
          <w:sz w:val="30"/>
          <w:szCs w:val="30"/>
        </w:rPr>
      </w:pPr>
      <w:r>
        <w:rPr>
          <w:rFonts w:ascii="仿宋" w:hAnsi="仿宋" w:eastAsia="仿宋"/>
          <w:w w:val="100"/>
          <w:sz w:val="30"/>
          <w:szCs w:val="30"/>
        </w:rPr>
        <w:t>资金保障方面：建立鹤中一体化专项资金池，整合土地出让收入、专项债等多元资金来源；对中方县财政配套缺口，通过市级财政调度资金予以补足，确保项目连续性。</w:t>
      </w:r>
    </w:p>
    <w:p w14:paraId="28282810">
      <w:pPr>
        <w:ind w:firstLine="708" w:firstLineChars="236"/>
        <w:rPr>
          <w:rFonts w:ascii="仿宋" w:hAnsi="仿宋" w:eastAsia="仿宋"/>
          <w:w w:val="100"/>
          <w:sz w:val="30"/>
          <w:szCs w:val="30"/>
        </w:rPr>
      </w:pPr>
      <w:r>
        <w:rPr>
          <w:rFonts w:ascii="仿宋" w:hAnsi="仿宋" w:eastAsia="仿宋"/>
          <w:w w:val="100"/>
          <w:sz w:val="30"/>
          <w:szCs w:val="30"/>
        </w:rPr>
        <w:t>项目推进方面：优化前期审批流程，对鹤中一体化项目开通“绿色通道”，压缩审批时限至15个工作日内；成立征地拆迁专项工作组，加大政策宣讲力度，保障项目用地需求。</w:t>
      </w:r>
    </w:p>
    <w:p w14:paraId="5E1518EB">
      <w:pPr>
        <w:ind w:firstLine="708" w:firstLineChars="236"/>
        <w:rPr>
          <w:rFonts w:ascii="仿宋" w:hAnsi="仿宋" w:eastAsia="仿宋"/>
          <w:w w:val="100"/>
          <w:sz w:val="30"/>
          <w:szCs w:val="30"/>
        </w:rPr>
      </w:pPr>
      <w:r>
        <w:rPr>
          <w:rFonts w:ascii="仿宋" w:hAnsi="仿宋" w:eastAsia="仿宋"/>
          <w:w w:val="100"/>
          <w:sz w:val="30"/>
          <w:szCs w:val="30"/>
        </w:rPr>
        <w:t>监管强化方面：增加市发改委监管人员编制至5人，配备专业工程技术人员；引入无人机巡检、BIM技术等信息化手段，提升监管效率。</w:t>
      </w:r>
    </w:p>
    <w:p w14:paraId="43F19D7F">
      <w:pPr>
        <w:ind w:firstLine="708" w:firstLineChars="236"/>
        <w:rPr>
          <w:rFonts w:ascii="仿宋" w:hAnsi="仿宋" w:eastAsia="仿宋"/>
          <w:w w:val="100"/>
          <w:sz w:val="30"/>
          <w:szCs w:val="30"/>
        </w:rPr>
      </w:pPr>
      <w:r>
        <w:rPr>
          <w:rFonts w:ascii="仿宋" w:hAnsi="仿宋" w:eastAsia="仿宋"/>
          <w:w w:val="100"/>
          <w:sz w:val="30"/>
          <w:szCs w:val="30"/>
        </w:rPr>
        <w:t>效益提升方面：通过政府门户网站、短视频平台等渠道，加大公共服务项目宣传力度；建立项目效益跟踪机制，每半年开展一次满意度调查，及时回应群众关切。</w:t>
      </w:r>
    </w:p>
    <w:p w14:paraId="768E96E5">
      <w:pPr>
        <w:ind w:firstLine="708" w:firstLineChars="236"/>
        <w:rPr>
          <w:rFonts w:ascii="仿宋" w:hAnsi="仿宋" w:eastAsia="仿宋"/>
          <w:w w:val="100"/>
          <w:sz w:val="30"/>
          <w:szCs w:val="30"/>
        </w:rPr>
      </w:pPr>
      <w:r>
        <w:rPr>
          <w:rFonts w:ascii="仿宋" w:hAnsi="仿宋" w:eastAsia="仿宋"/>
          <w:w w:val="100"/>
          <w:sz w:val="30"/>
          <w:szCs w:val="30"/>
        </w:rPr>
        <w:t>政策完善方面：推动将鹤中一体化纳入省级区域协调发展战略，争取更多上级资金支持；制定《鹤中一体化产业协同发展政策》，引导产业链跨区域布局。</w:t>
      </w:r>
    </w:p>
    <w:p w14:paraId="518B76B5">
      <w:pPr>
        <w:ind w:firstLine="708" w:firstLineChars="236"/>
        <w:rPr>
          <w:rFonts w:ascii="仿宋" w:hAnsi="仿宋" w:eastAsia="仿宋"/>
          <w:w w:val="100"/>
          <w:sz w:val="30"/>
          <w:szCs w:val="30"/>
        </w:rPr>
      </w:pPr>
      <w:r>
        <w:rPr>
          <w:rFonts w:ascii="仿宋" w:hAnsi="仿宋" w:eastAsia="仿宋"/>
          <w:w w:val="100"/>
          <w:sz w:val="30"/>
          <w:szCs w:val="30"/>
        </w:rPr>
        <w:t>通过以上措施，可进一步提升鹤中一体化专项经费的使用效益，加快实现“双百”城市目标，为怀化建设五省边区中心城市提供强劲动力。</w:t>
      </w:r>
    </w:p>
    <w:p w14:paraId="3FCC8DA5">
      <w:pPr>
        <w:spacing w:line="360" w:lineRule="auto"/>
        <w:jc w:val="center"/>
        <w:rPr>
          <w:rFonts w:asciiTheme="minorEastAsia" w:hAnsiTheme="minorEastAsia" w:eastAsiaTheme="minorEastAsia"/>
          <w:w w:val="1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27B5"/>
    <w:rsid w:val="00162C67"/>
    <w:rsid w:val="0019769F"/>
    <w:rsid w:val="00286347"/>
    <w:rsid w:val="003B27B5"/>
    <w:rsid w:val="00425A02"/>
    <w:rsid w:val="004E5BEC"/>
    <w:rsid w:val="00563CE4"/>
    <w:rsid w:val="005E1382"/>
    <w:rsid w:val="00662E0B"/>
    <w:rsid w:val="00675CC7"/>
    <w:rsid w:val="00732A53"/>
    <w:rsid w:val="007749CE"/>
    <w:rsid w:val="0081719F"/>
    <w:rsid w:val="0092660C"/>
    <w:rsid w:val="009C0F07"/>
    <w:rsid w:val="00A676AF"/>
    <w:rsid w:val="00B56A59"/>
    <w:rsid w:val="00CA278C"/>
    <w:rsid w:val="00CB0806"/>
    <w:rsid w:val="00EC3770"/>
    <w:rsid w:val="00ED63DE"/>
    <w:rsid w:val="0A12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2"/>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3"/>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customStyle="1" w:styleId="11">
    <w:name w:val="标题 1 Char"/>
    <w:basedOn w:val="9"/>
    <w:link w:val="2"/>
    <w:uiPriority w:val="9"/>
    <w:rPr>
      <w:rFonts w:ascii="宋体" w:hAnsi="宋体" w:eastAsia="宋体" w:cs="宋体"/>
      <w:b/>
      <w:bCs/>
      <w:w w:val="100"/>
      <w:kern w:val="36"/>
      <w:sz w:val="48"/>
      <w:szCs w:val="48"/>
    </w:rPr>
  </w:style>
  <w:style w:type="character" w:customStyle="1" w:styleId="12">
    <w:name w:val="标题 2 Char"/>
    <w:basedOn w:val="9"/>
    <w:link w:val="3"/>
    <w:uiPriority w:val="9"/>
    <w:rPr>
      <w:rFonts w:ascii="宋体" w:hAnsi="宋体" w:eastAsia="宋体" w:cs="宋体"/>
      <w:b/>
      <w:bCs/>
      <w:w w:val="100"/>
      <w:kern w:val="0"/>
      <w:sz w:val="36"/>
      <w:szCs w:val="36"/>
    </w:rPr>
  </w:style>
  <w:style w:type="character" w:customStyle="1" w:styleId="13">
    <w:name w:val="标题 3 Char"/>
    <w:basedOn w:val="9"/>
    <w:link w:val="4"/>
    <w:uiPriority w:val="9"/>
    <w:rPr>
      <w:rFonts w:ascii="宋体" w:hAnsi="宋体" w:eastAsia="宋体" w:cs="宋体"/>
      <w:b/>
      <w:bCs/>
      <w:w w:val="100"/>
      <w:kern w:val="0"/>
      <w:sz w:val="27"/>
      <w:szCs w:val="27"/>
    </w:rPr>
  </w:style>
  <w:style w:type="paragraph" w:styleId="14">
    <w:name w:val="List Paragraph"/>
    <w:basedOn w:val="1"/>
    <w:qFormat/>
    <w:uiPriority w:val="34"/>
    <w:pPr>
      <w:ind w:firstLine="420" w:firstLineChars="200"/>
    </w:pPr>
  </w:style>
  <w:style w:type="character" w:customStyle="1" w:styleId="15">
    <w:name w:val="页眉 Char"/>
    <w:basedOn w:val="9"/>
    <w:link w:val="7"/>
    <w:semiHidden/>
    <w:uiPriority w:val="99"/>
    <w:rPr>
      <w:sz w:val="18"/>
      <w:szCs w:val="18"/>
    </w:rPr>
  </w:style>
  <w:style w:type="character" w:customStyle="1" w:styleId="16">
    <w:name w:val="页脚 Char"/>
    <w:basedOn w:val="9"/>
    <w:link w:val="6"/>
    <w:semiHidden/>
    <w:uiPriority w:val="99"/>
    <w:rPr>
      <w:sz w:val="18"/>
      <w:szCs w:val="18"/>
    </w:rPr>
  </w:style>
  <w:style w:type="character" w:customStyle="1" w:styleId="17">
    <w:name w:val="标题 4 Char"/>
    <w:basedOn w:val="9"/>
    <w:link w:val="5"/>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5532</Words>
  <Characters>5886</Characters>
  <Lines>43</Lines>
  <Paragraphs>12</Paragraphs>
  <TotalTime>70</TotalTime>
  <ScaleCrop>false</ScaleCrop>
  <LinksUpToDate>false</LinksUpToDate>
  <CharactersWithSpaces>5898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2025-06-08T20:01:00Z</dcterms:created>
  <dc:creator>Administrator</dc:creator>
  <cp:lastModifiedBy>奔跑吧少年</cp:lastModifiedBy>
  <dcterms:modified xsi:type="dcterms:W3CDTF">2025-06-23T01:03:28Z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eyJoZGlkIjoiOTAyMzE4NmNjMDMyOWRiNzdjMGFlZTJjMzVhYWI1ZGQiLCJ1c2VySWQiOiIyOTgwNDkwNjQifQ==</vt:lpwstr>
  </property>
  <property fmtid="{D5CDD505-2E9C-101B-9397-08002B2CF9AE}" pid="3" name="KSOProductBuildVer">
    <vt:lpwstr>2052-12.1.0.21541</vt:lpwstr>
  </property>
  <property fmtid="{D5CDD505-2E9C-101B-9397-08002B2CF9AE}" pid="4" name="ICV">
    <vt:lpwstr>FD1ADD52D9BB4CAFB207E2119A22311B_12</vt:lpwstr>
  </property>
</Properties>
</file>