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78116A">
      <w:pPr>
        <w:pStyle w:val="14"/>
        <w:jc w:val="center"/>
        <w:rPr>
          <w:rFonts w:ascii="Times New Roman" w:hAnsi="Times New Roman" w:cs="Times New Roman"/>
          <w:sz w:val="56"/>
          <w:szCs w:val="56"/>
        </w:rPr>
      </w:pPr>
    </w:p>
    <w:p w14:paraId="2923A92D">
      <w:pPr>
        <w:pStyle w:val="14"/>
        <w:jc w:val="center"/>
        <w:rPr>
          <w:rFonts w:ascii="Times New Roman" w:hAnsi="Times New Roman" w:cs="Times New Roman"/>
          <w:sz w:val="84"/>
          <w:szCs w:val="84"/>
        </w:rPr>
      </w:pPr>
    </w:p>
    <w:p w14:paraId="26CAC0C6">
      <w:pPr>
        <w:pStyle w:val="14"/>
        <w:jc w:val="center"/>
        <w:rPr>
          <w:rFonts w:ascii="Times New Roman" w:hAnsi="Times New Roman" w:cs="Times New Roman"/>
          <w:sz w:val="84"/>
          <w:szCs w:val="84"/>
        </w:rPr>
      </w:pPr>
    </w:p>
    <w:p w14:paraId="4D34D444">
      <w:pPr>
        <w:pStyle w:val="14"/>
        <w:jc w:val="center"/>
        <w:rPr>
          <w:rFonts w:ascii="Times New Roman" w:hAnsi="Times New Roman" w:eastAsia="方正小标宋简体" w:cs="Times New Roman"/>
          <w:b/>
          <w:bCs/>
          <w:sz w:val="72"/>
          <w:szCs w:val="72"/>
        </w:rPr>
      </w:pPr>
      <w:r>
        <w:rPr>
          <w:rFonts w:ascii="Times New Roman" w:hAnsi="Times New Roman" w:eastAsia="方正小标宋简体" w:cs="Times New Roman"/>
          <w:b/>
          <w:bCs/>
          <w:sz w:val="72"/>
          <w:szCs w:val="72"/>
        </w:rPr>
        <w:t>202</w:t>
      </w:r>
      <w:r>
        <w:rPr>
          <w:rFonts w:hint="eastAsia" w:ascii="Times New Roman" w:hAnsi="Times New Roman" w:eastAsia="方正小标宋简体" w:cs="Times New Roman"/>
          <w:b/>
          <w:bCs/>
          <w:sz w:val="72"/>
          <w:szCs w:val="72"/>
          <w:lang w:val="en-US" w:eastAsia="zh-CN"/>
        </w:rPr>
        <w:t>5</w:t>
      </w:r>
      <w:r>
        <w:rPr>
          <w:rFonts w:ascii="Times New Roman" w:hAnsi="Times New Roman" w:eastAsia="方正小标宋简体" w:cs="Times New Roman"/>
          <w:b/>
          <w:bCs/>
          <w:sz w:val="72"/>
          <w:szCs w:val="72"/>
        </w:rPr>
        <w:t>年度</w:t>
      </w:r>
    </w:p>
    <w:p w14:paraId="5DCC5618">
      <w:pPr>
        <w:pStyle w:val="14"/>
        <w:jc w:val="center"/>
        <w:rPr>
          <w:rFonts w:hint="eastAsia" w:ascii="Times New Roman" w:hAnsi="Times New Roman" w:eastAsia="方正小标宋简体" w:cs="Times New Roman"/>
          <w:b/>
          <w:bCs/>
          <w:sz w:val="72"/>
          <w:szCs w:val="72"/>
        </w:rPr>
      </w:pPr>
      <w:r>
        <w:rPr>
          <w:rFonts w:hint="eastAsia" w:ascii="Times New Roman" w:hAnsi="Times New Roman" w:eastAsia="方正小标宋简体" w:cs="Times New Roman"/>
          <w:b/>
          <w:bCs/>
          <w:sz w:val="72"/>
          <w:szCs w:val="72"/>
        </w:rPr>
        <w:t>怀化市土地储备中心</w:t>
      </w:r>
    </w:p>
    <w:p w14:paraId="7A14393F">
      <w:pPr>
        <w:pStyle w:val="14"/>
        <w:jc w:val="center"/>
        <w:rPr>
          <w:rFonts w:ascii="Times New Roman" w:hAnsi="Times New Roman" w:eastAsia="方正小标宋简体" w:cs="Times New Roman"/>
          <w:b/>
          <w:bCs/>
          <w:sz w:val="72"/>
          <w:szCs w:val="72"/>
        </w:rPr>
      </w:pPr>
      <w:r>
        <w:rPr>
          <w:rFonts w:ascii="Times New Roman" w:hAnsi="Times New Roman" w:eastAsia="方正小标宋简体" w:cs="Times New Roman"/>
          <w:b/>
          <w:bCs/>
          <w:sz w:val="72"/>
          <w:szCs w:val="72"/>
        </w:rPr>
        <w:t>部门决算</w:t>
      </w:r>
    </w:p>
    <w:p w14:paraId="3D2DB40C">
      <w:pPr>
        <w:pStyle w:val="14"/>
        <w:jc w:val="center"/>
        <w:rPr>
          <w:rFonts w:ascii="Times New Roman" w:hAnsi="Times New Roman" w:eastAsia="方正小标宋_GBK" w:cs="Times New Roman"/>
          <w:sz w:val="56"/>
          <w:szCs w:val="56"/>
        </w:rPr>
      </w:pPr>
    </w:p>
    <w:p w14:paraId="077DBD96">
      <w:pPr>
        <w:pStyle w:val="14"/>
        <w:spacing w:line="600" w:lineRule="exact"/>
        <w:jc w:val="both"/>
        <w:rPr>
          <w:rFonts w:ascii="Times New Roman" w:hAnsi="Times New Roman" w:cs="Times New Roman"/>
          <w:b/>
          <w:sz w:val="36"/>
          <w:szCs w:val="28"/>
        </w:rPr>
        <w:sectPr>
          <w:footerReference r:id="rId3" w:type="default"/>
          <w:pgSz w:w="11906" w:h="16838"/>
          <w:pgMar w:top="1417" w:right="1588" w:bottom="1417" w:left="1588" w:header="851" w:footer="992" w:gutter="0"/>
          <w:pgNumType w:start="1"/>
          <w:cols w:space="425" w:num="1"/>
          <w:docGrid w:type="lines" w:linePitch="312" w:charSpace="0"/>
        </w:sectPr>
      </w:pPr>
    </w:p>
    <w:p w14:paraId="4D7713EC">
      <w:pPr>
        <w:pStyle w:val="14"/>
        <w:spacing w:line="600" w:lineRule="exact"/>
        <w:jc w:val="both"/>
        <w:rPr>
          <w:rFonts w:ascii="Times New Roman" w:hAnsi="Times New Roman" w:cs="Times New Roman"/>
          <w:b/>
          <w:sz w:val="36"/>
          <w:szCs w:val="28"/>
        </w:rPr>
      </w:pPr>
    </w:p>
    <w:p w14:paraId="53CE2192">
      <w:pPr>
        <w:pStyle w:val="14"/>
        <w:spacing w:line="600" w:lineRule="exact"/>
        <w:jc w:val="center"/>
        <w:rPr>
          <w:rFonts w:ascii="Times New Roman" w:hAnsi="Times New Roman" w:cs="Times New Roman"/>
          <w:bCs/>
          <w:sz w:val="36"/>
          <w:szCs w:val="28"/>
        </w:rPr>
      </w:pPr>
      <w:r>
        <w:rPr>
          <w:rFonts w:ascii="Times New Roman" w:hAnsi="Times New Roman" w:cs="Times New Roman"/>
          <w:bCs/>
          <w:sz w:val="36"/>
          <w:szCs w:val="28"/>
        </w:rPr>
        <w:t>目  录</w:t>
      </w:r>
    </w:p>
    <w:p w14:paraId="4050DA35">
      <w:pPr>
        <w:pStyle w:val="14"/>
        <w:spacing w:line="600" w:lineRule="exact"/>
        <w:jc w:val="center"/>
        <w:rPr>
          <w:rFonts w:ascii="Times New Roman" w:hAnsi="Times New Roman" w:cs="Times New Roman"/>
          <w:b/>
          <w:sz w:val="36"/>
          <w:szCs w:val="28"/>
        </w:rPr>
      </w:pPr>
    </w:p>
    <w:p w14:paraId="782503BA">
      <w:pPr>
        <w:pStyle w:val="14"/>
        <w:spacing w:after="156" w:afterLines="50" w:line="600" w:lineRule="exact"/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 xml:space="preserve">第一部分 </w:t>
      </w:r>
      <w:r>
        <w:rPr>
          <w:rFonts w:hint="eastAsia" w:ascii="Times New Roman" w:hAnsi="Times New Roman" w:cs="Times New Roman"/>
          <w:bCs/>
          <w:sz w:val="32"/>
          <w:szCs w:val="32"/>
        </w:rPr>
        <w:t>怀化市土地储备中心</w:t>
      </w:r>
      <w:r>
        <w:rPr>
          <w:rFonts w:ascii="Times New Roman" w:hAnsi="Times New Roman" w:cs="Times New Roman"/>
          <w:bCs/>
          <w:sz w:val="32"/>
          <w:szCs w:val="32"/>
        </w:rPr>
        <w:t>概况</w:t>
      </w:r>
    </w:p>
    <w:p w14:paraId="2B6F7EA5">
      <w:pPr>
        <w:pStyle w:val="14"/>
        <w:spacing w:line="600" w:lineRule="exac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一、部门职责</w:t>
      </w:r>
    </w:p>
    <w:p w14:paraId="5EB8F6B0">
      <w:pPr>
        <w:pStyle w:val="14"/>
        <w:spacing w:line="600" w:lineRule="exac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二、机构设置及决算单位构成</w:t>
      </w:r>
    </w:p>
    <w:p w14:paraId="3D7D157D">
      <w:pPr>
        <w:pStyle w:val="14"/>
        <w:spacing w:before="156" w:beforeLines="50" w:after="156" w:afterLines="50" w:line="600" w:lineRule="exact"/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>第二部分 部门决算表</w:t>
      </w:r>
    </w:p>
    <w:p w14:paraId="6A52F897">
      <w:pPr>
        <w:pStyle w:val="14"/>
        <w:spacing w:line="600" w:lineRule="exac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一、收入支出决算总表</w:t>
      </w:r>
    </w:p>
    <w:p w14:paraId="1F65FDFC">
      <w:pPr>
        <w:pStyle w:val="14"/>
        <w:spacing w:line="600" w:lineRule="exac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二、收入决算表</w:t>
      </w:r>
    </w:p>
    <w:p w14:paraId="136FB0E8">
      <w:pPr>
        <w:pStyle w:val="14"/>
        <w:spacing w:line="600" w:lineRule="exac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三、支出决算表</w:t>
      </w:r>
    </w:p>
    <w:p w14:paraId="0352412D">
      <w:pPr>
        <w:pStyle w:val="14"/>
        <w:spacing w:line="600" w:lineRule="exac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四、财政拨款收入支出决算总表</w:t>
      </w:r>
    </w:p>
    <w:p w14:paraId="63C5F6CC">
      <w:pPr>
        <w:pStyle w:val="14"/>
        <w:spacing w:line="600" w:lineRule="exac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五、一般公共预算财政拨款支出决算表</w:t>
      </w:r>
    </w:p>
    <w:p w14:paraId="50890EE2">
      <w:pPr>
        <w:pStyle w:val="14"/>
        <w:spacing w:line="600" w:lineRule="exac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六、一般公共预算财政拨款基本支出决算明细表</w:t>
      </w:r>
    </w:p>
    <w:p w14:paraId="77FEE724">
      <w:pPr>
        <w:pStyle w:val="14"/>
        <w:spacing w:line="600" w:lineRule="exac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七、政府性基金预算财政拨款收入支出决算表</w:t>
      </w:r>
    </w:p>
    <w:p w14:paraId="1B0C83A8">
      <w:pPr>
        <w:pStyle w:val="14"/>
        <w:spacing w:line="600" w:lineRule="exac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八、国有资本经营预算财政拨款支出决算表</w:t>
      </w:r>
    </w:p>
    <w:p w14:paraId="7BC158D7">
      <w:pPr>
        <w:pStyle w:val="14"/>
        <w:spacing w:line="600" w:lineRule="exac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九、财政拨款“三公”经费支出决算表</w:t>
      </w:r>
    </w:p>
    <w:p w14:paraId="4EBEFB58">
      <w:pPr>
        <w:pStyle w:val="14"/>
        <w:spacing w:before="156" w:beforeLines="50" w:after="156" w:afterLines="50" w:line="600" w:lineRule="exact"/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>第三部分 部门决算情况说明</w:t>
      </w:r>
    </w:p>
    <w:p w14:paraId="4E219272">
      <w:pPr>
        <w:pStyle w:val="14"/>
        <w:spacing w:line="600" w:lineRule="exac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一、收入支出决算总体情况说明</w:t>
      </w:r>
    </w:p>
    <w:p w14:paraId="2B3AFAA5">
      <w:pPr>
        <w:spacing w:line="600" w:lineRule="exact"/>
        <w:jc w:val="lef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二、收入决算情况说明</w:t>
      </w:r>
    </w:p>
    <w:p w14:paraId="786E0767">
      <w:pPr>
        <w:autoSpaceDE w:val="0"/>
        <w:autoSpaceDN w:val="0"/>
        <w:adjustRightInd w:val="0"/>
        <w:spacing w:line="600" w:lineRule="exact"/>
        <w:jc w:val="left"/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>三、支出决算情况说明</w:t>
      </w:r>
    </w:p>
    <w:p w14:paraId="2ACC9A28">
      <w:pPr>
        <w:autoSpaceDE w:val="0"/>
        <w:autoSpaceDN w:val="0"/>
        <w:adjustRightInd w:val="0"/>
        <w:spacing w:line="600" w:lineRule="exact"/>
        <w:jc w:val="left"/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>四、财政拨款收入支出决算总体情况说明</w:t>
      </w:r>
    </w:p>
    <w:p w14:paraId="2EBE3B63">
      <w:pPr>
        <w:autoSpaceDE w:val="0"/>
        <w:autoSpaceDN w:val="0"/>
        <w:adjustRightInd w:val="0"/>
        <w:spacing w:line="600" w:lineRule="exact"/>
        <w:jc w:val="left"/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>五、一般公共预算财政拨款支出决算情况说明</w:t>
      </w:r>
    </w:p>
    <w:p w14:paraId="27D1794C">
      <w:pPr>
        <w:autoSpaceDE w:val="0"/>
        <w:autoSpaceDN w:val="0"/>
        <w:adjustRightInd w:val="0"/>
        <w:spacing w:line="600" w:lineRule="exact"/>
        <w:jc w:val="left"/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sectPr>
          <w:footerReference r:id="rId4" w:type="default"/>
          <w:pgSz w:w="11906" w:h="16838"/>
          <w:pgMar w:top="1417" w:right="1588" w:bottom="1417" w:left="1588" w:header="851" w:footer="992" w:gutter="0"/>
          <w:pgNumType w:start="1"/>
          <w:cols w:space="425" w:num="1"/>
          <w:docGrid w:type="lines" w:linePitch="312" w:charSpace="0"/>
        </w:sectPr>
      </w:pPr>
    </w:p>
    <w:p w14:paraId="116FB945">
      <w:pPr>
        <w:autoSpaceDE w:val="0"/>
        <w:autoSpaceDN w:val="0"/>
        <w:adjustRightInd w:val="0"/>
        <w:spacing w:line="600" w:lineRule="exact"/>
        <w:jc w:val="left"/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>六、一般公共预算财政拨款基本支出决算情况说明</w:t>
      </w:r>
    </w:p>
    <w:p w14:paraId="5802768B">
      <w:pPr>
        <w:autoSpaceDE w:val="0"/>
        <w:autoSpaceDN w:val="0"/>
        <w:adjustRightInd w:val="0"/>
        <w:spacing w:line="600" w:lineRule="exact"/>
        <w:jc w:val="left"/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>七、财政拨款“三公”经费支出决算情况说明</w:t>
      </w:r>
    </w:p>
    <w:p w14:paraId="7D74EE00">
      <w:pPr>
        <w:autoSpaceDE w:val="0"/>
        <w:autoSpaceDN w:val="0"/>
        <w:adjustRightInd w:val="0"/>
        <w:spacing w:line="600" w:lineRule="exact"/>
        <w:jc w:val="left"/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>八、政府性基金预算收入支出决算情况</w:t>
      </w:r>
    </w:p>
    <w:p w14:paraId="75ADFA65">
      <w:pPr>
        <w:autoSpaceDE w:val="0"/>
        <w:autoSpaceDN w:val="0"/>
        <w:adjustRightInd w:val="0"/>
        <w:spacing w:line="600" w:lineRule="exact"/>
        <w:jc w:val="left"/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/>
        </w:rPr>
        <w:t>九、国有资本经营预算收入支出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</w:rPr>
        <w:t>决算情况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/>
        </w:rPr>
        <w:t>说明</w:t>
      </w:r>
    </w:p>
    <w:p w14:paraId="1C12EA38">
      <w:pPr>
        <w:autoSpaceDE w:val="0"/>
        <w:autoSpaceDN w:val="0"/>
        <w:adjustRightInd w:val="0"/>
        <w:spacing w:line="600" w:lineRule="exact"/>
        <w:jc w:val="left"/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>十、关于机关运行经费支出说明</w:t>
      </w:r>
    </w:p>
    <w:p w14:paraId="4F3FB30E">
      <w:pPr>
        <w:autoSpaceDE w:val="0"/>
        <w:autoSpaceDN w:val="0"/>
        <w:adjustRightInd w:val="0"/>
        <w:spacing w:line="600" w:lineRule="exact"/>
        <w:jc w:val="left"/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>十一、一般性支出情况说明</w:t>
      </w:r>
    </w:p>
    <w:p w14:paraId="577986D5">
      <w:pPr>
        <w:autoSpaceDE w:val="0"/>
        <w:autoSpaceDN w:val="0"/>
        <w:adjustRightInd w:val="0"/>
        <w:spacing w:line="600" w:lineRule="exact"/>
        <w:jc w:val="left"/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十二</w:t>
      </w: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>、关于政府采购支出说明</w:t>
      </w:r>
    </w:p>
    <w:p w14:paraId="5CEF54C0">
      <w:pPr>
        <w:pStyle w:val="14"/>
        <w:spacing w:line="600" w:lineRule="exac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十三、关于国有资产占用情况说明</w:t>
      </w:r>
    </w:p>
    <w:p w14:paraId="0595FCA0">
      <w:pPr>
        <w:pStyle w:val="14"/>
        <w:spacing w:line="600" w:lineRule="exac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十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四</w:t>
      </w:r>
      <w:r>
        <w:rPr>
          <w:rFonts w:ascii="Times New Roman" w:hAnsi="Times New Roman" w:eastAsia="仿宋_GB2312" w:cs="Times New Roman"/>
          <w:sz w:val="32"/>
          <w:szCs w:val="32"/>
        </w:rPr>
        <w:t>、关于202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</w:t>
      </w:r>
      <w:r>
        <w:rPr>
          <w:rFonts w:ascii="Times New Roman" w:hAnsi="Times New Roman" w:eastAsia="仿宋_GB2312" w:cs="Times New Roman"/>
          <w:sz w:val="32"/>
          <w:szCs w:val="32"/>
        </w:rPr>
        <w:t>年度预算绩效管理情况的说明</w:t>
      </w:r>
    </w:p>
    <w:p w14:paraId="1F6861AD">
      <w:pPr>
        <w:pStyle w:val="14"/>
        <w:spacing w:before="156" w:beforeLines="50" w:after="156" w:afterLines="50" w:line="600" w:lineRule="exact"/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>第四部分 名词解释</w:t>
      </w:r>
    </w:p>
    <w:p w14:paraId="3880538F">
      <w:pPr>
        <w:pStyle w:val="14"/>
        <w:spacing w:before="156" w:beforeLines="50" w:after="156" w:afterLines="50" w:line="600" w:lineRule="exact"/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>第五部分 附件</w:t>
      </w:r>
    </w:p>
    <w:p w14:paraId="28346333">
      <w:pPr>
        <w:pStyle w:val="14"/>
        <w:spacing w:line="600" w:lineRule="exact"/>
        <w:rPr>
          <w:rFonts w:ascii="Times New Roman" w:hAnsi="Times New Roman" w:cs="Times New Roman"/>
          <w:bCs/>
          <w:sz w:val="28"/>
          <w:szCs w:val="28"/>
        </w:rPr>
      </w:pPr>
    </w:p>
    <w:p w14:paraId="2F1B9005">
      <w:pPr>
        <w:jc w:val="center"/>
        <w:rPr>
          <w:rFonts w:ascii="Times New Roman" w:hAnsi="Times New Roman" w:cs="Times New Roman"/>
          <w:sz w:val="72"/>
          <w:szCs w:val="72"/>
        </w:rPr>
      </w:pPr>
    </w:p>
    <w:p w14:paraId="622FC7DD">
      <w:pPr>
        <w:jc w:val="center"/>
        <w:rPr>
          <w:rFonts w:ascii="Times New Roman" w:hAnsi="Times New Roman" w:cs="Times New Roman"/>
          <w:sz w:val="72"/>
          <w:szCs w:val="72"/>
        </w:rPr>
      </w:pPr>
    </w:p>
    <w:p w14:paraId="7550B0EF">
      <w:pPr>
        <w:pStyle w:val="8"/>
        <w:rPr>
          <w:rFonts w:ascii="Times New Roman" w:hAnsi="Times New Roman" w:cs="Times New Roman"/>
        </w:rPr>
        <w:sectPr>
          <w:footerReference r:id="rId5" w:type="default"/>
          <w:pgSz w:w="11906" w:h="16838"/>
          <w:pgMar w:top="1417" w:right="1588" w:bottom="1417" w:left="1588" w:header="851" w:footer="992" w:gutter="0"/>
          <w:pgNumType w:start="1"/>
          <w:cols w:space="425" w:num="1"/>
          <w:docGrid w:type="lines" w:linePitch="312" w:charSpace="0"/>
        </w:sectPr>
      </w:pPr>
    </w:p>
    <w:p w14:paraId="12F4D46E">
      <w:pPr>
        <w:pStyle w:val="14"/>
        <w:spacing w:line="360" w:lineRule="auto"/>
        <w:jc w:val="center"/>
        <w:rPr>
          <w:rFonts w:ascii="Times New Roman" w:hAnsi="Times New Roman" w:eastAsia="方正小标宋_GBK" w:cs="Times New Roman"/>
          <w:sz w:val="52"/>
          <w:szCs w:val="52"/>
        </w:rPr>
      </w:pPr>
    </w:p>
    <w:p w14:paraId="21AA6DC7">
      <w:pPr>
        <w:pStyle w:val="14"/>
        <w:spacing w:line="360" w:lineRule="auto"/>
        <w:jc w:val="center"/>
        <w:rPr>
          <w:rFonts w:ascii="Times New Roman" w:hAnsi="Times New Roman" w:eastAsia="方正小标宋_GBK" w:cs="Times New Roman"/>
          <w:sz w:val="52"/>
          <w:szCs w:val="52"/>
        </w:rPr>
      </w:pPr>
    </w:p>
    <w:p w14:paraId="77A3DD1F">
      <w:pPr>
        <w:pStyle w:val="14"/>
        <w:spacing w:line="360" w:lineRule="auto"/>
        <w:jc w:val="center"/>
        <w:rPr>
          <w:rFonts w:ascii="Times New Roman" w:hAnsi="Times New Roman" w:eastAsia="方正小标宋_GBK" w:cs="Times New Roman"/>
          <w:sz w:val="52"/>
          <w:szCs w:val="52"/>
        </w:rPr>
      </w:pPr>
    </w:p>
    <w:p w14:paraId="6775C476">
      <w:pPr>
        <w:pStyle w:val="14"/>
        <w:spacing w:line="360" w:lineRule="auto"/>
        <w:jc w:val="center"/>
        <w:rPr>
          <w:rFonts w:ascii="Times New Roman" w:hAnsi="Times New Roman" w:eastAsia="方正小标宋_GBK" w:cs="Times New Roman"/>
          <w:sz w:val="52"/>
          <w:szCs w:val="52"/>
        </w:rPr>
      </w:pPr>
    </w:p>
    <w:p w14:paraId="2B2F0FD6">
      <w:pPr>
        <w:pStyle w:val="14"/>
        <w:spacing w:line="360" w:lineRule="auto"/>
        <w:jc w:val="center"/>
        <w:rPr>
          <w:rFonts w:ascii="Times New Roman" w:hAnsi="Times New Roman" w:eastAsia="方正小标宋_GBK" w:cs="Times New Roman"/>
          <w:sz w:val="52"/>
          <w:szCs w:val="52"/>
        </w:rPr>
      </w:pPr>
    </w:p>
    <w:p w14:paraId="7DEE1CBF">
      <w:pPr>
        <w:pStyle w:val="14"/>
        <w:spacing w:line="360" w:lineRule="auto"/>
        <w:jc w:val="center"/>
        <w:rPr>
          <w:rFonts w:ascii="Times New Roman" w:hAnsi="Times New Roman" w:eastAsia="方正小标宋_GBK" w:cs="Times New Roman"/>
          <w:sz w:val="52"/>
          <w:szCs w:val="52"/>
        </w:rPr>
      </w:pPr>
    </w:p>
    <w:p w14:paraId="7CC9A028">
      <w:pPr>
        <w:pStyle w:val="14"/>
        <w:spacing w:line="360" w:lineRule="auto"/>
        <w:jc w:val="center"/>
        <w:rPr>
          <w:rFonts w:ascii="Times New Roman" w:hAnsi="Times New Roman" w:eastAsia="方正小标宋_GBK" w:cs="Times New Roman"/>
          <w:sz w:val="52"/>
          <w:szCs w:val="52"/>
        </w:rPr>
      </w:pPr>
    </w:p>
    <w:p w14:paraId="67E8398F">
      <w:pPr>
        <w:pStyle w:val="14"/>
        <w:spacing w:line="360" w:lineRule="auto"/>
        <w:jc w:val="center"/>
        <w:rPr>
          <w:rFonts w:ascii="Times New Roman" w:hAnsi="Times New Roman" w:eastAsia="方正小标宋_GBK" w:cs="Times New Roman"/>
          <w:sz w:val="52"/>
          <w:szCs w:val="52"/>
        </w:rPr>
      </w:pPr>
    </w:p>
    <w:p w14:paraId="07EEEF10">
      <w:pPr>
        <w:pStyle w:val="14"/>
        <w:spacing w:line="360" w:lineRule="auto"/>
        <w:jc w:val="center"/>
        <w:rPr>
          <w:rFonts w:ascii="Times New Roman" w:hAnsi="Times New Roman" w:eastAsia="方正小标宋_GBK" w:cs="Times New Roman"/>
          <w:sz w:val="52"/>
          <w:szCs w:val="52"/>
        </w:rPr>
      </w:pPr>
    </w:p>
    <w:p w14:paraId="50414706">
      <w:pPr>
        <w:pStyle w:val="14"/>
        <w:spacing w:line="360" w:lineRule="auto"/>
        <w:jc w:val="center"/>
        <w:rPr>
          <w:rFonts w:ascii="Times New Roman" w:hAnsi="Times New Roman" w:eastAsia="方正小标宋_GBK" w:cs="Times New Roman"/>
          <w:sz w:val="52"/>
          <w:szCs w:val="52"/>
        </w:rPr>
      </w:pPr>
    </w:p>
    <w:p w14:paraId="7C49EFAC">
      <w:pPr>
        <w:pStyle w:val="14"/>
        <w:spacing w:line="360" w:lineRule="auto"/>
        <w:jc w:val="center"/>
        <w:rPr>
          <w:rFonts w:ascii="Times New Roman" w:hAnsi="Times New Roman" w:eastAsia="方正小标宋_GBK" w:cs="Times New Roman"/>
          <w:b/>
          <w:bCs/>
          <w:sz w:val="52"/>
          <w:szCs w:val="52"/>
        </w:rPr>
      </w:pPr>
      <w:r>
        <w:rPr>
          <w:rFonts w:ascii="Times New Roman" w:hAnsi="Times New Roman" w:eastAsia="方正小标宋_GBK" w:cs="Times New Roman"/>
          <w:b/>
          <w:bCs/>
          <w:sz w:val="52"/>
          <w:szCs w:val="52"/>
        </w:rPr>
        <w:t>第一部分</w:t>
      </w:r>
    </w:p>
    <w:p w14:paraId="1FF01970">
      <w:pPr>
        <w:pStyle w:val="14"/>
        <w:spacing w:line="360" w:lineRule="auto"/>
        <w:jc w:val="center"/>
        <w:rPr>
          <w:rFonts w:ascii="Times New Roman" w:hAnsi="Times New Roman" w:eastAsia="方正小标宋_GBK" w:cs="Times New Roman"/>
          <w:sz w:val="52"/>
          <w:szCs w:val="52"/>
        </w:rPr>
      </w:pPr>
      <w:r>
        <w:rPr>
          <w:rFonts w:hint="eastAsia" w:ascii="Times New Roman" w:hAnsi="Times New Roman" w:eastAsia="方正小标宋_GBK" w:cs="Times New Roman"/>
          <w:b/>
          <w:bCs/>
          <w:sz w:val="52"/>
          <w:szCs w:val="52"/>
        </w:rPr>
        <w:t>怀化市土地储备中心</w:t>
      </w:r>
      <w:r>
        <w:rPr>
          <w:rFonts w:ascii="Times New Roman" w:hAnsi="Times New Roman" w:eastAsia="方正小标宋_GBK" w:cs="Times New Roman"/>
          <w:b/>
          <w:bCs/>
          <w:sz w:val="52"/>
          <w:szCs w:val="52"/>
        </w:rPr>
        <w:t>概况</w:t>
      </w:r>
    </w:p>
    <w:p w14:paraId="0C5B3076">
      <w:pPr>
        <w:pStyle w:val="4"/>
        <w:ind w:left="0" w:leftChars="0" w:firstLine="0" w:firstLineChars="0"/>
        <w:rPr>
          <w:rFonts w:ascii="Times New Roman" w:hAnsi="Times New Roman" w:cs="Times New Roman"/>
        </w:rPr>
      </w:pPr>
    </w:p>
    <w:p w14:paraId="0875A25A">
      <w:pPr>
        <w:pStyle w:val="15"/>
        <w:spacing w:line="600" w:lineRule="exact"/>
        <w:ind w:firstLine="0" w:firstLineChars="0"/>
        <w:jc w:val="left"/>
        <w:rPr>
          <w:rFonts w:hint="eastAsia" w:ascii="Times New Roman" w:hAnsi="Times New Roman" w:eastAsia="黑体" w:cs="Times New Roman"/>
          <w:sz w:val="32"/>
          <w:szCs w:val="32"/>
        </w:rPr>
      </w:pPr>
    </w:p>
    <w:p w14:paraId="757399E9">
      <w:pPr>
        <w:pStyle w:val="15"/>
        <w:spacing w:line="600" w:lineRule="exact"/>
        <w:ind w:firstLine="0" w:firstLineChars="0"/>
        <w:jc w:val="left"/>
        <w:rPr>
          <w:rFonts w:hint="eastAsia" w:ascii="Times New Roman" w:hAnsi="Times New Roman" w:eastAsia="黑体" w:cs="Times New Roman"/>
          <w:sz w:val="32"/>
          <w:szCs w:val="32"/>
        </w:rPr>
      </w:pPr>
    </w:p>
    <w:p w14:paraId="18FCFBB4">
      <w:pPr>
        <w:pStyle w:val="15"/>
        <w:spacing w:line="600" w:lineRule="exact"/>
        <w:ind w:firstLine="0" w:firstLineChars="0"/>
        <w:jc w:val="left"/>
        <w:rPr>
          <w:rFonts w:hint="eastAsia" w:ascii="Times New Roman" w:hAnsi="Times New Roman" w:eastAsia="黑体" w:cs="Times New Roman"/>
          <w:sz w:val="32"/>
          <w:szCs w:val="32"/>
        </w:rPr>
      </w:pPr>
    </w:p>
    <w:p w14:paraId="7D05FC85">
      <w:pPr>
        <w:pStyle w:val="15"/>
        <w:spacing w:line="600" w:lineRule="exact"/>
        <w:ind w:firstLine="0" w:firstLineChars="0"/>
        <w:jc w:val="left"/>
        <w:rPr>
          <w:rFonts w:hint="eastAsia" w:ascii="Times New Roman" w:hAnsi="Times New Roman" w:eastAsia="黑体" w:cs="Times New Roman"/>
          <w:sz w:val="32"/>
          <w:szCs w:val="32"/>
        </w:rPr>
      </w:pPr>
    </w:p>
    <w:p w14:paraId="7FBACDB2">
      <w:pPr>
        <w:pStyle w:val="15"/>
        <w:spacing w:line="600" w:lineRule="exact"/>
        <w:ind w:firstLine="0" w:firstLineChars="0"/>
        <w:jc w:val="left"/>
        <w:rPr>
          <w:rFonts w:hint="eastAsia" w:ascii="Times New Roman" w:hAnsi="Times New Roman" w:eastAsia="黑体" w:cs="Times New Roman"/>
          <w:sz w:val="32"/>
          <w:szCs w:val="32"/>
        </w:rPr>
      </w:pPr>
    </w:p>
    <w:p w14:paraId="7A0A1662">
      <w:pPr>
        <w:pStyle w:val="15"/>
        <w:spacing w:line="600" w:lineRule="exact"/>
        <w:ind w:firstLine="0" w:firstLineChars="0"/>
        <w:jc w:val="left"/>
        <w:rPr>
          <w:rFonts w:hint="eastAsia" w:ascii="Times New Roman" w:hAnsi="Times New Roman" w:eastAsia="黑体" w:cs="Times New Roman"/>
          <w:sz w:val="32"/>
          <w:szCs w:val="32"/>
        </w:rPr>
      </w:pPr>
    </w:p>
    <w:p w14:paraId="79E141C4">
      <w:pPr>
        <w:pStyle w:val="15"/>
        <w:spacing w:line="600" w:lineRule="exact"/>
        <w:ind w:firstLine="0" w:firstLineChars="0"/>
        <w:jc w:val="left"/>
        <w:rPr>
          <w:rFonts w:hint="eastAsia" w:ascii="Times New Roman" w:hAnsi="Times New Roman" w:eastAsia="黑体" w:cs="Times New Roman"/>
          <w:sz w:val="32"/>
          <w:szCs w:val="32"/>
        </w:rPr>
      </w:pPr>
    </w:p>
    <w:p w14:paraId="558501A2">
      <w:pPr>
        <w:pStyle w:val="15"/>
        <w:spacing w:line="600" w:lineRule="exact"/>
        <w:ind w:firstLine="0" w:firstLineChars="0"/>
        <w:jc w:val="left"/>
        <w:rPr>
          <w:rFonts w:hint="eastAsia" w:ascii="Times New Roman" w:hAnsi="Times New Roman" w:eastAsia="黑体" w:cs="Times New Roman"/>
          <w:sz w:val="32"/>
          <w:szCs w:val="32"/>
        </w:rPr>
      </w:pPr>
    </w:p>
    <w:p w14:paraId="50C5A104">
      <w:pPr>
        <w:pStyle w:val="15"/>
        <w:spacing w:line="600" w:lineRule="exact"/>
        <w:ind w:firstLine="0" w:firstLineChars="0"/>
        <w:jc w:val="left"/>
        <w:rPr>
          <w:rFonts w:hint="eastAsia" w:ascii="Times New Roman" w:hAnsi="Times New Roman" w:eastAsia="黑体" w:cs="Times New Roman"/>
          <w:sz w:val="32"/>
          <w:szCs w:val="32"/>
        </w:rPr>
      </w:pPr>
    </w:p>
    <w:p w14:paraId="117D9058">
      <w:pPr>
        <w:pStyle w:val="15"/>
        <w:spacing w:line="600" w:lineRule="exact"/>
        <w:ind w:firstLine="0" w:firstLineChars="0"/>
        <w:jc w:val="left"/>
        <w:rPr>
          <w:rFonts w:ascii="Times New Roman" w:hAnsi="Times New Roman" w:eastAsia="黑体" w:cs="Times New Roman"/>
          <w:b/>
          <w:bCs/>
          <w:sz w:val="32"/>
          <w:szCs w:val="32"/>
        </w:rPr>
      </w:pPr>
      <w:r>
        <w:rPr>
          <w:rFonts w:hint="eastAsia" w:ascii="Times New Roman" w:hAnsi="Times New Roman" w:eastAsia="黑体" w:cs="Times New Roman"/>
          <w:b/>
          <w:bCs/>
          <w:sz w:val="32"/>
          <w:szCs w:val="32"/>
        </w:rPr>
        <w:t>一、</w:t>
      </w:r>
      <w:r>
        <w:rPr>
          <w:rFonts w:ascii="Times New Roman" w:hAnsi="Times New Roman" w:eastAsia="黑体" w:cs="Times New Roman"/>
          <w:b/>
          <w:bCs/>
          <w:sz w:val="32"/>
          <w:szCs w:val="32"/>
        </w:rPr>
        <w:t>部门职责</w:t>
      </w:r>
    </w:p>
    <w:p w14:paraId="603D3BBB">
      <w:pPr>
        <w:widowControl/>
        <w:shd w:val="clear" w:color="auto" w:fill="FFFFFF"/>
        <w:spacing w:line="600" w:lineRule="atLeast"/>
        <w:ind w:firstLine="640"/>
        <w:rPr>
          <w:rFonts w:hint="eastAsia" w:ascii="仿宋" w:hAnsi="仿宋" w:eastAsia="仿宋" w:cs="Times New Roman"/>
          <w:spacing w:val="-2"/>
          <w:sz w:val="32"/>
          <w:szCs w:val="32"/>
          <w:lang w:val="en" w:eastAsia="zh-CN"/>
        </w:rPr>
      </w:pPr>
      <w:r>
        <w:rPr>
          <w:rFonts w:hint="eastAsia" w:ascii="仿宋" w:hAnsi="仿宋" w:eastAsia="仿宋" w:cs="Times New Roman"/>
          <w:spacing w:val="-2"/>
          <w:sz w:val="32"/>
          <w:szCs w:val="32"/>
          <w:lang w:val="en" w:eastAsia="zh-CN"/>
        </w:rPr>
        <w:t>根据土地利用和总体规划、城镇规划和城区开发改造计划，制定土地储备计划；对城镇规划区范围内需盘活的存量土地、旧城区改造的国有土地和依法收回的违法用地、闲置土地、待征土地及无主地给予安置补偿后，进行收购储备；根据土地利用总体规划、城镇规划及市场需求，适当储备新增建设用地，增强政府对土地供应的调控力度；在主管部门的指导、监督下，加强与各部门配合，管理、运作土地储备；进行收购储备资金的测算、平衡，开展储备土地的前期开发、招商洽谈、出让、招标、拍卖及挂牌出让前期准备工作；制定土地储备方案，报主管部门审批；进行土地储备综合统计，定期向主管部门报告工作。</w:t>
      </w:r>
    </w:p>
    <w:p w14:paraId="67134893">
      <w:pPr>
        <w:widowControl/>
        <w:spacing w:line="600" w:lineRule="exact"/>
        <w:rPr>
          <w:rFonts w:ascii="Times New Roman" w:hAnsi="Times New Roman" w:eastAsia="黑体" w:cs="Times New Roman"/>
          <w:b/>
          <w:bCs w:val="0"/>
          <w:kern w:val="0"/>
          <w:sz w:val="32"/>
          <w:szCs w:val="32"/>
        </w:rPr>
      </w:pPr>
      <w:r>
        <w:rPr>
          <w:rFonts w:ascii="Times New Roman" w:hAnsi="Times New Roman" w:eastAsia="黑体" w:cs="Times New Roman"/>
          <w:b/>
          <w:bCs w:val="0"/>
          <w:kern w:val="0"/>
          <w:sz w:val="32"/>
          <w:szCs w:val="32"/>
        </w:rPr>
        <w:t>二、机构设置及决算单位构成</w:t>
      </w:r>
    </w:p>
    <w:p w14:paraId="77B9980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bCs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（一）内设机构设置。</w:t>
      </w:r>
      <w:r>
        <w:rPr>
          <w:rFonts w:hint="eastAsia" w:ascii="Times New Roman" w:hAnsi="Times New Roman" w:eastAsia="仿宋_GB2312" w:cs="仿宋_GB2312"/>
          <w:bCs/>
          <w:kern w:val="0"/>
          <w:sz w:val="32"/>
          <w:szCs w:val="32"/>
        </w:rPr>
        <w:t>怀化市土地储备中心单位内设机构包括：报批组、存量组、办公室、财务组、土地开发组。</w:t>
      </w:r>
    </w:p>
    <w:p w14:paraId="6263004B">
      <w:pPr>
        <w:widowControl/>
        <w:spacing w:line="600" w:lineRule="exact"/>
        <w:ind w:firstLine="640" w:firstLineChars="200"/>
        <w:rPr>
          <w:rFonts w:hint="eastAsia" w:ascii="Times New Roman" w:hAnsi="Times New Roman" w:eastAsia="仿宋_GB2312" w:cs="仿宋_GB2312"/>
          <w:bCs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（二）决算单位构成。</w:t>
      </w:r>
      <w:r>
        <w:rPr>
          <w:rFonts w:hint="eastAsia" w:ascii="Times New Roman" w:hAnsi="Times New Roman" w:eastAsia="仿宋_GB2312" w:cs="仿宋_GB2312"/>
          <w:bCs/>
          <w:kern w:val="0"/>
          <w:sz w:val="32"/>
          <w:szCs w:val="32"/>
        </w:rPr>
        <w:t>怀化市土地储备中心单位20</w:t>
      </w:r>
      <w:r>
        <w:rPr>
          <w:rFonts w:hint="eastAsia" w:ascii="Times New Roman" w:hAnsi="Times New Roman" w:eastAsia="仿宋_GB2312" w:cs="仿宋_GB2312"/>
          <w:bCs/>
          <w:kern w:val="0"/>
          <w:sz w:val="32"/>
          <w:szCs w:val="32"/>
          <w:lang w:val="en-US" w:eastAsia="zh-CN"/>
        </w:rPr>
        <w:t>25</w:t>
      </w:r>
      <w:r>
        <w:rPr>
          <w:rFonts w:hint="eastAsia" w:ascii="Times New Roman" w:hAnsi="Times New Roman" w:eastAsia="仿宋_GB2312" w:cs="仿宋_GB2312"/>
          <w:bCs/>
          <w:kern w:val="0"/>
          <w:sz w:val="32"/>
          <w:szCs w:val="32"/>
        </w:rPr>
        <w:t>年部门决算汇总公开单位构成包括：怀化市土地储备中心单位本级</w:t>
      </w:r>
      <w:r>
        <w:rPr>
          <w:rFonts w:hint="eastAsia" w:ascii="Times New Roman" w:hAnsi="Times New Roman" w:eastAsia="仿宋_GB2312" w:cs="仿宋_GB2312"/>
          <w:bCs/>
          <w:kern w:val="0"/>
          <w:sz w:val="32"/>
          <w:szCs w:val="32"/>
          <w:lang w:eastAsia="zh-CN"/>
        </w:rPr>
        <w:t>。</w:t>
      </w:r>
    </w:p>
    <w:p w14:paraId="687C7945">
      <w:pPr>
        <w:widowControl/>
        <w:spacing w:line="600" w:lineRule="exact"/>
        <w:rPr>
          <w:rFonts w:ascii="Times New Roman" w:hAnsi="Times New Roman" w:eastAsia="仿宋_GB2312" w:cs="Times New Roman"/>
          <w:bCs/>
          <w:kern w:val="0"/>
          <w:sz w:val="32"/>
          <w:szCs w:val="32"/>
        </w:rPr>
      </w:pPr>
    </w:p>
    <w:p w14:paraId="5717A5B4">
      <w:pPr>
        <w:jc w:val="left"/>
        <w:rPr>
          <w:rFonts w:ascii="Times New Roman" w:hAnsi="Times New Roman" w:eastAsia="仿宋_GB2312" w:cs="Times New Roman"/>
          <w:sz w:val="28"/>
          <w:szCs w:val="32"/>
        </w:rPr>
      </w:pPr>
    </w:p>
    <w:p w14:paraId="31F88D7D">
      <w:pPr>
        <w:jc w:val="center"/>
        <w:rPr>
          <w:rFonts w:ascii="Times New Roman" w:hAnsi="Times New Roman" w:eastAsia="黑体" w:cs="Times New Roman"/>
          <w:sz w:val="28"/>
          <w:szCs w:val="28"/>
        </w:rPr>
      </w:pPr>
    </w:p>
    <w:p w14:paraId="2FE62271">
      <w:pPr>
        <w:pStyle w:val="14"/>
        <w:jc w:val="center"/>
        <w:rPr>
          <w:rFonts w:ascii="Times New Roman" w:hAnsi="Times New Roman" w:eastAsia="方正小标宋_GBK" w:cs="Times New Roman"/>
          <w:sz w:val="52"/>
          <w:szCs w:val="52"/>
        </w:rPr>
      </w:pPr>
    </w:p>
    <w:p w14:paraId="7ADAE6D6">
      <w:pPr>
        <w:pStyle w:val="14"/>
        <w:jc w:val="center"/>
        <w:rPr>
          <w:rFonts w:ascii="Times New Roman" w:hAnsi="Times New Roman" w:eastAsia="方正小标宋_GBK" w:cs="Times New Roman"/>
          <w:sz w:val="52"/>
          <w:szCs w:val="52"/>
        </w:rPr>
      </w:pPr>
    </w:p>
    <w:p w14:paraId="4432BE6E">
      <w:pPr>
        <w:pStyle w:val="14"/>
        <w:jc w:val="center"/>
        <w:rPr>
          <w:rFonts w:ascii="Times New Roman" w:hAnsi="Times New Roman" w:eastAsia="方正小标宋_GBK" w:cs="Times New Roman"/>
          <w:sz w:val="52"/>
          <w:szCs w:val="52"/>
        </w:rPr>
      </w:pPr>
    </w:p>
    <w:p w14:paraId="2E73B0E2">
      <w:pPr>
        <w:pStyle w:val="14"/>
        <w:jc w:val="center"/>
        <w:rPr>
          <w:rFonts w:ascii="Times New Roman" w:hAnsi="Times New Roman" w:eastAsia="方正小标宋_GBK" w:cs="Times New Roman"/>
          <w:sz w:val="52"/>
          <w:szCs w:val="52"/>
        </w:rPr>
      </w:pPr>
    </w:p>
    <w:p w14:paraId="5B2EF242">
      <w:pPr>
        <w:pStyle w:val="14"/>
        <w:jc w:val="center"/>
        <w:rPr>
          <w:rFonts w:ascii="Times New Roman" w:hAnsi="Times New Roman" w:eastAsia="方正小标宋_GBK" w:cs="Times New Roman"/>
          <w:sz w:val="52"/>
          <w:szCs w:val="52"/>
        </w:rPr>
      </w:pPr>
    </w:p>
    <w:p w14:paraId="173BF3C9">
      <w:pPr>
        <w:pStyle w:val="14"/>
        <w:jc w:val="center"/>
        <w:rPr>
          <w:rFonts w:ascii="Times New Roman" w:hAnsi="Times New Roman" w:eastAsia="方正小标宋_GBK" w:cs="Times New Roman"/>
          <w:sz w:val="52"/>
          <w:szCs w:val="52"/>
        </w:rPr>
      </w:pPr>
    </w:p>
    <w:p w14:paraId="2FE592EE">
      <w:pPr>
        <w:pStyle w:val="14"/>
        <w:jc w:val="center"/>
        <w:rPr>
          <w:rFonts w:ascii="Times New Roman" w:hAnsi="Times New Roman" w:eastAsia="方正小标宋_GBK" w:cs="Times New Roman"/>
          <w:sz w:val="52"/>
          <w:szCs w:val="52"/>
        </w:rPr>
      </w:pPr>
    </w:p>
    <w:p w14:paraId="0B0A9AF5">
      <w:pPr>
        <w:pStyle w:val="14"/>
        <w:jc w:val="center"/>
        <w:rPr>
          <w:rFonts w:ascii="Times New Roman" w:hAnsi="Times New Roman" w:eastAsia="方正小标宋_GBK" w:cs="Times New Roman"/>
          <w:sz w:val="52"/>
          <w:szCs w:val="52"/>
        </w:rPr>
      </w:pPr>
    </w:p>
    <w:p w14:paraId="09F24000">
      <w:pPr>
        <w:pStyle w:val="14"/>
        <w:jc w:val="center"/>
        <w:rPr>
          <w:rFonts w:ascii="Times New Roman" w:hAnsi="Times New Roman" w:eastAsia="方正小标宋_GBK" w:cs="Times New Roman"/>
          <w:sz w:val="52"/>
          <w:szCs w:val="52"/>
        </w:rPr>
      </w:pPr>
    </w:p>
    <w:p w14:paraId="06FF9269">
      <w:pPr>
        <w:pStyle w:val="14"/>
        <w:jc w:val="center"/>
        <w:rPr>
          <w:rFonts w:ascii="Times New Roman" w:hAnsi="Times New Roman" w:eastAsia="方正小标宋_GBK" w:cs="Times New Roman"/>
          <w:sz w:val="52"/>
          <w:szCs w:val="52"/>
        </w:rPr>
      </w:pPr>
    </w:p>
    <w:p w14:paraId="27F9FE3F">
      <w:pPr>
        <w:pStyle w:val="14"/>
        <w:numPr>
          <w:ilvl w:val="0"/>
          <w:numId w:val="1"/>
        </w:numPr>
        <w:jc w:val="center"/>
        <w:rPr>
          <w:rFonts w:ascii="Times New Roman" w:hAnsi="Times New Roman" w:eastAsia="方正小标宋_GBK" w:cs="Times New Roman"/>
          <w:b/>
          <w:bCs/>
          <w:sz w:val="52"/>
          <w:szCs w:val="52"/>
        </w:rPr>
      </w:pPr>
      <w:r>
        <w:rPr>
          <w:rFonts w:ascii="Times New Roman" w:hAnsi="Times New Roman" w:eastAsia="方正小标宋_GBK" w:cs="Times New Roman"/>
          <w:b/>
          <w:bCs/>
          <w:sz w:val="52"/>
          <w:szCs w:val="52"/>
        </w:rPr>
        <w:t xml:space="preserve">  </w:t>
      </w:r>
    </w:p>
    <w:p w14:paraId="1E3330D8">
      <w:pPr>
        <w:pStyle w:val="14"/>
        <w:numPr>
          <w:ilvl w:val="0"/>
          <w:numId w:val="0"/>
        </w:numPr>
        <w:ind w:firstLine="2601" w:firstLineChars="500"/>
        <w:jc w:val="both"/>
        <w:rPr>
          <w:rFonts w:ascii="Times New Roman" w:hAnsi="Times New Roman" w:eastAsia="方正小标宋_GBK" w:cs="Times New Roman"/>
          <w:b/>
          <w:bCs/>
          <w:sz w:val="52"/>
          <w:szCs w:val="52"/>
        </w:rPr>
      </w:pPr>
      <w:r>
        <w:rPr>
          <w:rFonts w:ascii="Times New Roman" w:hAnsi="Times New Roman" w:eastAsia="方正小标宋_GBK" w:cs="Times New Roman"/>
          <w:b/>
          <w:bCs/>
          <w:sz w:val="52"/>
          <w:szCs w:val="52"/>
        </w:rPr>
        <w:t xml:space="preserve"> 部门决算表</w:t>
      </w:r>
    </w:p>
    <w:p w14:paraId="1A6C47A4">
      <w:pPr>
        <w:jc w:val="center"/>
        <w:rPr>
          <w:rFonts w:ascii="Times New Roman" w:hAnsi="Times New Roman" w:eastAsia="方正小标宋_GBK" w:cs="Times New Roman"/>
          <w:color w:val="000000"/>
          <w:kern w:val="0"/>
          <w:sz w:val="52"/>
          <w:szCs w:val="52"/>
          <w:lang w:val="en-US" w:eastAsia="zh-CN" w:bidi="ar-SA"/>
        </w:rPr>
      </w:pPr>
      <w:r>
        <w:rPr>
          <w:rFonts w:hint="eastAsia" w:ascii="Times New Roman" w:hAnsi="Times New Roman" w:eastAsia="方正小标宋_GBK" w:cs="Times New Roman"/>
          <w:b/>
          <w:bCs/>
          <w:color w:val="000000"/>
          <w:kern w:val="0"/>
          <w:sz w:val="52"/>
          <w:szCs w:val="52"/>
          <w:lang w:val="en-US" w:eastAsia="zh-CN" w:bidi="ar-SA"/>
        </w:rPr>
        <w:t>（详见附件）</w:t>
      </w:r>
    </w:p>
    <w:p w14:paraId="2B9F0EC4">
      <w:pPr>
        <w:jc w:val="center"/>
        <w:rPr>
          <w:rFonts w:ascii="Times New Roman" w:hAnsi="Times New Roman" w:eastAsia="黑体" w:cs="Times New Roman"/>
          <w:sz w:val="28"/>
          <w:szCs w:val="28"/>
        </w:rPr>
      </w:pPr>
    </w:p>
    <w:p w14:paraId="010A5F1A">
      <w:pPr>
        <w:jc w:val="center"/>
        <w:rPr>
          <w:rFonts w:ascii="Times New Roman" w:hAnsi="Times New Roman" w:eastAsia="黑体" w:cs="Times New Roman"/>
          <w:sz w:val="28"/>
          <w:szCs w:val="28"/>
        </w:rPr>
      </w:pPr>
    </w:p>
    <w:p w14:paraId="63C36DAD">
      <w:pPr>
        <w:jc w:val="center"/>
        <w:rPr>
          <w:rFonts w:ascii="Times New Roman" w:hAnsi="Times New Roman" w:eastAsia="黑体" w:cs="Times New Roman"/>
          <w:sz w:val="28"/>
          <w:szCs w:val="28"/>
        </w:rPr>
      </w:pPr>
    </w:p>
    <w:p w14:paraId="0E1238C3">
      <w:pPr>
        <w:jc w:val="center"/>
        <w:rPr>
          <w:rFonts w:ascii="Times New Roman" w:hAnsi="Times New Roman" w:eastAsia="黑体" w:cs="Times New Roman"/>
          <w:sz w:val="28"/>
          <w:szCs w:val="28"/>
        </w:rPr>
      </w:pPr>
    </w:p>
    <w:p w14:paraId="40E47520">
      <w:pPr>
        <w:pStyle w:val="8"/>
        <w:rPr>
          <w:rFonts w:ascii="Times New Roman" w:hAnsi="Times New Roman" w:cs="Times New Roman"/>
        </w:rPr>
        <w:sectPr>
          <w:footerReference r:id="rId6" w:type="default"/>
          <w:pgSz w:w="11906" w:h="16838"/>
          <w:pgMar w:top="1417" w:right="1588" w:bottom="1417" w:left="1588" w:header="851" w:footer="992" w:gutter="0"/>
          <w:pgNumType w:start="1"/>
          <w:cols w:space="425" w:num="1"/>
          <w:docGrid w:type="lines" w:linePitch="312" w:charSpace="0"/>
        </w:sectPr>
      </w:pPr>
    </w:p>
    <w:p w14:paraId="6014712A">
      <w:pPr>
        <w:pStyle w:val="14"/>
        <w:rPr>
          <w:rFonts w:ascii="Times New Roman" w:hAnsi="Times New Roman" w:cs="Times New Roman"/>
          <w:sz w:val="72"/>
          <w:szCs w:val="72"/>
        </w:rPr>
      </w:pPr>
    </w:p>
    <w:p w14:paraId="0C903291">
      <w:pPr>
        <w:pStyle w:val="14"/>
        <w:rPr>
          <w:rFonts w:ascii="Times New Roman" w:hAnsi="Times New Roman" w:cs="Times New Roman"/>
          <w:sz w:val="72"/>
          <w:szCs w:val="72"/>
        </w:rPr>
      </w:pPr>
    </w:p>
    <w:p w14:paraId="3DFD7B57">
      <w:pPr>
        <w:pStyle w:val="14"/>
        <w:rPr>
          <w:rFonts w:ascii="Times New Roman" w:hAnsi="Times New Roman" w:cs="Times New Roman"/>
          <w:sz w:val="72"/>
          <w:szCs w:val="72"/>
        </w:rPr>
      </w:pPr>
    </w:p>
    <w:p w14:paraId="455AF3F0">
      <w:pPr>
        <w:pStyle w:val="14"/>
        <w:jc w:val="center"/>
        <w:rPr>
          <w:rFonts w:ascii="Times New Roman" w:hAnsi="Times New Roman" w:cs="Times New Roman"/>
          <w:sz w:val="72"/>
          <w:szCs w:val="72"/>
        </w:rPr>
      </w:pPr>
    </w:p>
    <w:p w14:paraId="7B874E96">
      <w:pPr>
        <w:pStyle w:val="14"/>
        <w:jc w:val="center"/>
        <w:rPr>
          <w:rFonts w:ascii="Times New Roman" w:hAnsi="Times New Roman" w:eastAsia="方正小标宋_GBK" w:cs="Times New Roman"/>
          <w:sz w:val="72"/>
          <w:szCs w:val="72"/>
        </w:rPr>
      </w:pPr>
    </w:p>
    <w:p w14:paraId="37AC6108">
      <w:pPr>
        <w:pStyle w:val="14"/>
        <w:spacing w:line="360" w:lineRule="auto"/>
        <w:jc w:val="center"/>
        <w:rPr>
          <w:rFonts w:ascii="Times New Roman" w:hAnsi="Times New Roman" w:eastAsia="方正小标宋_GBK" w:cs="Times New Roman"/>
          <w:b/>
          <w:bCs/>
          <w:sz w:val="52"/>
          <w:szCs w:val="52"/>
        </w:rPr>
      </w:pPr>
      <w:r>
        <w:rPr>
          <w:rFonts w:ascii="Times New Roman" w:hAnsi="Times New Roman" w:eastAsia="方正小标宋_GBK" w:cs="Times New Roman"/>
          <w:b/>
          <w:bCs/>
          <w:sz w:val="52"/>
          <w:szCs w:val="52"/>
        </w:rPr>
        <w:t>第三部分</w:t>
      </w:r>
    </w:p>
    <w:p w14:paraId="320624F9">
      <w:pPr>
        <w:pStyle w:val="14"/>
        <w:spacing w:line="360" w:lineRule="auto"/>
        <w:jc w:val="center"/>
        <w:rPr>
          <w:rFonts w:ascii="Times New Roman" w:hAnsi="Times New Roman" w:eastAsia="方正小标宋_GBK" w:cs="Times New Roman"/>
          <w:b/>
          <w:bCs/>
          <w:sz w:val="52"/>
          <w:szCs w:val="52"/>
        </w:rPr>
      </w:pPr>
      <w:r>
        <w:rPr>
          <w:rFonts w:ascii="Times New Roman" w:hAnsi="Times New Roman" w:eastAsia="方正小标宋_GBK" w:cs="Times New Roman"/>
          <w:b/>
          <w:bCs/>
          <w:sz w:val="52"/>
          <w:szCs w:val="52"/>
        </w:rPr>
        <w:t>202</w:t>
      </w:r>
      <w:r>
        <w:rPr>
          <w:rFonts w:hint="eastAsia" w:ascii="Times New Roman" w:hAnsi="Times New Roman" w:eastAsia="方正小标宋_GBK" w:cs="Times New Roman"/>
          <w:b/>
          <w:bCs/>
          <w:sz w:val="52"/>
          <w:szCs w:val="52"/>
          <w:lang w:val="en-US" w:eastAsia="zh-CN"/>
        </w:rPr>
        <w:t>5</w:t>
      </w:r>
      <w:r>
        <w:rPr>
          <w:rFonts w:ascii="Times New Roman" w:hAnsi="Times New Roman" w:eastAsia="方正小标宋_GBK" w:cs="Times New Roman"/>
          <w:b/>
          <w:bCs/>
          <w:sz w:val="52"/>
          <w:szCs w:val="52"/>
        </w:rPr>
        <w:t>年度部门决算情况说明</w:t>
      </w:r>
    </w:p>
    <w:p w14:paraId="2B1E3E82">
      <w:pPr>
        <w:widowControl/>
        <w:jc w:val="left"/>
        <w:rPr>
          <w:rFonts w:ascii="Times New Roman" w:hAnsi="Times New Roman" w:cs="Times New Roman"/>
          <w:sz w:val="32"/>
          <w:szCs w:val="32"/>
        </w:rPr>
      </w:pPr>
      <w:r>
        <w:br w:type="page"/>
      </w:r>
    </w:p>
    <w:p w14:paraId="223408E8">
      <w:pPr>
        <w:pStyle w:val="14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cs="Times New Roman"/>
          <w:b/>
          <w:bCs w:val="0"/>
          <w:sz w:val="32"/>
          <w:szCs w:val="32"/>
        </w:rPr>
      </w:pPr>
      <w:r>
        <w:rPr>
          <w:rFonts w:ascii="Times New Roman" w:hAnsi="Times New Roman" w:cs="Times New Roman"/>
          <w:b/>
          <w:bCs w:val="0"/>
          <w:sz w:val="32"/>
          <w:szCs w:val="32"/>
        </w:rPr>
        <w:t>一、收入支出决算总体情况说明</w:t>
      </w:r>
    </w:p>
    <w:p w14:paraId="404E9B3A">
      <w:pPr>
        <w:pStyle w:val="14"/>
        <w:overflowPunct w:val="0"/>
        <w:autoSpaceDE/>
        <w:autoSpaceDN/>
        <w:spacing w:line="600" w:lineRule="exact"/>
        <w:ind w:firstLine="640" w:firstLineChars="200"/>
        <w:jc w:val="both"/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ascii="Times New Roman" w:hAnsi="Times New Roman" w:eastAsia="仿宋_GB2312" w:cs="Times New Roman"/>
          <w:sz w:val="32"/>
          <w:szCs w:val="32"/>
        </w:rPr>
        <w:t>202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</w:t>
      </w:r>
      <w:r>
        <w:rPr>
          <w:rFonts w:ascii="Times New Roman" w:hAnsi="Times New Roman" w:eastAsia="仿宋_GB2312" w:cs="Times New Roman"/>
          <w:sz w:val="32"/>
          <w:szCs w:val="32"/>
        </w:rPr>
        <w:t>年度收、支总计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93367.04</w:t>
      </w:r>
      <w:r>
        <w:rPr>
          <w:rFonts w:ascii="Times New Roman" w:hAnsi="Times New Roman" w:eastAsia="仿宋_GB2312" w:cs="Times New Roman"/>
          <w:sz w:val="32"/>
          <w:szCs w:val="32"/>
        </w:rPr>
        <w:t>万元。与上年相比，增加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59027.91</w:t>
      </w:r>
      <w:r>
        <w:rPr>
          <w:rFonts w:ascii="Times New Roman" w:hAnsi="Times New Roman" w:eastAsia="仿宋_GB2312" w:cs="Times New Roman"/>
          <w:sz w:val="32"/>
          <w:szCs w:val="32"/>
        </w:rPr>
        <w:t>万元，增长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171.90</w:t>
      </w:r>
      <w:r>
        <w:rPr>
          <w:rFonts w:ascii="Times New Roman" w:hAnsi="Times New Roman" w:eastAsia="仿宋_GB2312" w:cs="Times New Roman"/>
          <w:sz w:val="32"/>
          <w:szCs w:val="32"/>
        </w:rPr>
        <w:t>%，主要是因为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土地储备专项项目资金收入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、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支出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增加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。</w:t>
      </w:r>
    </w:p>
    <w:p w14:paraId="01432DCA">
      <w:pPr>
        <w:pStyle w:val="14"/>
        <w:overflowPunct w:val="0"/>
        <w:autoSpaceDE/>
        <w:autoSpaceDN/>
        <w:spacing w:line="600" w:lineRule="exact"/>
        <w:ind w:firstLine="640" w:firstLineChars="200"/>
        <w:jc w:val="both"/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贯彻落实党政机关习惯过紧日子有关要求，厉行节约办一切事业，严控一般性支出，进一步优化支出结构，持续压降“三公”经费、办公经费、会议培训等行政开支。同时坚持有保有压，优化支出结构，提高资金使用效率，合理保障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eastAsia="zh-CN"/>
        </w:rPr>
        <w:t>土地收储实施、储备土地管护、重大项目用地保障等重点支出，体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现在有关支出科目中。</w:t>
      </w:r>
    </w:p>
    <w:p w14:paraId="1927A4D1">
      <w:pPr>
        <w:pStyle w:val="14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cs="Times New Roman"/>
          <w:b/>
          <w:bCs w:val="0"/>
          <w:sz w:val="32"/>
          <w:szCs w:val="32"/>
        </w:rPr>
      </w:pPr>
      <w:r>
        <w:rPr>
          <w:rFonts w:ascii="Times New Roman" w:hAnsi="Times New Roman" w:cs="Times New Roman"/>
          <w:b/>
          <w:bCs w:val="0"/>
          <w:sz w:val="32"/>
          <w:szCs w:val="32"/>
        </w:rPr>
        <w:t>二、收入决算情况说明</w:t>
      </w:r>
    </w:p>
    <w:p w14:paraId="0E21E149">
      <w:pPr>
        <w:pStyle w:val="14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202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</w:t>
      </w:r>
      <w:r>
        <w:rPr>
          <w:rFonts w:ascii="Times New Roman" w:hAnsi="Times New Roman" w:eastAsia="仿宋_GB2312" w:cs="Times New Roman"/>
          <w:sz w:val="32"/>
          <w:szCs w:val="32"/>
        </w:rPr>
        <w:t>年度收入合计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93367.04</w:t>
      </w:r>
      <w:r>
        <w:rPr>
          <w:rFonts w:ascii="Times New Roman" w:hAnsi="Times New Roman" w:eastAsia="仿宋_GB2312" w:cs="Times New Roman"/>
          <w:sz w:val="32"/>
          <w:szCs w:val="32"/>
        </w:rPr>
        <w:t>万元，其中：财政拨款收入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93367.04</w:t>
      </w:r>
      <w:r>
        <w:rPr>
          <w:rFonts w:ascii="Times New Roman" w:hAnsi="Times New Roman" w:eastAsia="仿宋_GB2312" w:cs="Times New Roman"/>
          <w:sz w:val="32"/>
          <w:szCs w:val="32"/>
        </w:rPr>
        <w:t>万元，占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100</w:t>
      </w:r>
      <w:r>
        <w:rPr>
          <w:rFonts w:ascii="Times New Roman" w:hAnsi="Times New Roman" w:eastAsia="仿宋_GB2312" w:cs="Times New Roman"/>
          <w:sz w:val="32"/>
          <w:szCs w:val="32"/>
        </w:rPr>
        <w:t>%；上级补助收入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sz w:val="32"/>
          <w:szCs w:val="32"/>
        </w:rPr>
        <w:t>万元，占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sz w:val="32"/>
          <w:szCs w:val="32"/>
        </w:rPr>
        <w:t>%；事业收入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sz w:val="32"/>
          <w:szCs w:val="32"/>
        </w:rPr>
        <w:t>万元，占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sz w:val="32"/>
          <w:szCs w:val="32"/>
        </w:rPr>
        <w:t>%；经营收入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sz w:val="32"/>
          <w:szCs w:val="32"/>
        </w:rPr>
        <w:t>万元，占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sz w:val="32"/>
          <w:szCs w:val="32"/>
        </w:rPr>
        <w:t>%；附属单位上缴收入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sz w:val="32"/>
          <w:szCs w:val="32"/>
        </w:rPr>
        <w:t>万元，占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sz w:val="32"/>
          <w:szCs w:val="32"/>
        </w:rPr>
        <w:t>%；其他收入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sz w:val="32"/>
          <w:szCs w:val="32"/>
        </w:rPr>
        <w:t>万元，占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sz w:val="32"/>
          <w:szCs w:val="32"/>
        </w:rPr>
        <w:t>%。</w:t>
      </w:r>
    </w:p>
    <w:p w14:paraId="02DBED8F">
      <w:pPr>
        <w:pStyle w:val="14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cs="Times New Roman"/>
          <w:b/>
          <w:bCs w:val="0"/>
          <w:sz w:val="32"/>
          <w:szCs w:val="32"/>
        </w:rPr>
      </w:pPr>
      <w:r>
        <w:rPr>
          <w:rFonts w:ascii="Times New Roman" w:hAnsi="Times New Roman" w:cs="Times New Roman"/>
          <w:b/>
          <w:bCs w:val="0"/>
          <w:sz w:val="32"/>
          <w:szCs w:val="32"/>
        </w:rPr>
        <w:t>三、支出决算情况说明</w:t>
      </w:r>
    </w:p>
    <w:p w14:paraId="3FEDF6F6">
      <w:pPr>
        <w:pStyle w:val="14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202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</w:t>
      </w:r>
      <w:r>
        <w:rPr>
          <w:rFonts w:ascii="Times New Roman" w:hAnsi="Times New Roman" w:eastAsia="仿宋_GB2312" w:cs="Times New Roman"/>
          <w:sz w:val="32"/>
          <w:szCs w:val="32"/>
        </w:rPr>
        <w:t>年度支出合计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93367.04</w:t>
      </w:r>
      <w:r>
        <w:rPr>
          <w:rFonts w:ascii="Times New Roman" w:hAnsi="Times New Roman" w:eastAsia="仿宋_GB2312" w:cs="Times New Roman"/>
          <w:sz w:val="32"/>
          <w:szCs w:val="32"/>
        </w:rPr>
        <w:t>万元，其中：基本支出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445.24</w:t>
      </w:r>
      <w:r>
        <w:rPr>
          <w:rFonts w:ascii="Times New Roman" w:hAnsi="Times New Roman" w:eastAsia="仿宋_GB2312" w:cs="Times New Roman"/>
          <w:sz w:val="32"/>
          <w:szCs w:val="32"/>
        </w:rPr>
        <w:t>万元，占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0.48</w:t>
      </w:r>
      <w:r>
        <w:rPr>
          <w:rFonts w:ascii="Times New Roman" w:hAnsi="Times New Roman" w:eastAsia="仿宋_GB2312" w:cs="Times New Roman"/>
          <w:sz w:val="32"/>
          <w:szCs w:val="32"/>
        </w:rPr>
        <w:t>%；项目支出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92921.8</w:t>
      </w:r>
      <w:r>
        <w:rPr>
          <w:rFonts w:ascii="Times New Roman" w:hAnsi="Times New Roman" w:eastAsia="仿宋_GB2312" w:cs="Times New Roman"/>
          <w:sz w:val="32"/>
          <w:szCs w:val="32"/>
        </w:rPr>
        <w:t>万元，占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99.52</w:t>
      </w:r>
      <w:r>
        <w:rPr>
          <w:rFonts w:ascii="Times New Roman" w:hAnsi="Times New Roman" w:eastAsia="仿宋_GB2312" w:cs="Times New Roman"/>
          <w:sz w:val="32"/>
          <w:szCs w:val="32"/>
        </w:rPr>
        <w:t>%；上缴上级支出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sz w:val="32"/>
          <w:szCs w:val="32"/>
        </w:rPr>
        <w:t>万元，占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sz w:val="32"/>
          <w:szCs w:val="32"/>
        </w:rPr>
        <w:t>%；经营支出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sz w:val="32"/>
          <w:szCs w:val="32"/>
        </w:rPr>
        <w:t>万元，占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sz w:val="32"/>
          <w:szCs w:val="32"/>
        </w:rPr>
        <w:t>%；对附属单位补助支出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sz w:val="32"/>
          <w:szCs w:val="32"/>
        </w:rPr>
        <w:t>万元，占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sz w:val="32"/>
          <w:szCs w:val="32"/>
        </w:rPr>
        <w:t>%。</w:t>
      </w:r>
    </w:p>
    <w:p w14:paraId="7F12AE66">
      <w:pPr>
        <w:pStyle w:val="14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cs="Times New Roman"/>
          <w:b/>
          <w:bCs w:val="0"/>
          <w:sz w:val="32"/>
          <w:szCs w:val="32"/>
        </w:rPr>
      </w:pPr>
      <w:r>
        <w:rPr>
          <w:rFonts w:ascii="Times New Roman" w:hAnsi="Times New Roman" w:cs="Times New Roman"/>
          <w:b/>
          <w:bCs w:val="0"/>
          <w:sz w:val="32"/>
          <w:szCs w:val="32"/>
        </w:rPr>
        <w:t>四、财政拨款收入支出决算总体情况说明</w:t>
      </w:r>
    </w:p>
    <w:p w14:paraId="3A4ADD17">
      <w:pPr>
        <w:pStyle w:val="14"/>
        <w:overflowPunct w:val="0"/>
        <w:autoSpaceDE/>
        <w:autoSpaceDN/>
        <w:spacing w:line="600" w:lineRule="exact"/>
        <w:ind w:firstLine="640" w:firstLineChars="200"/>
        <w:jc w:val="both"/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ascii="Times New Roman" w:hAnsi="Times New Roman" w:eastAsia="仿宋_GB2312" w:cs="Times New Roman"/>
          <w:sz w:val="32"/>
          <w:szCs w:val="32"/>
        </w:rPr>
        <w:t>202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</w:t>
      </w:r>
      <w:r>
        <w:rPr>
          <w:rFonts w:ascii="Times New Roman" w:hAnsi="Times New Roman" w:eastAsia="仿宋_GB2312" w:cs="Times New Roman"/>
          <w:sz w:val="32"/>
          <w:szCs w:val="32"/>
        </w:rPr>
        <w:t>年度财政拨款收、支总计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93367.04</w:t>
      </w:r>
      <w:r>
        <w:rPr>
          <w:rFonts w:ascii="Times New Roman" w:hAnsi="Times New Roman" w:eastAsia="仿宋_GB2312" w:cs="Times New Roman"/>
          <w:sz w:val="32"/>
          <w:szCs w:val="32"/>
        </w:rPr>
        <w:t>万元，增加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59027.91</w:t>
      </w:r>
      <w:r>
        <w:rPr>
          <w:rFonts w:ascii="Times New Roman" w:hAnsi="Times New Roman" w:eastAsia="仿宋_GB2312" w:cs="Times New Roman"/>
          <w:sz w:val="32"/>
          <w:szCs w:val="32"/>
        </w:rPr>
        <w:t>万元，增长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171.90</w:t>
      </w:r>
      <w:r>
        <w:rPr>
          <w:rFonts w:ascii="Times New Roman" w:hAnsi="Times New Roman" w:eastAsia="仿宋_GB2312" w:cs="Times New Roman"/>
          <w:sz w:val="32"/>
          <w:szCs w:val="32"/>
        </w:rPr>
        <w:t>%，主要是因为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土地储备专项项目资金收入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、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支出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增加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。</w:t>
      </w:r>
    </w:p>
    <w:p w14:paraId="0AB009F1">
      <w:pPr>
        <w:pStyle w:val="14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cs="Times New Roman"/>
          <w:b/>
          <w:bCs w:val="0"/>
          <w:sz w:val="32"/>
          <w:szCs w:val="32"/>
        </w:rPr>
      </w:pPr>
      <w:r>
        <w:rPr>
          <w:rFonts w:ascii="Times New Roman" w:hAnsi="Times New Roman" w:cs="Times New Roman"/>
          <w:b/>
          <w:bCs w:val="0"/>
          <w:sz w:val="32"/>
          <w:szCs w:val="32"/>
        </w:rPr>
        <w:t>五、一般公共预算财政拨款支出决算情况说明</w:t>
      </w:r>
    </w:p>
    <w:p w14:paraId="5188641C">
      <w:pPr>
        <w:pStyle w:val="14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eastAsia="楷体_GB2312" w:cs="Times New Roman"/>
          <w:b/>
          <w:sz w:val="32"/>
          <w:szCs w:val="32"/>
        </w:rPr>
      </w:pPr>
      <w:r>
        <w:rPr>
          <w:rFonts w:ascii="Times New Roman" w:hAnsi="Times New Roman" w:eastAsia="楷体_GB2312" w:cs="Times New Roman"/>
          <w:b/>
          <w:sz w:val="32"/>
          <w:szCs w:val="32"/>
        </w:rPr>
        <w:t>（一）一般公共预算财政拨款支出决算总体情况</w:t>
      </w:r>
    </w:p>
    <w:p w14:paraId="36B20529">
      <w:pPr>
        <w:pStyle w:val="14"/>
        <w:overflowPunct w:val="0"/>
        <w:autoSpaceDE/>
        <w:autoSpaceDN/>
        <w:spacing w:line="600" w:lineRule="exact"/>
        <w:ind w:firstLine="640" w:firstLineChars="200"/>
        <w:jc w:val="both"/>
        <w:rPr>
          <w:rFonts w:hint="eastAsia" w:ascii="Times New Roman" w:hAnsi="Times New Roman" w:eastAsia="仿宋_GB2312"/>
          <w:sz w:val="32"/>
          <w:szCs w:val="32"/>
          <w:lang w:val="en-US" w:eastAsia="zh-CN"/>
        </w:rPr>
      </w:pPr>
      <w:r>
        <w:rPr>
          <w:rFonts w:ascii="Times New Roman" w:hAnsi="Times New Roman" w:eastAsia="仿宋_GB2312" w:cs="Times New Roman"/>
          <w:sz w:val="32"/>
          <w:szCs w:val="32"/>
        </w:rPr>
        <w:t>202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</w:t>
      </w:r>
      <w:r>
        <w:rPr>
          <w:rFonts w:ascii="Times New Roman" w:hAnsi="Times New Roman" w:eastAsia="仿宋_GB2312" w:cs="Times New Roman"/>
          <w:sz w:val="32"/>
          <w:szCs w:val="32"/>
        </w:rPr>
        <w:t>年度财政拨款支出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sz w:val="32"/>
          <w:szCs w:val="32"/>
        </w:rPr>
        <w:t>万元，占本年支出合计的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sz w:val="32"/>
          <w:szCs w:val="32"/>
        </w:rPr>
        <w:t>%，与上年相比，财政拨款支出增加（减少）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sz w:val="32"/>
          <w:szCs w:val="32"/>
        </w:rPr>
        <w:t>万元，增长（降低）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sz w:val="32"/>
          <w:szCs w:val="32"/>
        </w:rPr>
        <w:t>%，</w:t>
      </w:r>
      <w:r>
        <w:rPr>
          <w:rFonts w:hint="eastAsia" w:ascii="Times New Roman" w:hAnsi="Times New Roman" w:eastAsia="仿宋_GB2312"/>
          <w:sz w:val="32"/>
          <w:szCs w:val="32"/>
        </w:rPr>
        <w:t>主要是因为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单位资金为政府性基金预算收支。</w:t>
      </w:r>
    </w:p>
    <w:p w14:paraId="0D0D8D57">
      <w:pPr>
        <w:pStyle w:val="14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eastAsia="楷体_GB2312" w:cs="Times New Roman"/>
          <w:b/>
          <w:sz w:val="32"/>
          <w:szCs w:val="32"/>
        </w:rPr>
      </w:pPr>
      <w:r>
        <w:rPr>
          <w:rFonts w:ascii="Times New Roman" w:hAnsi="Times New Roman" w:eastAsia="楷体_GB2312" w:cs="Times New Roman"/>
          <w:b/>
          <w:sz w:val="32"/>
          <w:szCs w:val="32"/>
        </w:rPr>
        <w:t>（二）一般公共预算财政拨款支出决算结构情况</w:t>
      </w:r>
    </w:p>
    <w:p w14:paraId="2FA5FA11">
      <w:pPr>
        <w:pStyle w:val="14"/>
        <w:overflowPunct w:val="0"/>
        <w:autoSpaceDE/>
        <w:autoSpaceDN/>
        <w:spacing w:line="600" w:lineRule="exact"/>
        <w:ind w:firstLine="640" w:firstLineChars="200"/>
        <w:jc w:val="both"/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ascii="Times New Roman" w:hAnsi="Times New Roman" w:eastAsia="仿宋_GB2312" w:cs="Times New Roman"/>
          <w:sz w:val="32"/>
          <w:szCs w:val="32"/>
        </w:rPr>
        <w:t>202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</w:t>
      </w:r>
      <w:r>
        <w:rPr>
          <w:rFonts w:ascii="Times New Roman" w:hAnsi="Times New Roman" w:eastAsia="仿宋_GB2312" w:cs="Times New Roman"/>
          <w:sz w:val="32"/>
          <w:szCs w:val="32"/>
        </w:rPr>
        <w:t>年度财政拨款支出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sz w:val="32"/>
          <w:szCs w:val="32"/>
        </w:rPr>
        <w:t>万元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。</w:t>
      </w:r>
    </w:p>
    <w:p w14:paraId="007735FE">
      <w:pPr>
        <w:pStyle w:val="14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eastAsia="楷体_GB2312" w:cs="Times New Roman"/>
          <w:b/>
          <w:sz w:val="32"/>
          <w:szCs w:val="32"/>
        </w:rPr>
      </w:pPr>
      <w:r>
        <w:rPr>
          <w:rFonts w:ascii="Times New Roman" w:hAnsi="Times New Roman" w:eastAsia="楷体_GB2312" w:cs="Times New Roman"/>
          <w:b/>
          <w:sz w:val="32"/>
          <w:szCs w:val="32"/>
        </w:rPr>
        <w:t>（三）一般公共预算财政拨款支出决算具体情况</w:t>
      </w:r>
    </w:p>
    <w:p w14:paraId="5304B5A3">
      <w:pPr>
        <w:pStyle w:val="14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202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</w:t>
      </w:r>
      <w:r>
        <w:rPr>
          <w:rFonts w:ascii="Times New Roman" w:hAnsi="Times New Roman" w:eastAsia="仿宋_GB2312" w:cs="Times New Roman"/>
          <w:sz w:val="32"/>
          <w:szCs w:val="32"/>
        </w:rPr>
        <w:t>年度财政拨款</w:t>
      </w:r>
      <w:bookmarkStart w:id="0" w:name="_GoBack"/>
      <w:bookmarkEnd w:id="0"/>
      <w:r>
        <w:rPr>
          <w:rFonts w:ascii="Times New Roman" w:hAnsi="Times New Roman" w:eastAsia="仿宋_GB2312" w:cs="Times New Roman"/>
          <w:sz w:val="32"/>
          <w:szCs w:val="32"/>
        </w:rPr>
        <w:t>支出年初预算数为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sz w:val="32"/>
          <w:szCs w:val="32"/>
        </w:rPr>
        <w:t>万元，支出决算数为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sz w:val="32"/>
          <w:szCs w:val="32"/>
        </w:rPr>
        <w:t>万元，完成年初预算的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sz w:val="32"/>
          <w:szCs w:val="32"/>
        </w:rPr>
        <w:t>%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。</w:t>
      </w:r>
    </w:p>
    <w:p w14:paraId="10E416AE">
      <w:pPr>
        <w:pStyle w:val="14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cs="Times New Roman"/>
          <w:b/>
          <w:bCs w:val="0"/>
          <w:sz w:val="32"/>
          <w:szCs w:val="32"/>
        </w:rPr>
      </w:pPr>
      <w:r>
        <w:rPr>
          <w:rFonts w:ascii="Times New Roman" w:hAnsi="Times New Roman" w:cs="Times New Roman"/>
          <w:b/>
          <w:bCs w:val="0"/>
          <w:sz w:val="32"/>
          <w:szCs w:val="32"/>
        </w:rPr>
        <w:t>六、一般公共预算财政拨款基本支出决算情况说明</w:t>
      </w:r>
    </w:p>
    <w:p w14:paraId="00F9A7D9">
      <w:pPr>
        <w:pStyle w:val="14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202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</w:t>
      </w:r>
      <w:r>
        <w:rPr>
          <w:rFonts w:ascii="Times New Roman" w:hAnsi="Times New Roman" w:eastAsia="仿宋_GB2312" w:cs="Times New Roman"/>
          <w:sz w:val="32"/>
          <w:szCs w:val="32"/>
        </w:rPr>
        <w:t>年度一般公共预算财政拨款基本支出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sz w:val="32"/>
          <w:szCs w:val="32"/>
        </w:rPr>
        <w:t>万元。</w:t>
      </w:r>
    </w:p>
    <w:p w14:paraId="6E8A0C3D">
      <w:pPr>
        <w:pStyle w:val="14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eastAsia="仿宋_GB2312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bCs w:val="0"/>
          <w:sz w:val="32"/>
          <w:szCs w:val="32"/>
        </w:rPr>
        <w:t>七、财政拨款“三公”经费支出决算情况说明</w:t>
      </w:r>
    </w:p>
    <w:p w14:paraId="5B6A554B">
      <w:pPr>
        <w:pStyle w:val="14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eastAsia="楷体_GB2312" w:cs="Times New Roman"/>
          <w:b/>
          <w:sz w:val="32"/>
          <w:szCs w:val="32"/>
        </w:rPr>
      </w:pPr>
      <w:r>
        <w:rPr>
          <w:rFonts w:ascii="Times New Roman" w:hAnsi="Times New Roman" w:eastAsia="楷体_GB2312" w:cs="Times New Roman"/>
          <w:b/>
          <w:sz w:val="32"/>
          <w:szCs w:val="32"/>
        </w:rPr>
        <w:t>（一）“三公”经费财政拨款支出决算总体情况说明</w:t>
      </w:r>
    </w:p>
    <w:p w14:paraId="1ED78299">
      <w:pPr>
        <w:pStyle w:val="14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eastAsia="仿宋_GB2312" w:cs="Times New Roman"/>
          <w:sz w:val="32"/>
          <w:szCs w:val="32"/>
          <w:highlight w:val="yellow"/>
        </w:rPr>
      </w:pPr>
      <w:r>
        <w:rPr>
          <w:rFonts w:ascii="Times New Roman" w:hAnsi="Times New Roman" w:eastAsia="仿宋_GB2312" w:cs="Times New Roman"/>
          <w:sz w:val="32"/>
          <w:szCs w:val="32"/>
        </w:rPr>
        <w:t>202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</w:t>
      </w:r>
      <w:r>
        <w:rPr>
          <w:rFonts w:ascii="Times New Roman" w:hAnsi="Times New Roman" w:eastAsia="仿宋_GB2312" w:cs="Times New Roman"/>
          <w:sz w:val="32"/>
          <w:szCs w:val="32"/>
        </w:rPr>
        <w:t>年度“三公”经费财政拨款支出预算为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3.07</w:t>
      </w:r>
      <w:r>
        <w:rPr>
          <w:rFonts w:ascii="Times New Roman" w:hAnsi="Times New Roman" w:eastAsia="仿宋_GB2312" w:cs="Times New Roman"/>
          <w:sz w:val="32"/>
          <w:szCs w:val="32"/>
        </w:rPr>
        <w:t>万元，支出决算为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3.07</w:t>
      </w:r>
      <w:r>
        <w:rPr>
          <w:rFonts w:ascii="Times New Roman" w:hAnsi="Times New Roman" w:eastAsia="仿宋_GB2312" w:cs="Times New Roman"/>
          <w:sz w:val="32"/>
          <w:szCs w:val="32"/>
        </w:rPr>
        <w:t>万元，完成预算的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100</w:t>
      </w:r>
      <w:r>
        <w:rPr>
          <w:rFonts w:ascii="Times New Roman" w:hAnsi="Times New Roman" w:eastAsia="仿宋_GB2312" w:cs="Times New Roman"/>
          <w:sz w:val="32"/>
          <w:szCs w:val="32"/>
        </w:rPr>
        <w:t>%；与上年相比增加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1.5</w:t>
      </w:r>
      <w:r>
        <w:rPr>
          <w:rFonts w:ascii="Times New Roman" w:hAnsi="Times New Roman" w:eastAsia="仿宋_GB2312" w:cs="Times New Roman"/>
          <w:sz w:val="32"/>
          <w:szCs w:val="32"/>
        </w:rPr>
        <w:t>万元，增长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95.54</w:t>
      </w:r>
      <w:r>
        <w:rPr>
          <w:rFonts w:ascii="Times New Roman" w:hAnsi="Times New Roman" w:eastAsia="仿宋_GB2312" w:cs="Times New Roman"/>
          <w:sz w:val="32"/>
          <w:szCs w:val="32"/>
        </w:rPr>
        <w:t>%。决算数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与</w:t>
      </w:r>
      <w:r>
        <w:rPr>
          <w:rFonts w:ascii="Times New Roman" w:hAnsi="Times New Roman" w:eastAsia="仿宋_GB2312" w:cs="Times New Roman"/>
          <w:sz w:val="32"/>
          <w:szCs w:val="32"/>
        </w:rPr>
        <w:t>预算数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持平</w:t>
      </w:r>
      <w:r>
        <w:rPr>
          <w:rFonts w:ascii="Times New Roman" w:hAnsi="Times New Roman" w:eastAsia="仿宋_GB2312" w:cs="Times New Roman"/>
          <w:sz w:val="32"/>
          <w:szCs w:val="32"/>
        </w:rPr>
        <w:t>。</w:t>
      </w:r>
    </w:p>
    <w:p w14:paraId="78C53BA5">
      <w:pPr>
        <w:pStyle w:val="14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eastAsia="楷体_GB2312" w:cs="Times New Roman"/>
          <w:b/>
          <w:sz w:val="32"/>
          <w:szCs w:val="32"/>
        </w:rPr>
      </w:pPr>
      <w:r>
        <w:rPr>
          <w:rFonts w:ascii="Times New Roman" w:hAnsi="Times New Roman" w:eastAsia="楷体_GB2312" w:cs="Times New Roman"/>
          <w:b/>
          <w:sz w:val="32"/>
          <w:szCs w:val="32"/>
        </w:rPr>
        <w:t>（二）“三公”经费财政拨款支出决算具体情况说明</w:t>
      </w:r>
    </w:p>
    <w:p w14:paraId="488889CD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楷体" w:cs="Times New Roman"/>
          <w:b/>
          <w:bCs/>
          <w:i/>
          <w:color w:val="auto"/>
          <w:sz w:val="32"/>
          <w:szCs w:val="32"/>
          <w:lang w:eastAsia="zh-CN"/>
        </w:rPr>
      </w:pPr>
      <w:r>
        <w:rPr>
          <w:rFonts w:ascii="Times New Roman" w:hAnsi="Times New Roman" w:eastAsia="仿宋_GB2312" w:cs="Times New Roman"/>
          <w:sz w:val="32"/>
          <w:szCs w:val="32"/>
        </w:rPr>
        <w:t>1.因公出国（境）费支出预算为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sz w:val="32"/>
          <w:szCs w:val="32"/>
        </w:rPr>
        <w:t>万元，支出决算为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sz w:val="32"/>
          <w:szCs w:val="32"/>
        </w:rPr>
        <w:t>万元，完成预算的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sz w:val="32"/>
          <w:szCs w:val="32"/>
        </w:rPr>
        <w:t>%；与上年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一致</w:t>
      </w:r>
      <w:r>
        <w:rPr>
          <w:rFonts w:ascii="Times New Roman" w:hAnsi="Times New Roman" w:eastAsia="仿宋_GB2312" w:cs="Times New Roman"/>
          <w:sz w:val="32"/>
          <w:szCs w:val="32"/>
        </w:rPr>
        <w:t>，</w:t>
      </w:r>
      <w:r>
        <w:rPr>
          <w:rFonts w:hint="eastAsia" w:ascii="Times New Roman" w:hAnsi="Times New Roman" w:eastAsia="仿宋_GB2312"/>
          <w:sz w:val="32"/>
          <w:szCs w:val="32"/>
        </w:rPr>
        <w:t>主要原因是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无</w:t>
      </w:r>
      <w:r>
        <w:rPr>
          <w:rFonts w:hint="eastAsia" w:ascii="Times New Roman" w:hAnsi="Times New Roman" w:eastAsia="仿宋_GB2312"/>
          <w:sz w:val="32"/>
          <w:szCs w:val="32"/>
        </w:rPr>
        <w:t>因公出国（境）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公务活动</w:t>
      </w:r>
      <w:r>
        <w:rPr>
          <w:rFonts w:hint="eastAsia" w:ascii="Times New Roman" w:hAnsi="Times New Roman" w:eastAsia="仿宋_GB2312"/>
          <w:sz w:val="32"/>
          <w:szCs w:val="32"/>
        </w:rPr>
        <w:t>。</w:t>
      </w:r>
    </w:p>
    <w:p w14:paraId="4FA081D5">
      <w:pPr>
        <w:pStyle w:val="14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2.公务用车购置费及运行维护费支出预算为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3.07</w:t>
      </w:r>
      <w:r>
        <w:rPr>
          <w:rFonts w:ascii="Times New Roman" w:hAnsi="Times New Roman" w:eastAsia="仿宋_GB2312" w:cs="Times New Roman"/>
          <w:sz w:val="32"/>
          <w:szCs w:val="32"/>
        </w:rPr>
        <w:t>万元，支出决算为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3.07</w:t>
      </w:r>
      <w:r>
        <w:rPr>
          <w:rFonts w:ascii="Times New Roman" w:hAnsi="Times New Roman" w:eastAsia="仿宋_GB2312" w:cs="Times New Roman"/>
          <w:sz w:val="32"/>
          <w:szCs w:val="32"/>
        </w:rPr>
        <w:t>万元，完成预算的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100</w:t>
      </w:r>
      <w:r>
        <w:rPr>
          <w:rFonts w:ascii="Times New Roman" w:hAnsi="Times New Roman" w:eastAsia="仿宋_GB2312" w:cs="Times New Roman"/>
          <w:sz w:val="32"/>
          <w:szCs w:val="32"/>
        </w:rPr>
        <w:t>%；与上年相比增加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1.5</w:t>
      </w:r>
      <w:r>
        <w:rPr>
          <w:rFonts w:ascii="Times New Roman" w:hAnsi="Times New Roman" w:eastAsia="仿宋_GB2312" w:cs="Times New Roman"/>
          <w:sz w:val="32"/>
          <w:szCs w:val="32"/>
        </w:rPr>
        <w:t>万元，增长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95.54</w:t>
      </w:r>
      <w:r>
        <w:rPr>
          <w:rFonts w:ascii="Times New Roman" w:hAnsi="Times New Roman" w:eastAsia="仿宋_GB2312" w:cs="Times New Roman"/>
          <w:sz w:val="32"/>
          <w:szCs w:val="32"/>
        </w:rPr>
        <w:t>%。其中：</w:t>
      </w:r>
    </w:p>
    <w:p w14:paraId="32AE7A24">
      <w:pPr>
        <w:pStyle w:val="14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公务用车购置费支出预算为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sz w:val="32"/>
          <w:szCs w:val="32"/>
        </w:rPr>
        <w:t>万元，支出决算为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sz w:val="32"/>
          <w:szCs w:val="32"/>
        </w:rPr>
        <w:t>万元，完成预算的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sz w:val="32"/>
          <w:szCs w:val="32"/>
        </w:rPr>
        <w:t>%；与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上年一致，</w:t>
      </w:r>
      <w:r>
        <w:rPr>
          <w:rFonts w:ascii="Times New Roman" w:hAnsi="Times New Roman" w:eastAsia="仿宋_GB2312" w:cs="Times New Roman"/>
          <w:sz w:val="32"/>
          <w:szCs w:val="32"/>
        </w:rPr>
        <w:t>增长（降低）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sz w:val="32"/>
          <w:szCs w:val="32"/>
        </w:rPr>
        <w:t>%。决算数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等于</w:t>
      </w:r>
      <w:r>
        <w:rPr>
          <w:rFonts w:ascii="Times New Roman" w:hAnsi="Times New Roman" w:eastAsia="仿宋_GB2312" w:cs="Times New Roman"/>
          <w:sz w:val="32"/>
          <w:szCs w:val="32"/>
        </w:rPr>
        <w:t>预算数的主要原因是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2025年度未购置公务用车</w:t>
      </w:r>
      <w:r>
        <w:rPr>
          <w:rFonts w:ascii="Times New Roman" w:hAnsi="Times New Roman" w:eastAsia="仿宋_GB2312" w:cs="Times New Roman"/>
          <w:sz w:val="32"/>
          <w:szCs w:val="32"/>
        </w:rPr>
        <w:t>，决算数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等于</w:t>
      </w:r>
      <w:r>
        <w:rPr>
          <w:rFonts w:ascii="Times New Roman" w:hAnsi="Times New Roman" w:eastAsia="仿宋_GB2312" w:cs="Times New Roman"/>
          <w:sz w:val="32"/>
          <w:szCs w:val="32"/>
        </w:rPr>
        <w:t>上年数的主要原因是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2024年度和2025年度未购置公务用车</w:t>
      </w:r>
      <w:r>
        <w:rPr>
          <w:rFonts w:ascii="Times New Roman" w:hAnsi="Times New Roman" w:eastAsia="仿宋_GB2312" w:cs="Times New Roman"/>
          <w:sz w:val="32"/>
          <w:szCs w:val="32"/>
        </w:rPr>
        <w:t>。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怀化市土地储备中心本级</w:t>
      </w:r>
      <w:r>
        <w:rPr>
          <w:rFonts w:ascii="Times New Roman" w:hAnsi="Times New Roman" w:eastAsia="仿宋_GB2312" w:cs="Times New Roman"/>
          <w:sz w:val="32"/>
          <w:szCs w:val="32"/>
        </w:rPr>
        <w:t>更新公务用车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sz w:val="32"/>
          <w:szCs w:val="32"/>
        </w:rPr>
        <w:t>辆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 w14:paraId="3F0AE718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公务用车运行维护费支出预算为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3.07</w:t>
      </w:r>
      <w:r>
        <w:rPr>
          <w:rFonts w:ascii="Times New Roman" w:hAnsi="Times New Roman" w:eastAsia="仿宋_GB2312" w:cs="Times New Roman"/>
          <w:sz w:val="32"/>
          <w:szCs w:val="32"/>
        </w:rPr>
        <w:t>万元，支出决算为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3.07</w:t>
      </w:r>
      <w:r>
        <w:rPr>
          <w:rFonts w:ascii="Times New Roman" w:hAnsi="Times New Roman" w:eastAsia="仿宋_GB2312" w:cs="Times New Roman"/>
          <w:sz w:val="32"/>
          <w:szCs w:val="32"/>
        </w:rPr>
        <w:t>万元，主要是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公务用车油料、维修费</w:t>
      </w:r>
      <w:r>
        <w:rPr>
          <w:rFonts w:ascii="Times New Roman" w:hAnsi="Times New Roman" w:eastAsia="仿宋_GB2312" w:cs="Times New Roman"/>
          <w:sz w:val="32"/>
          <w:szCs w:val="32"/>
        </w:rPr>
        <w:t>支出，完成预算的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100</w:t>
      </w:r>
      <w:r>
        <w:rPr>
          <w:rFonts w:ascii="Times New Roman" w:hAnsi="Times New Roman" w:eastAsia="仿宋_GB2312" w:cs="Times New Roman"/>
          <w:sz w:val="32"/>
          <w:szCs w:val="32"/>
        </w:rPr>
        <w:t>%；与上年相比增加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1.5</w:t>
      </w:r>
      <w:r>
        <w:rPr>
          <w:rFonts w:ascii="Times New Roman" w:hAnsi="Times New Roman" w:eastAsia="仿宋_GB2312" w:cs="Times New Roman"/>
          <w:sz w:val="32"/>
          <w:szCs w:val="32"/>
        </w:rPr>
        <w:t>万元，增长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95.54</w:t>
      </w:r>
      <w:r>
        <w:rPr>
          <w:rFonts w:ascii="Times New Roman" w:hAnsi="Times New Roman" w:eastAsia="仿宋_GB2312" w:cs="Times New Roman"/>
          <w:sz w:val="32"/>
          <w:szCs w:val="32"/>
        </w:rPr>
        <w:t>%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。</w:t>
      </w:r>
      <w:r>
        <w:rPr>
          <w:rFonts w:ascii="Times New Roman" w:hAnsi="Times New Roman" w:eastAsia="仿宋_GB2312" w:cs="Times New Roman"/>
          <w:sz w:val="32"/>
          <w:szCs w:val="32"/>
        </w:rPr>
        <w:t>决算数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等于</w:t>
      </w:r>
      <w:r>
        <w:rPr>
          <w:rFonts w:ascii="Times New Roman" w:hAnsi="Times New Roman" w:eastAsia="仿宋_GB2312" w:cs="Times New Roman"/>
          <w:sz w:val="32"/>
          <w:szCs w:val="32"/>
        </w:rPr>
        <w:t>预算数的主要原因是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压减</w:t>
      </w:r>
      <w:r>
        <w:rPr>
          <w:rFonts w:ascii="Times New Roman" w:hAnsi="Times New Roman" w:eastAsia="仿宋_GB2312" w:cs="Times New Roman"/>
          <w:sz w:val="32"/>
          <w:szCs w:val="32"/>
        </w:rPr>
        <w:t>公务用车运行维护费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开支</w:t>
      </w:r>
      <w:r>
        <w:rPr>
          <w:rFonts w:ascii="Times New Roman" w:hAnsi="Times New Roman" w:eastAsia="仿宋_GB2312" w:cs="Times New Roman"/>
          <w:sz w:val="32"/>
          <w:szCs w:val="32"/>
        </w:rPr>
        <w:t>。与上年相比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增长的主要原因是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车辆使用年限较长，油耗、维修等费用增加</w:t>
      </w:r>
      <w:r>
        <w:rPr>
          <w:rFonts w:hint="eastAsia" w:ascii="Times New Roman" w:hAnsi="Times New Roman" w:eastAsia="仿宋_GB2312"/>
          <w:sz w:val="32"/>
          <w:szCs w:val="32"/>
        </w:rPr>
        <w:t>。</w:t>
      </w:r>
      <w:r>
        <w:rPr>
          <w:rFonts w:ascii="Times New Roman" w:hAnsi="Times New Roman" w:eastAsia="仿宋_GB2312" w:cs="Times New Roman"/>
          <w:sz w:val="32"/>
          <w:szCs w:val="32"/>
        </w:rPr>
        <w:t>截止202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</w:t>
      </w:r>
      <w:r>
        <w:rPr>
          <w:rFonts w:ascii="Times New Roman" w:hAnsi="Times New Roman" w:eastAsia="仿宋_GB2312" w:cs="Times New Roman"/>
          <w:sz w:val="32"/>
          <w:szCs w:val="32"/>
        </w:rPr>
        <w:t>年12月31日，我单位开支财政拨款的公务用车保有量为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</w:t>
      </w:r>
      <w:r>
        <w:rPr>
          <w:rFonts w:ascii="Times New Roman" w:hAnsi="Times New Roman" w:eastAsia="仿宋_GB2312" w:cs="Times New Roman"/>
          <w:sz w:val="32"/>
          <w:szCs w:val="32"/>
        </w:rPr>
        <w:t>辆。</w:t>
      </w:r>
    </w:p>
    <w:p w14:paraId="2E50BDE5">
      <w:pPr>
        <w:pStyle w:val="14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3.公务接待费支出预算为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sz w:val="32"/>
          <w:szCs w:val="32"/>
        </w:rPr>
        <w:t>万元，支出决算为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sz w:val="32"/>
          <w:szCs w:val="32"/>
        </w:rPr>
        <w:t>万元，完成预算的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sz w:val="32"/>
          <w:szCs w:val="32"/>
        </w:rPr>
        <w:t>%；与上年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一致</w:t>
      </w:r>
      <w:r>
        <w:rPr>
          <w:rFonts w:ascii="Times New Roman" w:hAnsi="Times New Roman" w:eastAsia="仿宋_GB2312" w:cs="Times New Roman"/>
          <w:sz w:val="32"/>
          <w:szCs w:val="32"/>
        </w:rPr>
        <w:t>，增长（降低）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sz w:val="32"/>
          <w:szCs w:val="32"/>
        </w:rPr>
        <w:t>%。决算数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等于</w:t>
      </w:r>
      <w:r>
        <w:rPr>
          <w:rFonts w:ascii="Times New Roman" w:hAnsi="Times New Roman" w:eastAsia="仿宋_GB2312" w:cs="Times New Roman"/>
          <w:sz w:val="32"/>
          <w:szCs w:val="32"/>
        </w:rPr>
        <w:t>预算数的主要原因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是2025年度未发生公务接待费</w:t>
      </w:r>
      <w:r>
        <w:rPr>
          <w:rFonts w:ascii="Times New Roman" w:hAnsi="Times New Roman" w:eastAsia="仿宋_GB2312" w:cs="Times New Roman"/>
          <w:sz w:val="32"/>
          <w:szCs w:val="32"/>
        </w:rPr>
        <w:t>。决算数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等于</w:t>
      </w:r>
      <w:r>
        <w:rPr>
          <w:rFonts w:ascii="Times New Roman" w:hAnsi="Times New Roman" w:eastAsia="仿宋_GB2312" w:cs="Times New Roman"/>
          <w:sz w:val="32"/>
          <w:szCs w:val="32"/>
        </w:rPr>
        <w:t>上年数的主要原因是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2024年度和2025年度未发生公务接待费</w:t>
      </w:r>
      <w:r>
        <w:rPr>
          <w:rFonts w:ascii="Times New Roman" w:hAnsi="Times New Roman" w:eastAsia="仿宋_GB2312" w:cs="Times New Roman"/>
          <w:sz w:val="32"/>
          <w:szCs w:val="32"/>
        </w:rPr>
        <w:t>。202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</w:t>
      </w:r>
      <w:r>
        <w:rPr>
          <w:rFonts w:ascii="Times New Roman" w:hAnsi="Times New Roman" w:eastAsia="仿宋_GB2312" w:cs="Times New Roman"/>
          <w:sz w:val="32"/>
          <w:szCs w:val="32"/>
        </w:rPr>
        <w:t>年度共接待来访团组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sz w:val="32"/>
          <w:szCs w:val="32"/>
        </w:rPr>
        <w:t>个、来宾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sz w:val="32"/>
          <w:szCs w:val="32"/>
        </w:rPr>
        <w:t>人次。</w:t>
      </w:r>
    </w:p>
    <w:p w14:paraId="0ADD6A4F">
      <w:pPr>
        <w:pStyle w:val="14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cs="Times New Roman"/>
          <w:b/>
          <w:bCs w:val="0"/>
          <w:sz w:val="32"/>
          <w:szCs w:val="32"/>
        </w:rPr>
      </w:pPr>
      <w:r>
        <w:rPr>
          <w:rFonts w:ascii="Times New Roman" w:hAnsi="Times New Roman" w:cs="Times New Roman"/>
          <w:b/>
          <w:bCs w:val="0"/>
          <w:sz w:val="32"/>
          <w:szCs w:val="32"/>
        </w:rPr>
        <w:t>八、政府性基金预算收入支出决算情况</w:t>
      </w:r>
    </w:p>
    <w:p w14:paraId="1486BDE9">
      <w:pPr>
        <w:pStyle w:val="14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202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</w:t>
      </w:r>
      <w:r>
        <w:rPr>
          <w:rFonts w:ascii="Times New Roman" w:hAnsi="Times New Roman" w:eastAsia="仿宋_GB2312" w:cs="Times New Roman"/>
          <w:sz w:val="32"/>
          <w:szCs w:val="32"/>
        </w:rPr>
        <w:t>年度政府性基金预算财政拨款收入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93367.04</w:t>
      </w:r>
      <w:r>
        <w:rPr>
          <w:rFonts w:ascii="Times New Roman" w:hAnsi="Times New Roman" w:eastAsia="仿宋_GB2312" w:cs="Times New Roman"/>
          <w:sz w:val="32"/>
          <w:szCs w:val="32"/>
        </w:rPr>
        <w:t>万元；年初结转和结余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sz w:val="32"/>
          <w:szCs w:val="32"/>
        </w:rPr>
        <w:t>万元；支出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93367.04</w:t>
      </w:r>
      <w:r>
        <w:rPr>
          <w:rFonts w:ascii="Times New Roman" w:hAnsi="Times New Roman" w:eastAsia="仿宋_GB2312" w:cs="Times New Roman"/>
          <w:sz w:val="32"/>
          <w:szCs w:val="32"/>
        </w:rPr>
        <w:t>万元，其中基本支出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445.24</w:t>
      </w:r>
      <w:r>
        <w:rPr>
          <w:rFonts w:ascii="Times New Roman" w:hAnsi="Times New Roman" w:eastAsia="仿宋_GB2312" w:cs="Times New Roman"/>
          <w:sz w:val="32"/>
          <w:szCs w:val="32"/>
        </w:rPr>
        <w:t>万元，项目支出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92921.80</w:t>
      </w:r>
      <w:r>
        <w:rPr>
          <w:rFonts w:ascii="Times New Roman" w:hAnsi="Times New Roman" w:eastAsia="仿宋_GB2312" w:cs="Times New Roman"/>
          <w:sz w:val="32"/>
          <w:szCs w:val="32"/>
        </w:rPr>
        <w:t>万元；年末结转和结余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sz w:val="32"/>
          <w:szCs w:val="32"/>
        </w:rPr>
        <w:t>万元。具体情况如下：</w:t>
      </w:r>
    </w:p>
    <w:p w14:paraId="7CE5F3BB">
      <w:pPr>
        <w:pStyle w:val="14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1、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自然资源海洋气象等支出</w:t>
      </w:r>
      <w:r>
        <w:rPr>
          <w:rFonts w:ascii="Times New Roman" w:hAnsi="Times New Roman" w:eastAsia="仿宋_GB2312" w:cs="Times New Roman"/>
          <w:sz w:val="32"/>
          <w:szCs w:val="32"/>
        </w:rPr>
        <w:t>（类）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自然资源事务</w:t>
      </w:r>
      <w:r>
        <w:rPr>
          <w:rFonts w:ascii="Times New Roman" w:hAnsi="Times New Roman" w:eastAsia="仿宋_GB2312" w:cs="Times New Roman"/>
          <w:sz w:val="32"/>
          <w:szCs w:val="32"/>
        </w:rPr>
        <w:t>（款）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土地资源储备支出</w:t>
      </w:r>
      <w:r>
        <w:rPr>
          <w:rFonts w:ascii="Times New Roman" w:hAnsi="Times New Roman" w:eastAsia="仿宋_GB2312" w:cs="Times New Roman"/>
          <w:sz w:val="32"/>
          <w:szCs w:val="32"/>
        </w:rPr>
        <w:t>（项）。</w:t>
      </w:r>
    </w:p>
    <w:p w14:paraId="10D6F953">
      <w:pPr>
        <w:pStyle w:val="14"/>
        <w:overflowPunct w:val="0"/>
        <w:autoSpaceDE/>
        <w:autoSpaceDN/>
        <w:spacing w:line="600" w:lineRule="exact"/>
        <w:ind w:firstLine="640" w:firstLineChars="200"/>
        <w:jc w:val="both"/>
        <w:rPr>
          <w:rFonts w:ascii="宋体" w:hAnsi="宋体" w:eastAsia="宋体" w:cs="宋体"/>
          <w:sz w:val="24"/>
          <w:szCs w:val="24"/>
        </w:rPr>
      </w:pPr>
      <w:r>
        <w:rPr>
          <w:rFonts w:ascii="Times New Roman" w:hAnsi="Times New Roman" w:eastAsia="仿宋_GB2312" w:cs="Times New Roman"/>
          <w:sz w:val="32"/>
          <w:szCs w:val="32"/>
        </w:rPr>
        <w:t>年初预算为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469.08</w:t>
      </w:r>
      <w:r>
        <w:rPr>
          <w:rFonts w:ascii="Times New Roman" w:hAnsi="Times New Roman" w:eastAsia="仿宋_GB2312" w:cs="Times New Roman"/>
          <w:sz w:val="32"/>
          <w:szCs w:val="32"/>
        </w:rPr>
        <w:t>万元，支出决算为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93367.04</w:t>
      </w:r>
      <w:r>
        <w:rPr>
          <w:rFonts w:ascii="Times New Roman" w:hAnsi="Times New Roman" w:eastAsia="仿宋_GB2312" w:cs="Times New Roman"/>
          <w:sz w:val="32"/>
          <w:szCs w:val="32"/>
        </w:rPr>
        <w:t>万元，完成年初预算的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199.04</w:t>
      </w:r>
      <w:r>
        <w:rPr>
          <w:rFonts w:ascii="Times New Roman" w:hAnsi="Times New Roman" w:eastAsia="仿宋_GB2312" w:cs="Times New Roman"/>
          <w:sz w:val="32"/>
          <w:szCs w:val="32"/>
        </w:rPr>
        <w:t>%，决算数大于年初预算数的主要原因是：土地储备专项项目资金按照管理要求未纳入年初部门预算编制，在年度执行中按程序追加安排土地收储、前期开发及储备地块管护等项目资金，相应形成年度支出，造成决算支出较年初预算增幅较大</w:t>
      </w:r>
      <w:r>
        <w:rPr>
          <w:rFonts w:ascii="宋体" w:hAnsi="宋体" w:eastAsia="宋体" w:cs="宋体"/>
          <w:sz w:val="24"/>
          <w:szCs w:val="24"/>
        </w:rPr>
        <w:t>。</w:t>
      </w:r>
    </w:p>
    <w:p w14:paraId="0BADC5F0">
      <w:pPr>
        <w:pStyle w:val="14"/>
        <w:overflowPunct w:val="0"/>
        <w:autoSpaceDE/>
        <w:autoSpaceDN/>
        <w:spacing w:line="600" w:lineRule="exact"/>
        <w:ind w:firstLine="640" w:firstLineChars="200"/>
        <w:jc w:val="both"/>
        <w:rPr>
          <w:rFonts w:hint="eastAsia" w:ascii="Times New Roman" w:hAnsi="Times New Roman" w:cs="Times New Roman"/>
          <w:b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cs="Times New Roman"/>
          <w:b/>
          <w:bCs w:val="0"/>
          <w:sz w:val="32"/>
          <w:szCs w:val="32"/>
          <w:lang w:val="en-US" w:eastAsia="zh-CN"/>
        </w:rPr>
        <w:t>九、国有资本经营预算收入支出</w:t>
      </w:r>
      <w:r>
        <w:rPr>
          <w:rFonts w:hint="eastAsia" w:ascii="Times New Roman" w:hAnsi="Times New Roman" w:cs="Times New Roman"/>
          <w:b/>
          <w:bCs w:val="0"/>
          <w:sz w:val="32"/>
          <w:szCs w:val="32"/>
        </w:rPr>
        <w:t>决算情况</w:t>
      </w:r>
      <w:r>
        <w:rPr>
          <w:rFonts w:hint="eastAsia" w:ascii="Times New Roman" w:hAnsi="Times New Roman" w:cs="Times New Roman"/>
          <w:b/>
          <w:bCs w:val="0"/>
          <w:sz w:val="32"/>
          <w:szCs w:val="32"/>
          <w:lang w:val="en-US" w:eastAsia="zh-CN"/>
        </w:rPr>
        <w:t>说明</w:t>
      </w:r>
    </w:p>
    <w:p w14:paraId="51C6D1A4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textAlignment w:val="auto"/>
        <w:rPr>
          <w:rFonts w:ascii="宋体" w:hAnsi="宋体" w:eastAsia="宋体" w:cs="宋体"/>
          <w:sz w:val="24"/>
          <w:szCs w:val="24"/>
        </w:rPr>
      </w:pP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2025</w:t>
      </w:r>
      <w:r>
        <w:rPr>
          <w:rFonts w:hint="eastAsia" w:ascii="Times New Roman" w:hAnsi="Times New Roman" w:eastAsia="仿宋_GB2312"/>
          <w:sz w:val="32"/>
          <w:szCs w:val="32"/>
        </w:rPr>
        <w:t>年度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本部门无国有资本经营预算收支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。</w:t>
      </w:r>
    </w:p>
    <w:p w14:paraId="5FA8EBC0">
      <w:pPr>
        <w:pStyle w:val="14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cs="Times New Roman"/>
          <w:b/>
          <w:bCs w:val="0"/>
          <w:sz w:val="32"/>
          <w:szCs w:val="32"/>
        </w:rPr>
      </w:pPr>
      <w:r>
        <w:rPr>
          <w:rFonts w:hint="eastAsia" w:ascii="Times New Roman" w:hAnsi="Times New Roman" w:cs="Times New Roman"/>
          <w:b/>
          <w:bCs w:val="0"/>
          <w:sz w:val="32"/>
          <w:szCs w:val="32"/>
          <w:lang w:eastAsia="zh-CN"/>
        </w:rPr>
        <w:t>十</w:t>
      </w:r>
      <w:r>
        <w:rPr>
          <w:rFonts w:ascii="Times New Roman" w:hAnsi="Times New Roman" w:cs="Times New Roman"/>
          <w:b/>
          <w:bCs w:val="0"/>
          <w:sz w:val="32"/>
          <w:szCs w:val="32"/>
        </w:rPr>
        <w:t>、关于机关运行经费支出说明</w:t>
      </w:r>
    </w:p>
    <w:p w14:paraId="4014BFEF">
      <w:pPr>
        <w:pStyle w:val="14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eastAsia="仿宋_GB2312" w:cs="Times New Roman"/>
          <w:sz w:val="32"/>
          <w:szCs w:val="32"/>
          <w:highlight w:val="yellow"/>
        </w:rPr>
      </w:pPr>
      <w:r>
        <w:rPr>
          <w:rFonts w:ascii="Times New Roman" w:hAnsi="Times New Roman" w:eastAsia="仿宋_GB2312" w:cs="Times New Roman"/>
          <w:sz w:val="32"/>
          <w:szCs w:val="32"/>
          <w:highlight w:val="none"/>
        </w:rPr>
        <w:t>本部门202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5</w:t>
      </w:r>
      <w:r>
        <w:rPr>
          <w:rFonts w:ascii="Times New Roman" w:hAnsi="Times New Roman" w:eastAsia="仿宋_GB2312" w:cs="Times New Roman"/>
          <w:sz w:val="32"/>
          <w:szCs w:val="32"/>
          <w:highlight w:val="none"/>
        </w:rPr>
        <w:t>年度机关运行经费支出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0</w:t>
      </w:r>
      <w:r>
        <w:rPr>
          <w:rFonts w:ascii="Times New Roman" w:hAnsi="Times New Roman" w:eastAsia="仿宋_GB2312" w:cs="Times New Roman"/>
          <w:sz w:val="32"/>
          <w:szCs w:val="32"/>
          <w:highlight w:val="none"/>
        </w:rPr>
        <w:t>万元，比年初预算数增加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0</w:t>
      </w:r>
      <w:r>
        <w:rPr>
          <w:rFonts w:ascii="Times New Roman" w:hAnsi="Times New Roman" w:eastAsia="仿宋_GB2312" w:cs="Times New Roman"/>
          <w:sz w:val="32"/>
          <w:szCs w:val="32"/>
          <w:highlight w:val="none"/>
        </w:rPr>
        <w:t>万元，增长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0</w:t>
      </w:r>
      <w:r>
        <w:rPr>
          <w:rFonts w:ascii="Times New Roman" w:hAnsi="Times New Roman" w:eastAsia="仿宋_GB2312" w:cs="Times New Roman"/>
          <w:sz w:val="32"/>
          <w:szCs w:val="32"/>
          <w:highlight w:val="none"/>
        </w:rPr>
        <w:t>%。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eastAsia="zh-CN"/>
        </w:rPr>
        <w:t>持平的</w:t>
      </w:r>
      <w:r>
        <w:rPr>
          <w:rFonts w:ascii="Times New Roman" w:hAnsi="Times New Roman" w:eastAsia="仿宋_GB2312" w:cs="Times New Roman"/>
          <w:sz w:val="32"/>
          <w:szCs w:val="32"/>
          <w:highlight w:val="none"/>
        </w:rPr>
        <w:t>主要原因是：本单位为公益二类事业单位，不属于行政单位及参照公务员法管理事业单位，无机关运行经费。</w:t>
      </w:r>
    </w:p>
    <w:p w14:paraId="04E0752E">
      <w:pPr>
        <w:pStyle w:val="14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cs="Times New Roman"/>
          <w:b/>
          <w:bCs w:val="0"/>
          <w:sz w:val="32"/>
          <w:szCs w:val="32"/>
        </w:rPr>
      </w:pPr>
      <w:r>
        <w:rPr>
          <w:rFonts w:ascii="Times New Roman" w:hAnsi="Times New Roman" w:cs="Times New Roman"/>
          <w:b/>
          <w:bCs w:val="0"/>
          <w:sz w:val="32"/>
          <w:szCs w:val="32"/>
        </w:rPr>
        <w:t>十</w:t>
      </w:r>
      <w:r>
        <w:rPr>
          <w:rFonts w:hint="eastAsia" w:ascii="Times New Roman" w:hAnsi="Times New Roman" w:cs="Times New Roman"/>
          <w:b/>
          <w:bCs w:val="0"/>
          <w:sz w:val="32"/>
          <w:szCs w:val="32"/>
          <w:lang w:eastAsia="zh-CN"/>
        </w:rPr>
        <w:t>一</w:t>
      </w:r>
      <w:r>
        <w:rPr>
          <w:rFonts w:ascii="Times New Roman" w:hAnsi="Times New Roman" w:cs="Times New Roman"/>
          <w:b/>
          <w:bCs w:val="0"/>
          <w:sz w:val="32"/>
          <w:szCs w:val="32"/>
        </w:rPr>
        <w:t>、一般性支出情况说明</w:t>
      </w:r>
    </w:p>
    <w:p w14:paraId="79851023">
      <w:pPr>
        <w:pStyle w:val="14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eastAsia="楷体" w:cs="Times New Roman"/>
          <w:b/>
          <w:bCs/>
          <w:i/>
          <w:color w:val="auto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202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</w:t>
      </w:r>
      <w:r>
        <w:rPr>
          <w:rFonts w:ascii="Times New Roman" w:hAnsi="Times New Roman" w:eastAsia="仿宋_GB2312" w:cs="Times New Roman"/>
          <w:sz w:val="32"/>
          <w:szCs w:val="32"/>
        </w:rPr>
        <w:t>年本部门开支会议费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sz w:val="32"/>
          <w:szCs w:val="32"/>
        </w:rPr>
        <w:t>万元，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未开展会议</w:t>
      </w:r>
      <w:r>
        <w:rPr>
          <w:rFonts w:ascii="Times New Roman" w:hAnsi="Times New Roman" w:eastAsia="仿宋_GB2312" w:cs="Times New Roman"/>
          <w:sz w:val="32"/>
          <w:szCs w:val="32"/>
        </w:rPr>
        <w:t>；开支培训费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sz w:val="32"/>
          <w:szCs w:val="32"/>
        </w:rPr>
        <w:t>万元，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未开展培训</w:t>
      </w:r>
      <w:r>
        <w:rPr>
          <w:rFonts w:ascii="Times New Roman" w:hAnsi="Times New Roman" w:eastAsia="仿宋_GB2312" w:cs="Times New Roman"/>
          <w:sz w:val="32"/>
          <w:szCs w:val="32"/>
        </w:rPr>
        <w:t>；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未</w:t>
      </w:r>
      <w:r>
        <w:rPr>
          <w:rFonts w:ascii="Times New Roman" w:hAnsi="Times New Roman" w:eastAsia="仿宋_GB2312" w:cs="Times New Roman"/>
          <w:sz w:val="32"/>
          <w:szCs w:val="32"/>
        </w:rPr>
        <w:t>举办节庆、晚会、论坛、赛事活动，开支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sz w:val="32"/>
          <w:szCs w:val="32"/>
        </w:rPr>
        <w:t>万元。</w:t>
      </w:r>
    </w:p>
    <w:p w14:paraId="7DB476F0">
      <w:pPr>
        <w:pStyle w:val="14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cs="Times New Roman"/>
          <w:b/>
          <w:bCs w:val="0"/>
          <w:sz w:val="32"/>
          <w:szCs w:val="32"/>
        </w:rPr>
      </w:pPr>
      <w:r>
        <w:rPr>
          <w:rFonts w:ascii="Times New Roman" w:hAnsi="Times New Roman" w:cs="Times New Roman"/>
          <w:b/>
          <w:bCs w:val="0"/>
          <w:sz w:val="32"/>
          <w:szCs w:val="32"/>
        </w:rPr>
        <w:t>十</w:t>
      </w:r>
      <w:r>
        <w:rPr>
          <w:rFonts w:hint="eastAsia" w:ascii="Times New Roman" w:hAnsi="Times New Roman" w:cs="Times New Roman"/>
          <w:b/>
          <w:bCs w:val="0"/>
          <w:sz w:val="32"/>
          <w:szCs w:val="32"/>
          <w:lang w:eastAsia="zh-CN"/>
        </w:rPr>
        <w:t>二</w:t>
      </w:r>
      <w:r>
        <w:rPr>
          <w:rFonts w:ascii="Times New Roman" w:hAnsi="Times New Roman" w:cs="Times New Roman"/>
          <w:b/>
          <w:bCs w:val="0"/>
          <w:sz w:val="32"/>
          <w:szCs w:val="32"/>
        </w:rPr>
        <w:t>、关于政府采购支出说明</w:t>
      </w:r>
    </w:p>
    <w:p w14:paraId="0FF89B0F">
      <w:pPr>
        <w:pStyle w:val="14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本部门202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</w:t>
      </w:r>
      <w:r>
        <w:rPr>
          <w:rFonts w:ascii="Times New Roman" w:hAnsi="Times New Roman" w:eastAsia="仿宋_GB2312" w:cs="Times New Roman"/>
          <w:sz w:val="32"/>
          <w:szCs w:val="32"/>
        </w:rPr>
        <w:t>年度政府采购支出总额</w:t>
      </w:r>
      <w:r>
        <w:rPr>
          <w:rFonts w:hint="eastAsia" w:ascii="仿宋" w:hAnsi="仿宋" w:eastAsia="仿宋" w:cs="Times New Roman"/>
          <w:spacing w:val="-2"/>
          <w:sz w:val="32"/>
          <w:szCs w:val="32"/>
          <w:lang w:val="en-US" w:eastAsia="zh-CN"/>
        </w:rPr>
        <w:t>84.20</w:t>
      </w:r>
      <w:r>
        <w:rPr>
          <w:rFonts w:ascii="Times New Roman" w:hAnsi="Times New Roman" w:eastAsia="仿宋_GB2312" w:cs="Times New Roman"/>
          <w:sz w:val="32"/>
          <w:szCs w:val="32"/>
        </w:rPr>
        <w:t>万元，其中：政府采购货物支出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0.53</w:t>
      </w:r>
      <w:r>
        <w:rPr>
          <w:rFonts w:ascii="Times New Roman" w:hAnsi="Times New Roman" w:eastAsia="仿宋_GB2312" w:cs="Times New Roman"/>
          <w:sz w:val="32"/>
          <w:szCs w:val="32"/>
        </w:rPr>
        <w:t xml:space="preserve"> 万元、政府采购工程支出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sz w:val="32"/>
          <w:szCs w:val="32"/>
        </w:rPr>
        <w:t>万元、政府采购服务支出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83.67</w:t>
      </w:r>
      <w:r>
        <w:rPr>
          <w:rFonts w:ascii="Times New Roman" w:hAnsi="Times New Roman" w:eastAsia="仿宋_GB2312" w:cs="Times New Roman"/>
          <w:sz w:val="32"/>
          <w:szCs w:val="32"/>
        </w:rPr>
        <w:t>万元。授予中小企业合同金额</w:t>
      </w:r>
      <w:r>
        <w:rPr>
          <w:rFonts w:hint="eastAsia" w:ascii="仿宋" w:hAnsi="仿宋" w:eastAsia="仿宋" w:cs="Times New Roman"/>
          <w:spacing w:val="-2"/>
          <w:sz w:val="32"/>
          <w:szCs w:val="32"/>
          <w:lang w:val="en-US" w:eastAsia="zh-CN"/>
        </w:rPr>
        <w:t>84.20</w:t>
      </w:r>
      <w:r>
        <w:rPr>
          <w:rFonts w:ascii="Times New Roman" w:hAnsi="Times New Roman" w:eastAsia="仿宋_GB2312" w:cs="Times New Roman"/>
          <w:sz w:val="32"/>
          <w:szCs w:val="32"/>
        </w:rPr>
        <w:t>万元，占政府采购支出总额的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100</w:t>
      </w:r>
      <w:r>
        <w:rPr>
          <w:rFonts w:ascii="Times New Roman" w:hAnsi="Times New Roman" w:eastAsia="仿宋_GB2312" w:cs="Times New Roman"/>
          <w:sz w:val="32"/>
          <w:szCs w:val="32"/>
        </w:rPr>
        <w:t>%，其中：授予小微企业合同金额</w:t>
      </w:r>
      <w:r>
        <w:rPr>
          <w:rFonts w:hint="eastAsia" w:ascii="仿宋" w:hAnsi="仿宋" w:eastAsia="仿宋" w:cs="Times New Roman"/>
          <w:spacing w:val="-2"/>
          <w:sz w:val="32"/>
          <w:szCs w:val="32"/>
          <w:lang w:val="en-US" w:eastAsia="zh-CN"/>
        </w:rPr>
        <w:t>84.20</w:t>
      </w:r>
      <w:r>
        <w:rPr>
          <w:rFonts w:ascii="Times New Roman" w:hAnsi="Times New Roman" w:eastAsia="仿宋_GB2312" w:cs="Times New Roman"/>
          <w:sz w:val="32"/>
          <w:szCs w:val="32"/>
        </w:rPr>
        <w:t>万元，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占授予中小企业合同金额的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100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%。货物采购授予中小企业合同金额占货物支出金额的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0.63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%，工程采购授予中小企业合同金额占工程支出金额的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%，服务采购授予中小企业合同金额占服务支出金额的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99.37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%。</w:t>
      </w:r>
    </w:p>
    <w:p w14:paraId="78909E06">
      <w:pPr>
        <w:pStyle w:val="14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cs="Times New Roman"/>
          <w:b/>
          <w:bCs w:val="0"/>
          <w:color w:val="auto"/>
          <w:sz w:val="32"/>
          <w:szCs w:val="32"/>
        </w:rPr>
      </w:pPr>
      <w:r>
        <w:rPr>
          <w:rFonts w:ascii="Times New Roman" w:hAnsi="Times New Roman" w:cs="Times New Roman"/>
          <w:b/>
          <w:bCs w:val="0"/>
          <w:color w:val="auto"/>
          <w:sz w:val="32"/>
          <w:szCs w:val="32"/>
        </w:rPr>
        <w:t>十</w:t>
      </w:r>
      <w:r>
        <w:rPr>
          <w:rFonts w:hint="eastAsia" w:ascii="Times New Roman" w:hAnsi="Times New Roman" w:cs="Times New Roman"/>
          <w:b/>
          <w:bCs w:val="0"/>
          <w:color w:val="auto"/>
          <w:sz w:val="32"/>
          <w:szCs w:val="32"/>
          <w:lang w:eastAsia="zh-CN"/>
        </w:rPr>
        <w:t>三</w:t>
      </w:r>
      <w:r>
        <w:rPr>
          <w:rFonts w:ascii="Times New Roman" w:hAnsi="Times New Roman" w:cs="Times New Roman"/>
          <w:b/>
          <w:bCs w:val="0"/>
          <w:color w:val="auto"/>
          <w:sz w:val="32"/>
          <w:szCs w:val="32"/>
        </w:rPr>
        <w:t>、关于国有资产占用情况说明</w:t>
      </w:r>
    </w:p>
    <w:p w14:paraId="4982890D">
      <w:pPr>
        <w:pStyle w:val="14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jc w:val="both"/>
        <w:textAlignment w:val="auto"/>
        <w:rPr>
          <w:rFonts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ascii="Times New Roman" w:hAnsi="Times New Roman" w:eastAsia="仿宋_GB2312" w:cs="Times New Roman"/>
          <w:color w:val="auto"/>
          <w:sz w:val="32"/>
          <w:szCs w:val="32"/>
        </w:rPr>
        <w:t>截至202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5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年12月31日，部门（单位）共有车辆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辆，其中，副部（省）级及以上领导用车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辆、主要负责人用车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辆、机要通信用车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辆、应急保障用车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辆、执法执勤用车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辆、特种专业技术用车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辆、离退休干部服务用车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辆、其他用车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辆，其他用车主要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是一般公务用车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；单位价值100万元以上设备（不含车辆）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台（套）。</w:t>
      </w:r>
    </w:p>
    <w:p w14:paraId="0E23A2F0">
      <w:pPr>
        <w:pStyle w:val="14"/>
        <w:overflowPunct w:val="0"/>
        <w:autoSpaceDE/>
        <w:autoSpaceDN/>
        <w:spacing w:line="600" w:lineRule="exact"/>
        <w:ind w:firstLine="640" w:firstLineChars="200"/>
        <w:jc w:val="both"/>
        <w:rPr>
          <w:rFonts w:ascii="Times New Roman" w:hAnsi="Times New Roman" w:cs="Times New Roman"/>
          <w:b/>
          <w:bCs w:val="0"/>
          <w:color w:val="auto"/>
          <w:sz w:val="32"/>
          <w:szCs w:val="32"/>
        </w:rPr>
      </w:pPr>
      <w:r>
        <w:rPr>
          <w:rFonts w:ascii="Times New Roman" w:hAnsi="Times New Roman" w:cs="Times New Roman"/>
          <w:b/>
          <w:bCs w:val="0"/>
          <w:color w:val="auto"/>
          <w:sz w:val="32"/>
          <w:szCs w:val="32"/>
        </w:rPr>
        <w:t>十</w:t>
      </w:r>
      <w:r>
        <w:rPr>
          <w:rFonts w:hint="eastAsia" w:ascii="Times New Roman" w:hAnsi="Times New Roman" w:cs="Times New Roman"/>
          <w:b/>
          <w:bCs w:val="0"/>
          <w:color w:val="auto"/>
          <w:sz w:val="32"/>
          <w:szCs w:val="32"/>
          <w:lang w:eastAsia="zh-CN"/>
        </w:rPr>
        <w:t>四</w:t>
      </w:r>
      <w:r>
        <w:rPr>
          <w:rFonts w:ascii="Times New Roman" w:hAnsi="Times New Roman" w:cs="Times New Roman"/>
          <w:b/>
          <w:bCs w:val="0"/>
          <w:color w:val="auto"/>
          <w:sz w:val="32"/>
          <w:szCs w:val="32"/>
        </w:rPr>
        <w:t>、关于</w:t>
      </w:r>
      <w:r>
        <w:rPr>
          <w:rFonts w:ascii="Times New Roman" w:hAnsi="Times New Roman" w:eastAsia="仿宋_GB2312" w:cs="Times New Roman"/>
          <w:b/>
          <w:bCs w:val="0"/>
          <w:color w:val="auto"/>
          <w:sz w:val="32"/>
          <w:szCs w:val="32"/>
        </w:rPr>
        <w:t>202</w:t>
      </w:r>
      <w:r>
        <w:rPr>
          <w:rFonts w:hint="eastAsia" w:ascii="Times New Roman" w:hAnsi="Times New Roman" w:eastAsia="仿宋_GB2312" w:cs="Times New Roman"/>
          <w:b/>
          <w:bCs w:val="0"/>
          <w:color w:val="auto"/>
          <w:sz w:val="32"/>
          <w:szCs w:val="32"/>
          <w:lang w:val="en-US" w:eastAsia="zh-CN"/>
        </w:rPr>
        <w:t>5</w:t>
      </w:r>
      <w:r>
        <w:rPr>
          <w:rFonts w:ascii="Times New Roman" w:hAnsi="Times New Roman" w:cs="Times New Roman"/>
          <w:b/>
          <w:bCs w:val="0"/>
          <w:color w:val="auto"/>
          <w:sz w:val="32"/>
          <w:szCs w:val="32"/>
        </w:rPr>
        <w:t>年度预算绩效情况的说明</w:t>
      </w:r>
    </w:p>
    <w:p w14:paraId="7737144E">
      <w:pPr>
        <w:overflowPunct w:val="0"/>
        <w:spacing w:line="600" w:lineRule="exact"/>
        <w:ind w:firstLine="640" w:firstLineChars="200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ascii="Times New Roman" w:hAnsi="Times New Roman" w:eastAsia="楷体_GB2312" w:cs="Times New Roman"/>
          <w:b/>
          <w:bCs/>
          <w:sz w:val="32"/>
          <w:szCs w:val="32"/>
        </w:rPr>
        <w:t>（一）绩效评价工作开展情况。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组织对202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5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年度本部门整体支出开展绩效自评，涉及项目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1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 xml:space="preserve"> 个，共涉及资金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92921.8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万元。其中，一般公共预算项目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 xml:space="preserve"> 个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万元，占一般公共预算支出总额的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%；政府性基金预算项目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1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个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92921.8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 xml:space="preserve"> 万元，占政府性基金预算支出总额的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100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%；国有资本经营预算项目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 xml:space="preserve"> 个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万元，占国有资本经营预算支出总额的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%；社会保险基金预算项目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 xml:space="preserve"> 个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万元，占社会保险基金预算支出总额的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%。</w:t>
      </w:r>
    </w:p>
    <w:p w14:paraId="4EF1DC56">
      <w:pPr>
        <w:widowControl/>
        <w:shd w:val="clear" w:color="auto" w:fill="FFFFFF"/>
        <w:spacing w:line="600" w:lineRule="atLeast"/>
        <w:ind w:firstLine="640"/>
        <w:rPr>
          <w:rFonts w:hint="eastAsia" w:ascii="仿宋" w:hAnsi="仿宋" w:eastAsia="仿宋" w:cs="Times New Roman"/>
          <w:spacing w:val="-2"/>
          <w:sz w:val="32"/>
          <w:szCs w:val="32"/>
          <w:lang w:val="en-US" w:eastAsia="zh-CN"/>
        </w:rPr>
      </w:pPr>
      <w:r>
        <w:rPr>
          <w:rFonts w:ascii="Times New Roman" w:hAnsi="Times New Roman" w:eastAsia="楷体_GB2312" w:cs="Times New Roman"/>
          <w:b/>
          <w:bCs/>
          <w:sz w:val="32"/>
          <w:szCs w:val="32"/>
        </w:rPr>
        <w:t>（二）绩效评价结果。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202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5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年度本部门整体支出</w:t>
      </w:r>
      <w:r>
        <w:rPr>
          <w:rFonts w:ascii="Times New Roman" w:hAnsi="Times New Roman" w:eastAsia="仿宋_GB2312" w:cs="Times New Roman"/>
          <w:sz w:val="32"/>
          <w:szCs w:val="32"/>
        </w:rPr>
        <w:t>全年预算数</w:t>
      </w:r>
      <w:r>
        <w:rPr>
          <w:rFonts w:hint="eastAsia" w:ascii="仿宋" w:hAnsi="仿宋" w:eastAsia="仿宋" w:cs="Times New Roman"/>
          <w:spacing w:val="-2"/>
          <w:sz w:val="32"/>
          <w:szCs w:val="32"/>
          <w:lang w:val="en-US" w:eastAsia="zh-CN"/>
        </w:rPr>
        <w:t>95556.49</w:t>
      </w:r>
      <w:r>
        <w:rPr>
          <w:rFonts w:ascii="Times New Roman" w:hAnsi="Times New Roman" w:eastAsia="仿宋_GB2312" w:cs="Times New Roman"/>
          <w:sz w:val="32"/>
          <w:szCs w:val="32"/>
        </w:rPr>
        <w:t>万元，执行数</w:t>
      </w:r>
      <w:r>
        <w:rPr>
          <w:rFonts w:hint="eastAsia" w:ascii="仿宋" w:hAnsi="仿宋" w:eastAsia="仿宋" w:cs="Times New Roman"/>
          <w:spacing w:val="-2"/>
          <w:sz w:val="32"/>
          <w:szCs w:val="32"/>
          <w:lang w:val="en-US" w:eastAsia="zh-CN"/>
        </w:rPr>
        <w:t>93367.04</w:t>
      </w:r>
      <w:r>
        <w:rPr>
          <w:rFonts w:ascii="Times New Roman" w:hAnsi="Times New Roman" w:eastAsia="仿宋_GB2312" w:cs="Times New Roman"/>
          <w:sz w:val="32"/>
          <w:szCs w:val="32"/>
        </w:rPr>
        <w:t>万元，完成预算的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97.71</w:t>
      </w:r>
      <w:r>
        <w:rPr>
          <w:rFonts w:ascii="Times New Roman" w:hAnsi="Times New Roman" w:eastAsia="仿宋_GB2312" w:cs="Times New Roman"/>
          <w:sz w:val="32"/>
          <w:szCs w:val="32"/>
        </w:rPr>
        <w:t>%，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绩效自评得分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99.77</w:t>
      </w:r>
      <w:r>
        <w:rPr>
          <w:rFonts w:ascii="Times New Roman" w:hAnsi="Times New Roman" w:eastAsia="仿宋_GB2312" w:cs="Times New Roman"/>
          <w:sz w:val="32"/>
          <w:szCs w:val="32"/>
        </w:rPr>
        <w:t>分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，评价等级为</w:t>
      </w:r>
      <w:r>
        <w:rPr>
          <w:rFonts w:ascii="Times New Roman" w:hAnsi="Times New Roman" w:eastAsia="仿宋_GB2312" w:cs="Times New Roman"/>
          <w:sz w:val="32"/>
          <w:szCs w:val="32"/>
        </w:rPr>
        <w:t>“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优</w:t>
      </w:r>
      <w:r>
        <w:rPr>
          <w:rFonts w:ascii="Times New Roman" w:hAnsi="Times New Roman" w:eastAsia="仿宋_GB2312" w:cs="Times New Roman"/>
          <w:sz w:val="32"/>
          <w:szCs w:val="32"/>
        </w:rPr>
        <w:t>”。绩效目标完成情况：一是</w:t>
      </w:r>
      <w:r>
        <w:rPr>
          <w:rFonts w:hint="eastAsia" w:ascii="仿宋" w:hAnsi="仿宋" w:eastAsia="仿宋" w:cs="Times New Roman"/>
          <w:spacing w:val="-2"/>
          <w:sz w:val="32"/>
          <w:szCs w:val="32"/>
          <w:lang w:val="en-US" w:eastAsia="zh-CN"/>
        </w:rPr>
        <w:t>2025年我中心紧紧围绕“保发展、保重点、保民生”的总体目标，主动作为、精准施策，累计完成新增土地出入库共计102宗，总面积约8123.24亩，整体推进节奏有序、成效显著，圆满完成年度目标任务</w:t>
      </w:r>
      <w:r>
        <w:rPr>
          <w:rFonts w:ascii="Times New Roman" w:hAnsi="Times New Roman" w:eastAsia="仿宋_GB2312" w:cs="Times New Roman"/>
          <w:sz w:val="32"/>
          <w:szCs w:val="32"/>
        </w:rPr>
        <w:t>；二是</w:t>
      </w:r>
      <w:r>
        <w:rPr>
          <w:rFonts w:hint="eastAsia" w:ascii="仿宋" w:hAnsi="仿宋" w:eastAsia="仿宋" w:cs="Times New Roman"/>
          <w:spacing w:val="-2"/>
          <w:sz w:val="32"/>
          <w:szCs w:val="32"/>
          <w:lang w:val="en-US" w:eastAsia="zh-CN"/>
        </w:rPr>
        <w:t>在土地报批方面，我中心坚持“提前介入、主动服务、全程跟踪”的工作理念，全年共启动新增报批项目4个，总面积为2.7409公顷（即41.1亩）</w:t>
      </w:r>
      <w:r>
        <w:rPr>
          <w:rFonts w:ascii="Times New Roman" w:hAnsi="Times New Roman" w:eastAsia="仿宋_GB2312" w:cs="Times New Roman"/>
          <w:sz w:val="32"/>
          <w:szCs w:val="32"/>
        </w:rPr>
        <w:t>。发现的主要问题及原因：一是</w:t>
      </w:r>
      <w:r>
        <w:rPr>
          <w:rFonts w:hint="eastAsia" w:ascii="仿宋" w:hAnsi="仿宋" w:eastAsia="仿宋" w:cs="Times New Roman"/>
          <w:spacing w:val="-2"/>
          <w:sz w:val="32"/>
          <w:szCs w:val="32"/>
          <w:lang w:val="en-US" w:eastAsia="zh-CN"/>
        </w:rPr>
        <w:t>绩效评价管理制度尚不健全</w:t>
      </w:r>
      <w:r>
        <w:rPr>
          <w:rFonts w:ascii="Times New Roman" w:hAnsi="Times New Roman" w:eastAsia="仿宋_GB2312" w:cs="Times New Roman"/>
          <w:sz w:val="32"/>
          <w:szCs w:val="32"/>
        </w:rPr>
        <w:t>；二是</w:t>
      </w:r>
      <w:r>
        <w:rPr>
          <w:rFonts w:hint="eastAsia" w:ascii="仿宋" w:hAnsi="仿宋" w:eastAsia="仿宋" w:cs="Times New Roman"/>
          <w:spacing w:val="-2"/>
          <w:sz w:val="32"/>
          <w:szCs w:val="32"/>
          <w:lang w:val="en-US" w:eastAsia="zh-CN"/>
        </w:rPr>
        <w:t>绩效评价指标体系还不够完善、合理</w:t>
      </w:r>
      <w:r>
        <w:rPr>
          <w:rFonts w:ascii="Times New Roman" w:hAnsi="Times New Roman" w:eastAsia="仿宋_GB2312" w:cs="Times New Roman"/>
          <w:sz w:val="32"/>
          <w:szCs w:val="32"/>
        </w:rPr>
        <w:t>。下一步改进措施：一是</w:t>
      </w:r>
      <w:r>
        <w:rPr>
          <w:rFonts w:hint="eastAsia" w:ascii="仿宋" w:hAnsi="仿宋" w:eastAsia="仿宋" w:cs="Times New Roman"/>
          <w:spacing w:val="-2"/>
          <w:sz w:val="32"/>
          <w:szCs w:val="32"/>
          <w:lang w:val="en-US" w:eastAsia="zh-CN"/>
        </w:rPr>
        <w:t>加强预算管理，科学编制预算</w:t>
      </w:r>
      <w:r>
        <w:rPr>
          <w:rFonts w:ascii="Times New Roman" w:hAnsi="Times New Roman" w:eastAsia="仿宋_GB2312" w:cs="Times New Roman"/>
          <w:sz w:val="32"/>
          <w:szCs w:val="32"/>
        </w:rPr>
        <w:t>；二是</w:t>
      </w:r>
      <w:r>
        <w:rPr>
          <w:rFonts w:hint="eastAsia" w:ascii="仿宋" w:hAnsi="仿宋" w:eastAsia="仿宋" w:cs="Times New Roman"/>
          <w:spacing w:val="-2"/>
          <w:sz w:val="32"/>
          <w:szCs w:val="32"/>
          <w:lang w:val="en-US" w:eastAsia="zh-CN"/>
        </w:rPr>
        <w:t>严格执行部门年度各项计划，确保各项工作顺利进行</w:t>
      </w:r>
      <w:r>
        <w:rPr>
          <w:rFonts w:ascii="Times New Roman" w:hAnsi="Times New Roman" w:eastAsia="仿宋_GB2312" w:cs="Times New Roman"/>
          <w:sz w:val="32"/>
          <w:szCs w:val="32"/>
        </w:rPr>
        <w:t>；</w:t>
      </w:r>
      <w:r>
        <w:rPr>
          <w:rFonts w:hint="eastAsia" w:ascii="仿宋" w:hAnsi="仿宋" w:eastAsia="仿宋" w:cs="Times New Roman"/>
          <w:spacing w:val="-2"/>
          <w:sz w:val="32"/>
          <w:szCs w:val="32"/>
          <w:lang w:val="en-US" w:eastAsia="zh-CN"/>
        </w:rPr>
        <w:t>三是加强与各单位的联系和协作，发挥社会参与功能，整合社会资源，优化资源配置，建立监督机制；加强绩效管理力度，建立绩效评价的长期机制。</w:t>
      </w:r>
    </w:p>
    <w:p w14:paraId="5813FEEF">
      <w:pPr>
        <w:widowControl/>
        <w:shd w:val="clear" w:color="auto" w:fill="FFFFFF"/>
        <w:spacing w:line="600" w:lineRule="atLeast"/>
        <w:ind w:firstLine="640"/>
        <w:rPr>
          <w:rFonts w:hint="eastAsia" w:ascii="仿宋" w:hAnsi="仿宋" w:eastAsia="仿宋" w:cs="Times New Roman"/>
          <w:spacing w:val="-2"/>
          <w:sz w:val="32"/>
          <w:szCs w:val="32"/>
          <w:lang w:val="en-US" w:eastAsia="zh-CN"/>
        </w:rPr>
      </w:pPr>
      <w:r>
        <w:rPr>
          <w:rFonts w:ascii="Times New Roman" w:hAnsi="Times New Roman" w:eastAsia="楷体_GB2312" w:cs="Times New Roman"/>
          <w:b/>
          <w:bCs/>
          <w:color w:val="auto"/>
          <w:kern w:val="2"/>
          <w:sz w:val="32"/>
          <w:szCs w:val="32"/>
        </w:rPr>
        <w:t>（三）评价结果应用情况。</w:t>
      </w:r>
      <w:r>
        <w:rPr>
          <w:rFonts w:hint="eastAsia" w:ascii="仿宋" w:hAnsi="仿宋" w:eastAsia="仿宋" w:cs="Times New Roman"/>
          <w:spacing w:val="-2"/>
          <w:sz w:val="32"/>
          <w:szCs w:val="32"/>
          <w:lang w:val="en-US" w:eastAsia="zh-CN"/>
        </w:rPr>
        <w:t>认真落实预算绩效管理要求，扎实开展绩效监控、绩效自评及绩效评价结果应用工作。一是将绩效评价结果作为下一年度预算编制重要依据。二是强化绩效结果公开，自觉接受监督，牢固树立厉行节约理念，严控一般性支出，不断提升土地储备项目管理水平。</w:t>
      </w:r>
    </w:p>
    <w:p w14:paraId="45FE07A1">
      <w:pPr>
        <w:pStyle w:val="14"/>
        <w:jc w:val="center"/>
        <w:rPr>
          <w:rFonts w:ascii="Times New Roman" w:hAnsi="Times New Roman" w:cs="Times New Roman"/>
          <w:sz w:val="72"/>
          <w:szCs w:val="72"/>
        </w:rPr>
      </w:pPr>
    </w:p>
    <w:p w14:paraId="73AE04DC">
      <w:pPr>
        <w:pStyle w:val="14"/>
        <w:jc w:val="center"/>
        <w:rPr>
          <w:rFonts w:ascii="Times New Roman" w:hAnsi="Times New Roman" w:cs="Times New Roman"/>
          <w:sz w:val="72"/>
          <w:szCs w:val="72"/>
        </w:rPr>
      </w:pPr>
    </w:p>
    <w:p w14:paraId="5AF5B2AA">
      <w:pPr>
        <w:pStyle w:val="14"/>
        <w:jc w:val="center"/>
        <w:rPr>
          <w:rFonts w:ascii="Times New Roman" w:hAnsi="Times New Roman" w:cs="Times New Roman"/>
          <w:sz w:val="72"/>
          <w:szCs w:val="72"/>
        </w:rPr>
      </w:pPr>
    </w:p>
    <w:p w14:paraId="1B2AF6AE">
      <w:pPr>
        <w:pStyle w:val="14"/>
        <w:numPr>
          <w:ilvl w:val="0"/>
          <w:numId w:val="0"/>
        </w:numPr>
        <w:spacing w:line="360" w:lineRule="auto"/>
        <w:ind w:leftChars="0"/>
        <w:jc w:val="both"/>
        <w:rPr>
          <w:rFonts w:ascii="Times New Roman" w:hAnsi="Times New Roman" w:eastAsia="方正小标宋_GBK" w:cs="Times New Roman"/>
          <w:b/>
          <w:bCs/>
          <w:sz w:val="52"/>
          <w:szCs w:val="52"/>
        </w:rPr>
      </w:pPr>
    </w:p>
    <w:p w14:paraId="6370B50C">
      <w:pPr>
        <w:pStyle w:val="14"/>
        <w:numPr>
          <w:ilvl w:val="0"/>
          <w:numId w:val="0"/>
        </w:numPr>
        <w:spacing w:line="360" w:lineRule="auto"/>
        <w:ind w:leftChars="0"/>
        <w:jc w:val="center"/>
        <w:rPr>
          <w:rFonts w:ascii="Times New Roman" w:hAnsi="Times New Roman" w:eastAsia="方正小标宋_GBK" w:cs="Times New Roman"/>
          <w:b/>
          <w:bCs/>
          <w:sz w:val="52"/>
          <w:szCs w:val="52"/>
        </w:rPr>
      </w:pPr>
      <w:r>
        <w:rPr>
          <w:rFonts w:hint="eastAsia" w:ascii="Times New Roman" w:hAnsi="Times New Roman" w:eastAsia="方正小标宋_GBK" w:cs="Times New Roman"/>
          <w:b/>
          <w:bCs/>
          <w:sz w:val="52"/>
          <w:szCs w:val="52"/>
          <w:lang w:eastAsia="zh-CN"/>
        </w:rPr>
        <w:t>第四部分</w:t>
      </w:r>
      <w:r>
        <w:rPr>
          <w:rFonts w:hint="eastAsia" w:ascii="Times New Roman" w:hAnsi="Times New Roman" w:eastAsia="方正小标宋_GBK" w:cs="Times New Roman"/>
          <w:b/>
          <w:bCs/>
          <w:sz w:val="52"/>
          <w:szCs w:val="52"/>
          <w:lang w:val="en-US" w:eastAsia="zh-CN"/>
        </w:rPr>
        <w:t xml:space="preserve">  </w:t>
      </w:r>
      <w:r>
        <w:rPr>
          <w:rFonts w:ascii="Times New Roman" w:hAnsi="Times New Roman" w:eastAsia="方正小标宋_GBK" w:cs="Times New Roman"/>
          <w:b/>
          <w:bCs/>
          <w:sz w:val="52"/>
          <w:szCs w:val="52"/>
        </w:rPr>
        <w:t>名词解释</w:t>
      </w:r>
    </w:p>
    <w:p w14:paraId="1E060D6E">
      <w:pPr>
        <w:pStyle w:val="14"/>
        <w:numPr>
          <w:ilvl w:val="0"/>
          <w:numId w:val="0"/>
        </w:numPr>
        <w:spacing w:line="360" w:lineRule="auto"/>
        <w:ind w:leftChars="0"/>
        <w:jc w:val="both"/>
        <w:rPr>
          <w:rFonts w:ascii="Times New Roman" w:hAnsi="Times New Roman" w:eastAsia="方正小标宋_GBK" w:cs="Times New Roman"/>
          <w:b/>
          <w:bCs/>
          <w:sz w:val="52"/>
          <w:szCs w:val="52"/>
        </w:rPr>
      </w:pPr>
    </w:p>
    <w:p w14:paraId="0CDCB545">
      <w:pPr>
        <w:widowControl/>
        <w:shd w:val="clear" w:color="auto" w:fill="FFFFFF"/>
        <w:spacing w:line="600" w:lineRule="atLeast"/>
        <w:ind w:firstLine="640"/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楷体_GB2312" w:cs="Times New Roman"/>
          <w:b/>
          <w:bCs/>
          <w:color w:val="auto"/>
          <w:kern w:val="2"/>
          <w:sz w:val="32"/>
          <w:szCs w:val="32"/>
          <w:lang w:val="en-US" w:eastAsia="zh-CN"/>
        </w:rPr>
        <w:t>一、机关运行经费：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为保障行政单位（包括参照公务员法管理的事业单位）运行，用一般公共预算拨款安排用于购买货物和服务的各项资金，包括办公及印刷费、邮电费、差旅费、会议费、福利费、日常维修费、办公用房水电费、办公用房取暖费、办公用房物业管理费、公务用车运行维护费以及其他费用。</w:t>
      </w:r>
    </w:p>
    <w:p w14:paraId="6DF3CC95">
      <w:pPr>
        <w:pStyle w:val="14"/>
        <w:jc w:val="left"/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楷体_GB2312" w:cs="Times New Roman"/>
          <w:b/>
          <w:bCs/>
          <w:color w:val="auto"/>
          <w:kern w:val="2"/>
          <w:sz w:val="32"/>
          <w:szCs w:val="32"/>
          <w:lang w:val="en-US" w:eastAsia="zh-CN"/>
        </w:rPr>
        <w:t xml:space="preserve">   二、“三公”经费：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纳入财政预算管理的“三公“经费，是指用一般公共预算拨款安排的公务接待费、公务用车购置及运行维护费和因公出国（境）费。其中，公务接待费反映单位按规定开支的各类公务接待支出；公务用车购置及运行费反映单位公务用车车辆购置支出（含车辆购置税），以及燃料费、维修费、保险费等支出；因公出国（境）费反映单位公务出国（境）的国际旅费、国外城市间交通费、食宿费等支出。</w:t>
      </w:r>
    </w:p>
    <w:p w14:paraId="53DF1BA3">
      <w:pPr>
        <w:pStyle w:val="14"/>
        <w:jc w:val="center"/>
        <w:rPr>
          <w:rFonts w:ascii="Times New Roman" w:hAnsi="Times New Roman" w:cs="Times New Roman"/>
          <w:sz w:val="72"/>
          <w:szCs w:val="72"/>
        </w:rPr>
      </w:pPr>
    </w:p>
    <w:p w14:paraId="47440B2E">
      <w:pPr>
        <w:pStyle w:val="14"/>
        <w:jc w:val="center"/>
        <w:rPr>
          <w:rFonts w:ascii="Times New Roman" w:hAnsi="Times New Roman" w:cs="Times New Roman"/>
          <w:sz w:val="72"/>
          <w:szCs w:val="72"/>
        </w:rPr>
      </w:pPr>
    </w:p>
    <w:p w14:paraId="5D9648F5">
      <w:pPr>
        <w:pStyle w:val="14"/>
        <w:jc w:val="center"/>
        <w:rPr>
          <w:rFonts w:ascii="Times New Roman" w:hAnsi="Times New Roman" w:cs="Times New Roman"/>
          <w:sz w:val="72"/>
          <w:szCs w:val="72"/>
        </w:rPr>
      </w:pPr>
    </w:p>
    <w:p w14:paraId="4BF634EF">
      <w:pPr>
        <w:pStyle w:val="14"/>
        <w:jc w:val="both"/>
        <w:rPr>
          <w:rFonts w:ascii="Times New Roman" w:hAnsi="Times New Roman" w:cs="Times New Roman"/>
          <w:sz w:val="72"/>
          <w:szCs w:val="72"/>
        </w:rPr>
      </w:pPr>
    </w:p>
    <w:p w14:paraId="7CCBA207">
      <w:pPr>
        <w:pStyle w:val="14"/>
        <w:spacing w:line="360" w:lineRule="auto"/>
        <w:jc w:val="center"/>
        <w:rPr>
          <w:rFonts w:ascii="Times New Roman" w:hAnsi="Times New Roman" w:eastAsia="方正小标宋_GBK" w:cs="Times New Roman"/>
          <w:b/>
          <w:bCs/>
          <w:sz w:val="52"/>
          <w:szCs w:val="52"/>
        </w:rPr>
      </w:pPr>
    </w:p>
    <w:p w14:paraId="5FED9805">
      <w:pPr>
        <w:pStyle w:val="14"/>
        <w:spacing w:line="360" w:lineRule="auto"/>
        <w:jc w:val="center"/>
        <w:rPr>
          <w:rFonts w:ascii="Times New Roman" w:hAnsi="Times New Roman" w:eastAsia="方正小标宋_GBK" w:cs="Times New Roman"/>
          <w:b/>
          <w:bCs/>
          <w:sz w:val="52"/>
          <w:szCs w:val="52"/>
        </w:rPr>
      </w:pPr>
      <w:r>
        <w:rPr>
          <w:rFonts w:ascii="Times New Roman" w:hAnsi="Times New Roman" w:eastAsia="方正小标宋_GBK" w:cs="Times New Roman"/>
          <w:b/>
          <w:bCs/>
          <w:sz w:val="52"/>
          <w:szCs w:val="52"/>
        </w:rPr>
        <w:t>第五部分   附 件</w:t>
      </w:r>
    </w:p>
    <w:p w14:paraId="544D4D48">
      <w:pPr>
        <w:rPr>
          <w:rFonts w:hint="eastAsia" w:ascii="Times New Roman" w:hAnsi="Times New Roman" w:eastAsia="仿宋_GB2312" w:cs="黑体"/>
          <w:color w:val="000000"/>
          <w:kern w:val="0"/>
          <w:sz w:val="32"/>
          <w:szCs w:val="32"/>
          <w:lang w:val="en-US" w:eastAsia="zh-CN" w:bidi="ar-SA"/>
        </w:rPr>
      </w:pPr>
    </w:p>
    <w:p w14:paraId="68C2F5D2">
      <w:pPr>
        <w:rPr>
          <w:rFonts w:hint="eastAsia" w:ascii="Times New Roman" w:hAnsi="Times New Roman" w:eastAsia="仿宋_GB2312" w:cs="黑体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黑体"/>
          <w:color w:val="000000"/>
          <w:kern w:val="0"/>
          <w:sz w:val="32"/>
          <w:szCs w:val="32"/>
          <w:lang w:val="en-US" w:eastAsia="zh-CN" w:bidi="ar-SA"/>
        </w:rPr>
        <w:t>附件一  2025年部门决算公开表</w:t>
      </w:r>
    </w:p>
    <w:p w14:paraId="68FC0263">
      <w:pPr>
        <w:rPr>
          <w:rFonts w:hint="eastAsia" w:ascii="Times New Roman" w:hAnsi="Times New Roman" w:eastAsia="仿宋_GB2312" w:cs="黑体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黑体"/>
          <w:color w:val="000000"/>
          <w:kern w:val="0"/>
          <w:sz w:val="32"/>
          <w:szCs w:val="32"/>
          <w:lang w:val="en-US" w:eastAsia="zh-CN" w:bidi="ar-SA"/>
        </w:rPr>
        <w:t>附件二  2025年绩效自评报告</w:t>
      </w:r>
    </w:p>
    <w:p w14:paraId="06DC1C69">
      <w:pPr>
        <w:pStyle w:val="14"/>
        <w:spacing w:line="60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</w:p>
    <w:p w14:paraId="04B3AEE6">
      <w:pPr>
        <w:pStyle w:val="14"/>
        <w:jc w:val="center"/>
        <w:rPr>
          <w:rFonts w:ascii="Times New Roman" w:hAnsi="Times New Roman" w:cs="Times New Roman"/>
          <w:sz w:val="72"/>
          <w:szCs w:val="72"/>
        </w:rPr>
      </w:pPr>
    </w:p>
    <w:p w14:paraId="40E4127F">
      <w:pPr>
        <w:pStyle w:val="14"/>
        <w:jc w:val="center"/>
        <w:rPr>
          <w:rFonts w:ascii="Times New Roman" w:hAnsi="Times New Roman" w:cs="Times New Roman"/>
          <w:sz w:val="72"/>
          <w:szCs w:val="72"/>
        </w:rPr>
      </w:pPr>
    </w:p>
    <w:p w14:paraId="252593D2">
      <w:pPr>
        <w:jc w:val="left"/>
        <w:rPr>
          <w:rFonts w:ascii="Times New Roman" w:hAnsi="Times New Roman" w:cs="Times New Roman"/>
          <w:color w:val="000000"/>
          <w:kern w:val="0"/>
          <w:sz w:val="32"/>
          <w:szCs w:val="32"/>
        </w:rPr>
      </w:pPr>
    </w:p>
    <w:sectPr>
      <w:pgSz w:w="11906" w:h="16838"/>
      <w:pgMar w:top="1417" w:right="1588" w:bottom="1417" w:left="1588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1BCBCB">
    <w:pPr>
      <w:pStyle w:val="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AB2E35">
    <w:pPr>
      <w:pStyle w:val="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DEA6CA">
    <w:pPr>
      <w:pStyle w:val="6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FD2B42">
    <w:pPr>
      <w:pStyle w:val="6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ED017A0"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K9j2DAsAgAAV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PQa5aFrd5ZHqGj&#10;eN6ujgECtrpGUToleq3QbW1l+smI7fznvo16+hssH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r2PYMC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ED017A0"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20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62D20BF"/>
    <w:multiLevelType w:val="singleLevel"/>
    <w:tmpl w:val="E62D20BF"/>
    <w:lvl w:ilvl="0" w:tentative="0">
      <w:start w:val="2"/>
      <w:numFmt w:val="chineseCounting"/>
      <w:suff w:val="space"/>
      <w:lvlText w:val="第%1部分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NotTrackMoves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D70859"/>
    <w:rsid w:val="00E15234"/>
    <w:rsid w:val="00F325DD"/>
    <w:rsid w:val="016F283F"/>
    <w:rsid w:val="01826A17"/>
    <w:rsid w:val="01A26771"/>
    <w:rsid w:val="01B666C0"/>
    <w:rsid w:val="01B82438"/>
    <w:rsid w:val="01CE4166"/>
    <w:rsid w:val="01F065DD"/>
    <w:rsid w:val="024B1CA8"/>
    <w:rsid w:val="024B505A"/>
    <w:rsid w:val="02502671"/>
    <w:rsid w:val="02B56978"/>
    <w:rsid w:val="03101E00"/>
    <w:rsid w:val="035B108E"/>
    <w:rsid w:val="035B12CD"/>
    <w:rsid w:val="03885E3A"/>
    <w:rsid w:val="03B10EED"/>
    <w:rsid w:val="03C74BB5"/>
    <w:rsid w:val="042A0CA0"/>
    <w:rsid w:val="04561A95"/>
    <w:rsid w:val="0518711D"/>
    <w:rsid w:val="053578FC"/>
    <w:rsid w:val="054B711F"/>
    <w:rsid w:val="05791EDF"/>
    <w:rsid w:val="06620BC5"/>
    <w:rsid w:val="06783F44"/>
    <w:rsid w:val="06BA630B"/>
    <w:rsid w:val="06C32324"/>
    <w:rsid w:val="06D51397"/>
    <w:rsid w:val="07061550"/>
    <w:rsid w:val="077A1F3E"/>
    <w:rsid w:val="079F3753"/>
    <w:rsid w:val="07B436A2"/>
    <w:rsid w:val="07D66D31"/>
    <w:rsid w:val="07E5385B"/>
    <w:rsid w:val="07F95559"/>
    <w:rsid w:val="082F0F7A"/>
    <w:rsid w:val="08365E65"/>
    <w:rsid w:val="08DD09D6"/>
    <w:rsid w:val="09694018"/>
    <w:rsid w:val="0983157E"/>
    <w:rsid w:val="09FC6C3A"/>
    <w:rsid w:val="0A2F0DBE"/>
    <w:rsid w:val="0A3665F0"/>
    <w:rsid w:val="0A717628"/>
    <w:rsid w:val="0A856C30"/>
    <w:rsid w:val="0AD007F3"/>
    <w:rsid w:val="0ADD081A"/>
    <w:rsid w:val="0B09160F"/>
    <w:rsid w:val="0B80238A"/>
    <w:rsid w:val="0B955598"/>
    <w:rsid w:val="0BCB720C"/>
    <w:rsid w:val="0BDC31C7"/>
    <w:rsid w:val="0C1741FF"/>
    <w:rsid w:val="0C776A4C"/>
    <w:rsid w:val="0C9B273A"/>
    <w:rsid w:val="0CB10B0C"/>
    <w:rsid w:val="0CDD2D53"/>
    <w:rsid w:val="0D132C19"/>
    <w:rsid w:val="0D7C256C"/>
    <w:rsid w:val="0DA25D4B"/>
    <w:rsid w:val="0DB85821"/>
    <w:rsid w:val="0DDF2AFB"/>
    <w:rsid w:val="0DFA5B87"/>
    <w:rsid w:val="0E016F15"/>
    <w:rsid w:val="0E2624D8"/>
    <w:rsid w:val="0E3B2427"/>
    <w:rsid w:val="0ED168E7"/>
    <w:rsid w:val="0F1113DA"/>
    <w:rsid w:val="0F5B2655"/>
    <w:rsid w:val="0F7C2CF7"/>
    <w:rsid w:val="0FBA381F"/>
    <w:rsid w:val="10262C63"/>
    <w:rsid w:val="10282537"/>
    <w:rsid w:val="10686DD7"/>
    <w:rsid w:val="108005C5"/>
    <w:rsid w:val="10ED257A"/>
    <w:rsid w:val="1102722C"/>
    <w:rsid w:val="11733EBC"/>
    <w:rsid w:val="119F4A7B"/>
    <w:rsid w:val="11E7150C"/>
    <w:rsid w:val="121D3BF2"/>
    <w:rsid w:val="122F22A3"/>
    <w:rsid w:val="129A3494"/>
    <w:rsid w:val="1348670C"/>
    <w:rsid w:val="13C7650B"/>
    <w:rsid w:val="14215C1B"/>
    <w:rsid w:val="14522278"/>
    <w:rsid w:val="14D64C58"/>
    <w:rsid w:val="15200B35"/>
    <w:rsid w:val="154A2F50"/>
    <w:rsid w:val="156C2EC6"/>
    <w:rsid w:val="15B605E5"/>
    <w:rsid w:val="15CE3245"/>
    <w:rsid w:val="167C182F"/>
    <w:rsid w:val="16CA07EC"/>
    <w:rsid w:val="16D231FD"/>
    <w:rsid w:val="16FF7D6A"/>
    <w:rsid w:val="172B6DB1"/>
    <w:rsid w:val="17680005"/>
    <w:rsid w:val="17C0399D"/>
    <w:rsid w:val="185365BF"/>
    <w:rsid w:val="188B3FAB"/>
    <w:rsid w:val="18A8690B"/>
    <w:rsid w:val="18A92683"/>
    <w:rsid w:val="18A961DF"/>
    <w:rsid w:val="18BA03EC"/>
    <w:rsid w:val="190E24E6"/>
    <w:rsid w:val="191A0E8B"/>
    <w:rsid w:val="19235F91"/>
    <w:rsid w:val="1941504A"/>
    <w:rsid w:val="195720DF"/>
    <w:rsid w:val="197113F3"/>
    <w:rsid w:val="19B1359D"/>
    <w:rsid w:val="1A1656B7"/>
    <w:rsid w:val="1A246465"/>
    <w:rsid w:val="1A3B555D"/>
    <w:rsid w:val="1A606D71"/>
    <w:rsid w:val="1A7867B1"/>
    <w:rsid w:val="1A845156"/>
    <w:rsid w:val="1A8E7D82"/>
    <w:rsid w:val="1AAE3F81"/>
    <w:rsid w:val="1AAE5D2F"/>
    <w:rsid w:val="1AD67034"/>
    <w:rsid w:val="1B79458F"/>
    <w:rsid w:val="1B9238A2"/>
    <w:rsid w:val="1BBE4697"/>
    <w:rsid w:val="1BD6553D"/>
    <w:rsid w:val="1BE834C2"/>
    <w:rsid w:val="1C0A51E7"/>
    <w:rsid w:val="1C550B58"/>
    <w:rsid w:val="1CCB2BC8"/>
    <w:rsid w:val="1CE95744"/>
    <w:rsid w:val="1D0205B4"/>
    <w:rsid w:val="1D100F23"/>
    <w:rsid w:val="1D954F84"/>
    <w:rsid w:val="1E2A7DC2"/>
    <w:rsid w:val="1EB63404"/>
    <w:rsid w:val="1F1D7927"/>
    <w:rsid w:val="1F737547"/>
    <w:rsid w:val="1F777037"/>
    <w:rsid w:val="1F7D3F22"/>
    <w:rsid w:val="1FB43DE7"/>
    <w:rsid w:val="1FCB2EDF"/>
    <w:rsid w:val="202820DF"/>
    <w:rsid w:val="203E5DA7"/>
    <w:rsid w:val="204D4EAF"/>
    <w:rsid w:val="21093CBF"/>
    <w:rsid w:val="21240AF9"/>
    <w:rsid w:val="21611D4D"/>
    <w:rsid w:val="216B497A"/>
    <w:rsid w:val="21815F4B"/>
    <w:rsid w:val="21CB71C6"/>
    <w:rsid w:val="21EA1D42"/>
    <w:rsid w:val="21EB619F"/>
    <w:rsid w:val="231F3C6E"/>
    <w:rsid w:val="23474F72"/>
    <w:rsid w:val="23983A20"/>
    <w:rsid w:val="239B0E1A"/>
    <w:rsid w:val="242B219E"/>
    <w:rsid w:val="243948BB"/>
    <w:rsid w:val="2443573A"/>
    <w:rsid w:val="247973AD"/>
    <w:rsid w:val="251949DD"/>
    <w:rsid w:val="25695674"/>
    <w:rsid w:val="260809E9"/>
    <w:rsid w:val="270F3FF9"/>
    <w:rsid w:val="27107221"/>
    <w:rsid w:val="272C4BAB"/>
    <w:rsid w:val="27DD40F7"/>
    <w:rsid w:val="28043432"/>
    <w:rsid w:val="284303FE"/>
    <w:rsid w:val="28F17E5A"/>
    <w:rsid w:val="2916341D"/>
    <w:rsid w:val="29BF52CD"/>
    <w:rsid w:val="29D60DFE"/>
    <w:rsid w:val="2A750617"/>
    <w:rsid w:val="2A8E16D9"/>
    <w:rsid w:val="2AAA4765"/>
    <w:rsid w:val="2B052BDB"/>
    <w:rsid w:val="2B073965"/>
    <w:rsid w:val="2B512E32"/>
    <w:rsid w:val="2B801021"/>
    <w:rsid w:val="2BAE0C52"/>
    <w:rsid w:val="2C027C88"/>
    <w:rsid w:val="2C3F2C8B"/>
    <w:rsid w:val="2C534988"/>
    <w:rsid w:val="2CA1594D"/>
    <w:rsid w:val="2CA70830"/>
    <w:rsid w:val="2D1F486A"/>
    <w:rsid w:val="2D964B2C"/>
    <w:rsid w:val="2D9D235F"/>
    <w:rsid w:val="2DAA4023"/>
    <w:rsid w:val="2DB465AC"/>
    <w:rsid w:val="2DE55AB4"/>
    <w:rsid w:val="2DF857E7"/>
    <w:rsid w:val="2E334A71"/>
    <w:rsid w:val="2E6E7A59"/>
    <w:rsid w:val="2EC52588"/>
    <w:rsid w:val="2F045D38"/>
    <w:rsid w:val="2F1F6DA3"/>
    <w:rsid w:val="2F6014C9"/>
    <w:rsid w:val="2FC75471"/>
    <w:rsid w:val="2FDE6C5E"/>
    <w:rsid w:val="304A7E50"/>
    <w:rsid w:val="316D029A"/>
    <w:rsid w:val="317653A0"/>
    <w:rsid w:val="31DB16A7"/>
    <w:rsid w:val="31E00A6C"/>
    <w:rsid w:val="32010698"/>
    <w:rsid w:val="32230959"/>
    <w:rsid w:val="32601BAD"/>
    <w:rsid w:val="32713DBA"/>
    <w:rsid w:val="32717916"/>
    <w:rsid w:val="33274478"/>
    <w:rsid w:val="337E05E7"/>
    <w:rsid w:val="33D04B10"/>
    <w:rsid w:val="34916BF9"/>
    <w:rsid w:val="34B561E0"/>
    <w:rsid w:val="34B87A7E"/>
    <w:rsid w:val="34D00791"/>
    <w:rsid w:val="34FF22A1"/>
    <w:rsid w:val="3583008C"/>
    <w:rsid w:val="35A324DC"/>
    <w:rsid w:val="35F04FF6"/>
    <w:rsid w:val="36541A28"/>
    <w:rsid w:val="366F6862"/>
    <w:rsid w:val="3699568D"/>
    <w:rsid w:val="369D6F2B"/>
    <w:rsid w:val="36A77DAA"/>
    <w:rsid w:val="36D05553"/>
    <w:rsid w:val="36EC7EB3"/>
    <w:rsid w:val="36FF3742"/>
    <w:rsid w:val="37207783"/>
    <w:rsid w:val="37213ABE"/>
    <w:rsid w:val="372431A9"/>
    <w:rsid w:val="374D6BA3"/>
    <w:rsid w:val="374E0226"/>
    <w:rsid w:val="379320DC"/>
    <w:rsid w:val="386E4A17"/>
    <w:rsid w:val="38D806EF"/>
    <w:rsid w:val="38EA0422"/>
    <w:rsid w:val="38EF5A38"/>
    <w:rsid w:val="39127FEB"/>
    <w:rsid w:val="3950297B"/>
    <w:rsid w:val="39924D42"/>
    <w:rsid w:val="3A222EBB"/>
    <w:rsid w:val="3A270789"/>
    <w:rsid w:val="3A2A4F7A"/>
    <w:rsid w:val="3A5169AB"/>
    <w:rsid w:val="3A540249"/>
    <w:rsid w:val="3A726921"/>
    <w:rsid w:val="3B365BA1"/>
    <w:rsid w:val="3BB80364"/>
    <w:rsid w:val="3BE61375"/>
    <w:rsid w:val="3BF27E3F"/>
    <w:rsid w:val="3CB90837"/>
    <w:rsid w:val="3D3B124C"/>
    <w:rsid w:val="3D94095C"/>
    <w:rsid w:val="3DA6700D"/>
    <w:rsid w:val="3DDB658B"/>
    <w:rsid w:val="3E410AE4"/>
    <w:rsid w:val="3E681C1A"/>
    <w:rsid w:val="3F5D194E"/>
    <w:rsid w:val="3F88629F"/>
    <w:rsid w:val="3FC27A03"/>
    <w:rsid w:val="3FD339BE"/>
    <w:rsid w:val="3FE77469"/>
    <w:rsid w:val="40300E10"/>
    <w:rsid w:val="407F76A2"/>
    <w:rsid w:val="409E381B"/>
    <w:rsid w:val="40BC7839"/>
    <w:rsid w:val="41313092"/>
    <w:rsid w:val="4149735F"/>
    <w:rsid w:val="41562AF9"/>
    <w:rsid w:val="4171348E"/>
    <w:rsid w:val="41BB295C"/>
    <w:rsid w:val="42072F7D"/>
    <w:rsid w:val="423821FE"/>
    <w:rsid w:val="42FE6FA4"/>
    <w:rsid w:val="433056DE"/>
    <w:rsid w:val="433C187A"/>
    <w:rsid w:val="434075BC"/>
    <w:rsid w:val="434F15AD"/>
    <w:rsid w:val="435B43F6"/>
    <w:rsid w:val="43CA332A"/>
    <w:rsid w:val="43CC21E5"/>
    <w:rsid w:val="440700DA"/>
    <w:rsid w:val="440B5E1C"/>
    <w:rsid w:val="450A60D4"/>
    <w:rsid w:val="45196317"/>
    <w:rsid w:val="45232CF2"/>
    <w:rsid w:val="45264590"/>
    <w:rsid w:val="45482758"/>
    <w:rsid w:val="45723C79"/>
    <w:rsid w:val="45B1654F"/>
    <w:rsid w:val="45B44292"/>
    <w:rsid w:val="45DE4E6B"/>
    <w:rsid w:val="45E561F9"/>
    <w:rsid w:val="46036683"/>
    <w:rsid w:val="462F1B6A"/>
    <w:rsid w:val="46492C2C"/>
    <w:rsid w:val="464E341B"/>
    <w:rsid w:val="464E7717"/>
    <w:rsid w:val="46C027C2"/>
    <w:rsid w:val="46C2478C"/>
    <w:rsid w:val="46D76C4F"/>
    <w:rsid w:val="46E91D19"/>
    <w:rsid w:val="46ED1809"/>
    <w:rsid w:val="46F34946"/>
    <w:rsid w:val="474653BD"/>
    <w:rsid w:val="479223B1"/>
    <w:rsid w:val="47A74B40"/>
    <w:rsid w:val="480C5CBF"/>
    <w:rsid w:val="48284AC3"/>
    <w:rsid w:val="48987BA6"/>
    <w:rsid w:val="48B3438D"/>
    <w:rsid w:val="493A7185"/>
    <w:rsid w:val="49F7474D"/>
    <w:rsid w:val="4A0E4855"/>
    <w:rsid w:val="4A2512BA"/>
    <w:rsid w:val="4A897A9B"/>
    <w:rsid w:val="4A993A56"/>
    <w:rsid w:val="4AA91EEB"/>
    <w:rsid w:val="4B180E1F"/>
    <w:rsid w:val="4BB60FBC"/>
    <w:rsid w:val="4BF74ED8"/>
    <w:rsid w:val="4C235CCD"/>
    <w:rsid w:val="4C475FD9"/>
    <w:rsid w:val="4C79769B"/>
    <w:rsid w:val="4C8C5620"/>
    <w:rsid w:val="4CC23FEE"/>
    <w:rsid w:val="4CCF19B1"/>
    <w:rsid w:val="4CD07C03"/>
    <w:rsid w:val="4CD46FC7"/>
    <w:rsid w:val="4CD90955"/>
    <w:rsid w:val="4CE216E4"/>
    <w:rsid w:val="4CF51418"/>
    <w:rsid w:val="4D021D86"/>
    <w:rsid w:val="4D203FBB"/>
    <w:rsid w:val="4D2E492A"/>
    <w:rsid w:val="4D9549A9"/>
    <w:rsid w:val="4DAF33F9"/>
    <w:rsid w:val="4DF0398D"/>
    <w:rsid w:val="4E3441C2"/>
    <w:rsid w:val="4E375A60"/>
    <w:rsid w:val="4E445716"/>
    <w:rsid w:val="4E6A7BE3"/>
    <w:rsid w:val="4E6D76D3"/>
    <w:rsid w:val="4E810A89"/>
    <w:rsid w:val="4E940605"/>
    <w:rsid w:val="4ECC264C"/>
    <w:rsid w:val="4F0E4A13"/>
    <w:rsid w:val="50125E3D"/>
    <w:rsid w:val="50610B72"/>
    <w:rsid w:val="507C3BFE"/>
    <w:rsid w:val="50AF7B2F"/>
    <w:rsid w:val="50DE6667"/>
    <w:rsid w:val="51183927"/>
    <w:rsid w:val="514C1822"/>
    <w:rsid w:val="51516C46"/>
    <w:rsid w:val="515F5DF1"/>
    <w:rsid w:val="516140B5"/>
    <w:rsid w:val="51BA7131"/>
    <w:rsid w:val="524B3888"/>
    <w:rsid w:val="52505342"/>
    <w:rsid w:val="529A3CEF"/>
    <w:rsid w:val="52F43F1F"/>
    <w:rsid w:val="5358625C"/>
    <w:rsid w:val="536C7F5A"/>
    <w:rsid w:val="54181E8F"/>
    <w:rsid w:val="54570C85"/>
    <w:rsid w:val="548B08B3"/>
    <w:rsid w:val="549332C4"/>
    <w:rsid w:val="54947768"/>
    <w:rsid w:val="54B41BB8"/>
    <w:rsid w:val="54EB4EAE"/>
    <w:rsid w:val="55124B31"/>
    <w:rsid w:val="551408A9"/>
    <w:rsid w:val="552D196B"/>
    <w:rsid w:val="556C5FEF"/>
    <w:rsid w:val="55BF0815"/>
    <w:rsid w:val="55CB0394"/>
    <w:rsid w:val="563C03C5"/>
    <w:rsid w:val="563F3765"/>
    <w:rsid w:val="56737851"/>
    <w:rsid w:val="56837A94"/>
    <w:rsid w:val="569F0646"/>
    <w:rsid w:val="571B5F1F"/>
    <w:rsid w:val="5778511F"/>
    <w:rsid w:val="57B74973"/>
    <w:rsid w:val="57D32355"/>
    <w:rsid w:val="58155C60"/>
    <w:rsid w:val="586B6A32"/>
    <w:rsid w:val="58E30CBE"/>
    <w:rsid w:val="5900040A"/>
    <w:rsid w:val="59030A18"/>
    <w:rsid w:val="59103135"/>
    <w:rsid w:val="591A6E62"/>
    <w:rsid w:val="59486D73"/>
    <w:rsid w:val="596D67DA"/>
    <w:rsid w:val="59A65848"/>
    <w:rsid w:val="59EF5441"/>
    <w:rsid w:val="5A623E64"/>
    <w:rsid w:val="5A7D0C9E"/>
    <w:rsid w:val="5A8262B5"/>
    <w:rsid w:val="5A8B6F17"/>
    <w:rsid w:val="5AA91A93"/>
    <w:rsid w:val="5B8322E4"/>
    <w:rsid w:val="5BB93F58"/>
    <w:rsid w:val="5BF3746A"/>
    <w:rsid w:val="5BFC5BF3"/>
    <w:rsid w:val="5C5D48E3"/>
    <w:rsid w:val="5C9F6CAA"/>
    <w:rsid w:val="5CC42BB4"/>
    <w:rsid w:val="5CF35248"/>
    <w:rsid w:val="5D3E2967"/>
    <w:rsid w:val="5D46181B"/>
    <w:rsid w:val="5DD064B1"/>
    <w:rsid w:val="5DEA21A7"/>
    <w:rsid w:val="5DF748C4"/>
    <w:rsid w:val="5E5166CA"/>
    <w:rsid w:val="5E803D6F"/>
    <w:rsid w:val="5EDD7F5D"/>
    <w:rsid w:val="5FC30F01"/>
    <w:rsid w:val="5FD0361E"/>
    <w:rsid w:val="5FDC0215"/>
    <w:rsid w:val="60141C51"/>
    <w:rsid w:val="603E6335"/>
    <w:rsid w:val="60597AB8"/>
    <w:rsid w:val="60624BBE"/>
    <w:rsid w:val="6062696C"/>
    <w:rsid w:val="60824919"/>
    <w:rsid w:val="60F4333C"/>
    <w:rsid w:val="613876CD"/>
    <w:rsid w:val="613D2F35"/>
    <w:rsid w:val="614C4F26"/>
    <w:rsid w:val="617C1CB0"/>
    <w:rsid w:val="619310C7"/>
    <w:rsid w:val="61A42FB4"/>
    <w:rsid w:val="61B551C2"/>
    <w:rsid w:val="62516942"/>
    <w:rsid w:val="625E13B5"/>
    <w:rsid w:val="626F711E"/>
    <w:rsid w:val="62FB4E56"/>
    <w:rsid w:val="631A352E"/>
    <w:rsid w:val="637B1AF3"/>
    <w:rsid w:val="639F1C85"/>
    <w:rsid w:val="63C30268"/>
    <w:rsid w:val="63C74D38"/>
    <w:rsid w:val="63F7386F"/>
    <w:rsid w:val="647B624F"/>
    <w:rsid w:val="64973439"/>
    <w:rsid w:val="64A55079"/>
    <w:rsid w:val="64CC6AAA"/>
    <w:rsid w:val="64DF4A2F"/>
    <w:rsid w:val="65660CAD"/>
    <w:rsid w:val="659770B8"/>
    <w:rsid w:val="65A45331"/>
    <w:rsid w:val="65B57B97"/>
    <w:rsid w:val="6609788A"/>
    <w:rsid w:val="66252916"/>
    <w:rsid w:val="6655487D"/>
    <w:rsid w:val="66AD46B9"/>
    <w:rsid w:val="675B2367"/>
    <w:rsid w:val="67D839B8"/>
    <w:rsid w:val="690802CD"/>
    <w:rsid w:val="69401815"/>
    <w:rsid w:val="694035C3"/>
    <w:rsid w:val="69823BDB"/>
    <w:rsid w:val="6990454A"/>
    <w:rsid w:val="69A00505"/>
    <w:rsid w:val="6A1A2066"/>
    <w:rsid w:val="6A843983"/>
    <w:rsid w:val="6ABA73A5"/>
    <w:rsid w:val="6B4355EC"/>
    <w:rsid w:val="6BCB7ABB"/>
    <w:rsid w:val="6BD6020E"/>
    <w:rsid w:val="6BD85D34"/>
    <w:rsid w:val="6BE446D9"/>
    <w:rsid w:val="6BE72A9A"/>
    <w:rsid w:val="6BEC7A32"/>
    <w:rsid w:val="6C2B2308"/>
    <w:rsid w:val="6C5F1FB2"/>
    <w:rsid w:val="6CC263B6"/>
    <w:rsid w:val="6CCD1611"/>
    <w:rsid w:val="6CE8644B"/>
    <w:rsid w:val="6D48513C"/>
    <w:rsid w:val="6DE210EC"/>
    <w:rsid w:val="6DF40E20"/>
    <w:rsid w:val="6E0E0133"/>
    <w:rsid w:val="6E3D27C7"/>
    <w:rsid w:val="6EBF31DC"/>
    <w:rsid w:val="6EDA1DC4"/>
    <w:rsid w:val="6F5558EE"/>
    <w:rsid w:val="6F6C5073"/>
    <w:rsid w:val="6FFB46E7"/>
    <w:rsid w:val="70096E04"/>
    <w:rsid w:val="70147557"/>
    <w:rsid w:val="704E0CBB"/>
    <w:rsid w:val="704F1D34"/>
    <w:rsid w:val="709F32C5"/>
    <w:rsid w:val="70EE5FFA"/>
    <w:rsid w:val="71551BD5"/>
    <w:rsid w:val="716D52CF"/>
    <w:rsid w:val="71A843FB"/>
    <w:rsid w:val="71E74F23"/>
    <w:rsid w:val="72255A4C"/>
    <w:rsid w:val="722C2936"/>
    <w:rsid w:val="72620A4E"/>
    <w:rsid w:val="726C71D7"/>
    <w:rsid w:val="72882202"/>
    <w:rsid w:val="728A58AF"/>
    <w:rsid w:val="7294672D"/>
    <w:rsid w:val="72CE1C3F"/>
    <w:rsid w:val="72DF5BFA"/>
    <w:rsid w:val="73131D48"/>
    <w:rsid w:val="73263829"/>
    <w:rsid w:val="733B1918"/>
    <w:rsid w:val="735A450E"/>
    <w:rsid w:val="73A34E7A"/>
    <w:rsid w:val="73AF7CC3"/>
    <w:rsid w:val="73E55492"/>
    <w:rsid w:val="743401C8"/>
    <w:rsid w:val="74367A9C"/>
    <w:rsid w:val="748C590E"/>
    <w:rsid w:val="74EE0377"/>
    <w:rsid w:val="74F71921"/>
    <w:rsid w:val="755C1784"/>
    <w:rsid w:val="756920F3"/>
    <w:rsid w:val="757840E4"/>
    <w:rsid w:val="75B4121E"/>
    <w:rsid w:val="75F96FD3"/>
    <w:rsid w:val="760360A4"/>
    <w:rsid w:val="7610431D"/>
    <w:rsid w:val="762304F4"/>
    <w:rsid w:val="766703E1"/>
    <w:rsid w:val="76685F07"/>
    <w:rsid w:val="76911902"/>
    <w:rsid w:val="76C5123F"/>
    <w:rsid w:val="76D96E05"/>
    <w:rsid w:val="76DB492B"/>
    <w:rsid w:val="77316C41"/>
    <w:rsid w:val="77324E93"/>
    <w:rsid w:val="775C3CBE"/>
    <w:rsid w:val="779F340C"/>
    <w:rsid w:val="77C81353"/>
    <w:rsid w:val="780B7492"/>
    <w:rsid w:val="788A2AAC"/>
    <w:rsid w:val="78A9524D"/>
    <w:rsid w:val="78FD797A"/>
    <w:rsid w:val="796450AB"/>
    <w:rsid w:val="79915775"/>
    <w:rsid w:val="79927E6B"/>
    <w:rsid w:val="79B17BC5"/>
    <w:rsid w:val="79C8563A"/>
    <w:rsid w:val="79D35D8D"/>
    <w:rsid w:val="79E87A8A"/>
    <w:rsid w:val="79FE72AE"/>
    <w:rsid w:val="7A57575A"/>
    <w:rsid w:val="7A5769BE"/>
    <w:rsid w:val="7A653498"/>
    <w:rsid w:val="7A65732D"/>
    <w:rsid w:val="7A804167"/>
    <w:rsid w:val="7ABD2CC5"/>
    <w:rsid w:val="7AC878BC"/>
    <w:rsid w:val="7AEE7323"/>
    <w:rsid w:val="7AFE6E3A"/>
    <w:rsid w:val="7B4412F3"/>
    <w:rsid w:val="7B9559F0"/>
    <w:rsid w:val="7BA479E1"/>
    <w:rsid w:val="7BB5399C"/>
    <w:rsid w:val="7BF00A73"/>
    <w:rsid w:val="7C1728A9"/>
    <w:rsid w:val="7C684EB3"/>
    <w:rsid w:val="7C977546"/>
    <w:rsid w:val="7CAD0B17"/>
    <w:rsid w:val="7CAD6D69"/>
    <w:rsid w:val="7D0746CC"/>
    <w:rsid w:val="7D3D00ED"/>
    <w:rsid w:val="7D8F021D"/>
    <w:rsid w:val="7DA912DF"/>
    <w:rsid w:val="7E8B4E88"/>
    <w:rsid w:val="7ECA3C03"/>
    <w:rsid w:val="7F572FBC"/>
    <w:rsid w:val="7F637BB3"/>
    <w:rsid w:val="7FA36202"/>
    <w:rsid w:val="7FAB3A34"/>
    <w:rsid w:val="7FB328E9"/>
    <w:rsid w:val="7FD665D7"/>
  </w:rsids>
  <m:mathPr>
    <m:mathFont m:val="Cambria Math"/>
    <m:brkBin m:val="before"/>
    <m:brkBinSub m:val="--"/>
    <m:smallFrac m:val="0"/>
    <m:dispDef/>
    <m:lMargin m:val="0"/>
    <m:rMargin m:val="0"/>
    <m:defJc m:val="centerGroup"/>
    <m:preSp m:val="0"/>
    <m:postSp m:val="0"/>
    <m:interSp m:val="0"/>
    <m:intraSp m:val="0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qFormat="1"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nhideWhenUsed="0" w:uiPriority="0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5"/>
    <w:basedOn w:val="1"/>
    <w:next w:val="1"/>
    <w:semiHidden/>
    <w:unhideWhenUsed/>
    <w:qFormat/>
    <w:uiPriority w:val="99"/>
    <w:pPr>
      <w:ind w:left="800" w:leftChars="800"/>
    </w:pPr>
  </w:style>
  <w:style w:type="paragraph" w:styleId="3">
    <w:name w:val="Body Text Indent"/>
    <w:basedOn w:val="1"/>
    <w:next w:val="4"/>
    <w:unhideWhenUsed/>
    <w:qFormat/>
    <w:uiPriority w:val="99"/>
    <w:pPr>
      <w:widowControl/>
      <w:spacing w:after="120"/>
      <w:ind w:left="420" w:leftChars="200"/>
      <w:jc w:val="left"/>
    </w:pPr>
    <w:rPr>
      <w:rFonts w:ascii="宋体" w:hAnsi="宋体" w:eastAsia="宋体" w:cs="宋体"/>
      <w:kern w:val="0"/>
      <w:sz w:val="24"/>
    </w:rPr>
  </w:style>
  <w:style w:type="paragraph" w:styleId="4">
    <w:name w:val="Body Text First Indent 2"/>
    <w:basedOn w:val="3"/>
    <w:next w:val="1"/>
    <w:unhideWhenUsed/>
    <w:qFormat/>
    <w:uiPriority w:val="99"/>
    <w:pPr>
      <w:ind w:firstLine="420" w:firstLineChars="200"/>
    </w:pPr>
  </w:style>
  <w:style w:type="paragraph" w:styleId="5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footnote text"/>
    <w:basedOn w:val="1"/>
    <w:next w:val="4"/>
    <w:semiHidden/>
    <w:qFormat/>
    <w:uiPriority w:val="0"/>
    <w:pPr>
      <w:snapToGrid w:val="0"/>
      <w:jc w:val="left"/>
    </w:pPr>
    <w:rPr>
      <w:sz w:val="18"/>
      <w:szCs w:val="18"/>
    </w:rPr>
  </w:style>
  <w:style w:type="table" w:styleId="10">
    <w:name w:val="Table Grid"/>
    <w:qFormat/>
    <w:uiPriority w:val="0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12">
    <w:name w:val="页眉 Char"/>
    <w:basedOn w:val="11"/>
    <w:link w:val="7"/>
    <w:qFormat/>
    <w:uiPriority w:val="99"/>
    <w:rPr>
      <w:sz w:val="18"/>
      <w:szCs w:val="18"/>
    </w:rPr>
  </w:style>
  <w:style w:type="character" w:customStyle="1" w:styleId="13">
    <w:name w:val="页脚 Char"/>
    <w:basedOn w:val="11"/>
    <w:link w:val="6"/>
    <w:qFormat/>
    <w:uiPriority w:val="99"/>
    <w:rPr>
      <w:sz w:val="18"/>
      <w:szCs w:val="18"/>
    </w:rPr>
  </w:style>
  <w:style w:type="paragraph" w:customStyle="1" w:styleId="14">
    <w:name w:val="Default"/>
    <w:qFormat/>
    <w:uiPriority w:val="0"/>
    <w:pPr>
      <w:widowControl w:val="0"/>
      <w:autoSpaceDE w:val="0"/>
      <w:autoSpaceDN w:val="0"/>
      <w:adjustRightInd w:val="0"/>
    </w:pPr>
    <w:rPr>
      <w:rFonts w:ascii="黑体" w:eastAsia="黑体" w:cs="黑体" w:hAnsiTheme="minorHAnsi"/>
      <w:color w:val="000000"/>
      <w:sz w:val="24"/>
      <w:szCs w:val="24"/>
      <w:lang w:val="en-US" w:eastAsia="zh-CN" w:bidi="ar-SA"/>
    </w:rPr>
  </w:style>
  <w:style w:type="paragraph" w:styleId="15">
    <w:name w:val="List Paragraph"/>
    <w:basedOn w:val="1"/>
    <w:qFormat/>
    <w:uiPriority w:val="34"/>
    <w:pPr>
      <w:ind w:firstLine="420" w:firstLineChars="200"/>
    </w:pPr>
  </w:style>
  <w:style w:type="character" w:customStyle="1" w:styleId="16">
    <w:name w:val="批注框文本 Char"/>
    <w:basedOn w:val="11"/>
    <w:link w:val="5"/>
    <w:semiHidden/>
    <w:qFormat/>
    <w:uiPriority w:val="99"/>
    <w:rPr>
      <w:sz w:val="18"/>
      <w:szCs w:val="18"/>
    </w:rPr>
  </w:style>
  <w:style w:type="character" w:customStyle="1" w:styleId="17">
    <w:name w:val="font01"/>
    <w:basedOn w:val="11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8">
    <w:name w:val="font21"/>
    <w:basedOn w:val="11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9">
    <w:name w:val="font11"/>
    <w:basedOn w:val="11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2052-11.8.2.12009</vt:lpwstr>
  </property>
  <property fmtid="{D5CDD505-2E9C-101B-9397-08002B2CF9AE}" pid="3" name="ICV">
    <vt:lpwstr>4F0B27C0AAC35EFA9177686ADDD5E058</vt:lpwstr>
  </property>
</Properties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10047ed-cf34-4f83-be2e-cf4bf08afd0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15</Pages>
  <Words>1564</Words>
  <Characters>1692</Characters>
  <Lines>69</Lines>
  <Paragraphs>19</Paragraphs>
  <TotalTime>2</TotalTime>
  <ScaleCrop>false</ScaleCrop>
  <LinksUpToDate>false</LinksUpToDate>
  <CharactersWithSpaces>1702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2025-08-19T18:17:00Z</dcterms:created>
  <dc:creator>李航 null</dc:creator>
  <cp:lastModifiedBy>笔记</cp:lastModifiedBy>
  <cp:lastPrinted>2024-08-10T02:20:00Z</cp:lastPrinted>
  <dcterms:modified xsi:type="dcterms:W3CDTF">2026-09-15T02:25:26Z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4F0B27C0AAC35EFA9177686ADDD5E058</vt:lpwstr>
  </property>
  <property fmtid="{D5CDD505-2E9C-101B-9397-08002B2CF9AE}" pid="4" name="KSOTemplateDocerSaveRecord">
    <vt:lpwstr>eyJoZGlkIjoiNzBhZmYxZjI3MTM3Zjk4YzBhNDYwNjQ4ZGUzMjJhODMiLCJ1c2VySWQiOiIzNDQwMDQzNTQifQ==</vt:lpwstr>
  </property>
</Properties>
</file>