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19E2C0">
      <w:pPr>
        <w:pStyle w:val="14"/>
        <w:jc w:val="both"/>
        <w:rPr>
          <w:rFonts w:hAnsi="黑体"/>
          <w:sz w:val="36"/>
          <w:szCs w:val="36"/>
        </w:rPr>
      </w:pPr>
      <w:r>
        <w:rPr>
          <w:rFonts w:hint="eastAsia" w:hAnsi="黑体"/>
          <w:sz w:val="36"/>
          <w:szCs w:val="36"/>
        </w:rPr>
        <w:t>附件2</w:t>
      </w:r>
    </w:p>
    <w:p w14:paraId="11086362">
      <w:pPr>
        <w:pStyle w:val="14"/>
        <w:jc w:val="center"/>
        <w:rPr>
          <w:rFonts w:ascii="Times New Roman" w:hAnsi="Times New Roman" w:cs="Times New Roman"/>
          <w:sz w:val="56"/>
          <w:szCs w:val="56"/>
        </w:rPr>
      </w:pPr>
    </w:p>
    <w:p w14:paraId="7E36249B">
      <w:pPr>
        <w:pStyle w:val="14"/>
        <w:jc w:val="center"/>
        <w:rPr>
          <w:rFonts w:ascii="Times New Roman" w:hAnsi="Times New Roman" w:cs="Times New Roman"/>
          <w:sz w:val="84"/>
          <w:szCs w:val="84"/>
        </w:rPr>
      </w:pPr>
    </w:p>
    <w:p w14:paraId="74870CD9">
      <w:pPr>
        <w:pStyle w:val="14"/>
        <w:jc w:val="center"/>
        <w:rPr>
          <w:rFonts w:ascii="Times New Roman" w:hAnsi="Times New Roman" w:cs="Times New Roman"/>
          <w:sz w:val="84"/>
          <w:szCs w:val="84"/>
        </w:rPr>
      </w:pPr>
    </w:p>
    <w:p w14:paraId="6AE2BE40">
      <w:pPr>
        <w:pStyle w:val="14"/>
        <w:ind w:firstLine="2880" w:firstLineChars="400"/>
        <w:jc w:val="both"/>
        <w:rPr>
          <w:rFonts w:hint="eastAsia" w:ascii="Times New Roman" w:hAnsi="Times New Roman" w:eastAsia="方正小标宋简体" w:cs="Times New Roman"/>
          <w:sz w:val="72"/>
          <w:szCs w:val="72"/>
          <w:lang w:eastAsia="zh-CN"/>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rPr>
        <w:t>5</w:t>
      </w:r>
      <w:r>
        <w:rPr>
          <w:rFonts w:ascii="Times New Roman" w:hAnsi="Times New Roman" w:eastAsia="方正小标宋简体" w:cs="Times New Roman"/>
          <w:sz w:val="72"/>
          <w:szCs w:val="72"/>
        </w:rPr>
        <w:t>年</w:t>
      </w:r>
      <w:r>
        <w:rPr>
          <w:rFonts w:hint="eastAsia" w:ascii="Times New Roman" w:hAnsi="Times New Roman" w:eastAsia="方正小标宋简体" w:cs="Times New Roman"/>
          <w:sz w:val="72"/>
          <w:szCs w:val="72"/>
          <w:lang w:eastAsia="zh-CN"/>
        </w:rPr>
        <w:t>度</w:t>
      </w:r>
    </w:p>
    <w:p w14:paraId="3095A8C6">
      <w:pPr>
        <w:pStyle w:val="14"/>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eastAsia="zh-CN"/>
        </w:rPr>
        <w:t>怀化市不动产登记中心</w:t>
      </w:r>
      <w:r>
        <w:rPr>
          <w:rFonts w:ascii="Times New Roman" w:hAnsi="Times New Roman" w:eastAsia="方正小标宋简体" w:cs="Times New Roman"/>
          <w:sz w:val="72"/>
          <w:szCs w:val="72"/>
        </w:rPr>
        <w:t>部门决算</w:t>
      </w:r>
    </w:p>
    <w:p w14:paraId="06A2D3E0">
      <w:pPr>
        <w:pStyle w:val="14"/>
        <w:jc w:val="center"/>
        <w:rPr>
          <w:rFonts w:ascii="Times New Roman" w:hAnsi="Times New Roman" w:eastAsia="方正小标宋_GBK" w:cs="Times New Roman"/>
          <w:sz w:val="56"/>
          <w:szCs w:val="56"/>
        </w:rPr>
      </w:pPr>
    </w:p>
    <w:p w14:paraId="6DC1CEAD">
      <w:pPr>
        <w:pStyle w:val="14"/>
        <w:jc w:val="center"/>
        <w:rPr>
          <w:rFonts w:ascii="Times New Roman" w:hAnsi="Times New Roman" w:cs="Times New Roman"/>
          <w:sz w:val="56"/>
          <w:szCs w:val="56"/>
        </w:rPr>
      </w:pPr>
    </w:p>
    <w:p w14:paraId="1FA21BE5">
      <w:pPr>
        <w:pStyle w:val="14"/>
        <w:rPr>
          <w:rFonts w:ascii="Times New Roman" w:hAnsi="Times New Roman" w:cs="Times New Roman"/>
          <w:sz w:val="56"/>
          <w:szCs w:val="56"/>
        </w:rPr>
      </w:pPr>
    </w:p>
    <w:p w14:paraId="2591D262">
      <w:pPr>
        <w:pStyle w:val="14"/>
        <w:jc w:val="center"/>
        <w:rPr>
          <w:rFonts w:ascii="Times New Roman" w:hAnsi="Times New Roman" w:cs="Times New Roman"/>
          <w:sz w:val="32"/>
          <w:szCs w:val="32"/>
        </w:rPr>
      </w:pPr>
    </w:p>
    <w:p w14:paraId="0E1D9E60">
      <w:pPr>
        <w:pStyle w:val="14"/>
        <w:jc w:val="center"/>
        <w:rPr>
          <w:rFonts w:ascii="Times New Roman" w:hAnsi="Times New Roman" w:cs="Times New Roman"/>
          <w:sz w:val="32"/>
          <w:szCs w:val="32"/>
        </w:rPr>
      </w:pPr>
    </w:p>
    <w:p w14:paraId="71C07E8C">
      <w:pPr>
        <w:pStyle w:val="14"/>
        <w:jc w:val="center"/>
        <w:rPr>
          <w:rFonts w:ascii="Times New Roman" w:hAnsi="Times New Roman" w:cs="Times New Roman"/>
          <w:sz w:val="32"/>
          <w:szCs w:val="32"/>
        </w:rPr>
      </w:pPr>
    </w:p>
    <w:p w14:paraId="08E416DD">
      <w:pPr>
        <w:pStyle w:val="14"/>
        <w:jc w:val="center"/>
        <w:rPr>
          <w:rFonts w:ascii="Times New Roman" w:hAnsi="Times New Roman" w:cs="Times New Roman"/>
          <w:sz w:val="32"/>
          <w:szCs w:val="32"/>
        </w:rPr>
      </w:pPr>
    </w:p>
    <w:p w14:paraId="105DEF75">
      <w:pPr>
        <w:pStyle w:val="14"/>
        <w:jc w:val="center"/>
        <w:rPr>
          <w:rFonts w:ascii="Times New Roman" w:hAnsi="Times New Roman" w:cs="Times New Roman"/>
          <w:sz w:val="32"/>
          <w:szCs w:val="32"/>
        </w:rPr>
      </w:pPr>
    </w:p>
    <w:p w14:paraId="237CEBA9">
      <w:pPr>
        <w:pStyle w:val="14"/>
        <w:jc w:val="center"/>
        <w:rPr>
          <w:rFonts w:ascii="Times New Roman" w:hAnsi="Times New Roman" w:cs="Times New Roman"/>
          <w:sz w:val="32"/>
          <w:szCs w:val="32"/>
        </w:rPr>
      </w:pPr>
    </w:p>
    <w:p w14:paraId="7B52A33D">
      <w:pPr>
        <w:pStyle w:val="14"/>
        <w:spacing w:line="540" w:lineRule="exact"/>
        <w:jc w:val="center"/>
        <w:rPr>
          <w:rFonts w:ascii="Times New Roman" w:hAnsi="Times New Roman" w:cs="Times New Roman"/>
          <w:sz w:val="56"/>
          <w:szCs w:val="56"/>
        </w:rPr>
      </w:pPr>
    </w:p>
    <w:p w14:paraId="65D6DC82">
      <w:pPr>
        <w:rPr>
          <w:rFonts w:ascii="Times New Roman" w:hAnsi="Times New Roman" w:cs="Times New Roman"/>
          <w:b/>
          <w:sz w:val="36"/>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17" w:right="1588" w:bottom="1417" w:left="1588" w:header="851" w:footer="992" w:gutter="0"/>
          <w:cols w:space="425" w:num="1"/>
          <w:docGrid w:type="lines" w:linePitch="312" w:charSpace="0"/>
        </w:sectPr>
      </w:pPr>
    </w:p>
    <w:p w14:paraId="20DD85D0">
      <w:pPr>
        <w:pStyle w:val="14"/>
        <w:spacing w:line="600" w:lineRule="exact"/>
        <w:jc w:val="both"/>
        <w:rPr>
          <w:rFonts w:ascii="Times New Roman" w:hAnsi="Times New Roman" w:cs="Times New Roman"/>
          <w:b/>
          <w:sz w:val="36"/>
          <w:szCs w:val="28"/>
        </w:rPr>
        <w:sectPr>
          <w:footerReference r:id="rId9" w:type="default"/>
          <w:pgSz w:w="11906" w:h="16838"/>
          <w:pgMar w:top="1417" w:right="1588" w:bottom="1417" w:left="1588" w:header="851" w:footer="992" w:gutter="0"/>
          <w:pgNumType w:start="1"/>
          <w:cols w:space="425" w:num="1"/>
          <w:docGrid w:type="lines" w:linePitch="312" w:charSpace="0"/>
        </w:sectPr>
      </w:pPr>
    </w:p>
    <w:p w14:paraId="231710FF">
      <w:pPr>
        <w:pStyle w:val="14"/>
        <w:spacing w:line="600" w:lineRule="exact"/>
        <w:jc w:val="both"/>
        <w:rPr>
          <w:rFonts w:ascii="Times New Roman" w:hAnsi="Times New Roman" w:cs="Times New Roman"/>
          <w:b/>
          <w:sz w:val="36"/>
          <w:szCs w:val="28"/>
        </w:rPr>
      </w:pPr>
    </w:p>
    <w:p w14:paraId="7009BE7E">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5ABC8851">
      <w:pPr>
        <w:pStyle w:val="14"/>
        <w:spacing w:line="600" w:lineRule="exact"/>
        <w:jc w:val="center"/>
        <w:rPr>
          <w:rFonts w:ascii="Times New Roman" w:hAnsi="Times New Roman" w:cs="Times New Roman"/>
          <w:b/>
          <w:sz w:val="36"/>
          <w:szCs w:val="28"/>
        </w:rPr>
      </w:pPr>
    </w:p>
    <w:p w14:paraId="7C3C8295">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怀化市不动产登记中心</w:t>
      </w:r>
      <w:r>
        <w:rPr>
          <w:rFonts w:ascii="Times New Roman" w:hAnsi="Times New Roman" w:cs="Times New Roman"/>
          <w:bCs/>
          <w:sz w:val="32"/>
          <w:szCs w:val="32"/>
        </w:rPr>
        <w:t>概况</w:t>
      </w:r>
    </w:p>
    <w:p w14:paraId="29E2A52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B472A17">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5EDEBD32">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152B940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079548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29089B31">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2CE3FCED">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18936850">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2E246778">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62873EB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3324573">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2F859899">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47776F4F">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2962FF94">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56E04B47">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D6AFD1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4228E24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34D98959">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28A7A3E8">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10" w:type="default"/>
          <w:pgSz w:w="11906" w:h="16838"/>
          <w:pgMar w:top="1417" w:right="1588" w:bottom="1417" w:left="1588" w:header="851" w:footer="992" w:gutter="0"/>
          <w:pgNumType w:start="1"/>
          <w:cols w:space="425" w:num="1"/>
          <w:docGrid w:type="lines" w:linePitch="312" w:charSpace="0"/>
        </w:sectPr>
      </w:pPr>
    </w:p>
    <w:p w14:paraId="43CC2BD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64CCF2D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776D84D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EEE1B38">
      <w:pPr>
        <w:autoSpaceDE w:val="0"/>
        <w:autoSpaceDN w:val="0"/>
        <w:adjustRightInd w:val="0"/>
        <w:spacing w:line="600" w:lineRule="exact"/>
        <w:jc w:val="left"/>
        <w:rPr>
          <w:rFonts w:hint="eastAsia" w:ascii="Times New Roman" w:hAnsi="Times New Roman" w:eastAsia="仿宋_GB2312" w:cs="Times New Roman"/>
          <w:color w:val="000000"/>
          <w:kern w:val="0"/>
          <w:sz w:val="32"/>
          <w:szCs w:val="32"/>
          <w:lang w:eastAsia="zh-CN"/>
        </w:rPr>
      </w:pPr>
      <w:r>
        <w:rPr>
          <w:rFonts w:hint="eastAsia" w:ascii="Times New Roman" w:hAnsi="Times New Roman" w:eastAsia="仿宋_GB2312" w:cs="Times New Roman"/>
          <w:color w:val="000000"/>
          <w:kern w:val="0"/>
          <w:sz w:val="32"/>
          <w:szCs w:val="32"/>
          <w:lang w:eastAsia="zh-CN"/>
        </w:rPr>
        <w:t>九、国有资本经营预算收入支出决算情况说明</w:t>
      </w:r>
    </w:p>
    <w:p w14:paraId="5062E0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hint="eastAsia" w:ascii="Times New Roman" w:hAnsi="Times New Roman" w:eastAsia="仿宋_GB2312" w:cs="Times New Roman"/>
          <w:color w:val="000000"/>
          <w:kern w:val="0"/>
          <w:sz w:val="32"/>
          <w:szCs w:val="32"/>
          <w:lang w:eastAsia="zh-CN"/>
        </w:rPr>
        <w:t>十</w:t>
      </w:r>
      <w:r>
        <w:rPr>
          <w:rFonts w:ascii="Times New Roman" w:hAnsi="Times New Roman" w:eastAsia="仿宋_GB2312" w:cs="Times New Roman"/>
          <w:color w:val="000000"/>
          <w:kern w:val="0"/>
          <w:sz w:val="32"/>
          <w:szCs w:val="32"/>
        </w:rPr>
        <w:t>、关于机关运行经费支出说明</w:t>
      </w:r>
    </w:p>
    <w:p w14:paraId="3B99CD62">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一</w:t>
      </w:r>
      <w:r>
        <w:rPr>
          <w:rFonts w:ascii="Times New Roman" w:hAnsi="Times New Roman" w:eastAsia="仿宋_GB2312" w:cs="Times New Roman"/>
          <w:color w:val="000000"/>
          <w:kern w:val="0"/>
          <w:sz w:val="32"/>
          <w:szCs w:val="32"/>
        </w:rPr>
        <w:t>、一般性支出情况说明</w:t>
      </w:r>
    </w:p>
    <w:p w14:paraId="677FA071">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eastAsia="zh-CN"/>
        </w:rPr>
        <w:t>二</w:t>
      </w:r>
      <w:r>
        <w:rPr>
          <w:rFonts w:ascii="Times New Roman" w:hAnsi="Times New Roman" w:eastAsia="仿宋_GB2312" w:cs="Times New Roman"/>
          <w:color w:val="000000"/>
          <w:kern w:val="0"/>
          <w:sz w:val="32"/>
          <w:szCs w:val="32"/>
        </w:rPr>
        <w:t>、关于政府采购支出说明</w:t>
      </w:r>
    </w:p>
    <w:p w14:paraId="4DE23A6C">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三</w:t>
      </w:r>
      <w:r>
        <w:rPr>
          <w:rFonts w:ascii="Times New Roman" w:hAnsi="Times New Roman" w:eastAsia="仿宋_GB2312" w:cs="Times New Roman"/>
          <w:sz w:val="32"/>
          <w:szCs w:val="32"/>
        </w:rPr>
        <w:t>、关于国有资产占用情况说明</w:t>
      </w:r>
    </w:p>
    <w:p w14:paraId="4486BEB5">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年度预算绩效管理情况的说明</w:t>
      </w:r>
    </w:p>
    <w:p w14:paraId="4F05F005">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00A869E0">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460103C5">
      <w:pPr>
        <w:pStyle w:val="14"/>
        <w:spacing w:line="600" w:lineRule="exact"/>
        <w:rPr>
          <w:rFonts w:ascii="Times New Roman" w:hAnsi="Times New Roman" w:cs="Times New Roman"/>
          <w:bCs/>
          <w:sz w:val="28"/>
          <w:szCs w:val="28"/>
        </w:rPr>
      </w:pPr>
    </w:p>
    <w:p w14:paraId="068A4622">
      <w:pPr>
        <w:jc w:val="center"/>
        <w:rPr>
          <w:rFonts w:ascii="Times New Roman" w:hAnsi="Times New Roman" w:cs="Times New Roman"/>
          <w:sz w:val="72"/>
          <w:szCs w:val="72"/>
        </w:rPr>
      </w:pPr>
    </w:p>
    <w:p w14:paraId="546EA1D8">
      <w:pPr>
        <w:jc w:val="center"/>
        <w:rPr>
          <w:rFonts w:ascii="Times New Roman" w:hAnsi="Times New Roman" w:cs="Times New Roman"/>
          <w:sz w:val="72"/>
          <w:szCs w:val="72"/>
        </w:rPr>
      </w:pPr>
    </w:p>
    <w:p w14:paraId="73B8A9A1">
      <w:pPr>
        <w:jc w:val="center"/>
        <w:rPr>
          <w:rFonts w:ascii="Times New Roman" w:hAnsi="Times New Roman" w:cs="Times New Roman"/>
          <w:sz w:val="72"/>
          <w:szCs w:val="72"/>
        </w:rPr>
      </w:pPr>
    </w:p>
    <w:p w14:paraId="635A639D">
      <w:pPr>
        <w:pStyle w:val="6"/>
        <w:rPr>
          <w:rFonts w:ascii="Times New Roman" w:hAnsi="Times New Roman" w:cs="Times New Roman"/>
        </w:rPr>
        <w:sectPr>
          <w:footerReference r:id="rId11" w:type="default"/>
          <w:pgSz w:w="11906" w:h="16838"/>
          <w:pgMar w:top="1417" w:right="1588" w:bottom="1417" w:left="1588" w:header="851" w:footer="992" w:gutter="0"/>
          <w:pgNumType w:start="1"/>
          <w:cols w:space="425" w:num="1"/>
          <w:docGrid w:type="lines" w:linePitch="312" w:charSpace="0"/>
        </w:sectPr>
      </w:pPr>
    </w:p>
    <w:p w14:paraId="1492A705">
      <w:pPr>
        <w:rPr>
          <w:rFonts w:ascii="Times New Roman" w:hAnsi="Times New Roman" w:eastAsia="方正小标宋_GBK" w:cs="Times New Roman"/>
          <w:sz w:val="72"/>
          <w:szCs w:val="72"/>
        </w:rPr>
      </w:pPr>
    </w:p>
    <w:p w14:paraId="6E41A264">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7E64712D">
      <w:pPr>
        <w:pStyle w:val="7"/>
        <w:ind w:left="0" w:leftChars="0" w:firstLine="1040" w:firstLineChars="200"/>
        <w:rPr>
          <w:rFonts w:ascii="Times New Roman" w:hAnsi="Times New Roman" w:cs="Times New Roman"/>
        </w:rPr>
      </w:pPr>
      <w:r>
        <w:rPr>
          <w:rFonts w:hint="eastAsia" w:ascii="Times New Roman" w:hAnsi="Times New Roman" w:eastAsia="方正小标宋_GBK" w:cs="Times New Roman"/>
          <w:sz w:val="52"/>
          <w:szCs w:val="52"/>
          <w:lang w:eastAsia="zh-CN"/>
        </w:rPr>
        <w:t>怀化市不动产登记中心</w:t>
      </w:r>
      <w:r>
        <w:rPr>
          <w:rFonts w:ascii="Times New Roman" w:hAnsi="Times New Roman" w:eastAsia="方正小标宋_GBK" w:cs="Times New Roman"/>
          <w:sz w:val="52"/>
          <w:szCs w:val="52"/>
        </w:rPr>
        <w:t>概况</w:t>
      </w:r>
    </w:p>
    <w:p w14:paraId="66F1C838">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38229ED9">
      <w:pPr>
        <w:ind w:firstLine="640" w:firstLineChars="200"/>
        <w:rPr>
          <w:rFonts w:ascii="仿宋" w:hAnsi="仿宋" w:eastAsia="仿宋" w:cs="仿宋"/>
          <w:sz w:val="32"/>
          <w:szCs w:val="32"/>
          <w:shd w:val="clear" w:color="auto" w:fill="FFFFFF"/>
          <w:lang w:eastAsia="zh-CN"/>
        </w:rPr>
      </w:pPr>
      <w:r>
        <w:rPr>
          <w:rFonts w:hint="eastAsia" w:ascii="仿宋" w:hAnsi="仿宋" w:eastAsia="仿宋" w:cs="仿宋"/>
          <w:sz w:val="32"/>
          <w:szCs w:val="32"/>
          <w:shd w:val="clear" w:color="auto" w:fill="FFFFFF"/>
          <w:lang w:eastAsia="zh-CN"/>
        </w:rPr>
        <w:t>根据湖南省机构编制委员会办公室《关于怀化市不动产登记中心机构编制事项的批复》（湘编办复字{2016}32号）和《怀化市机构编制委员会关于明确怀化市不动产登记中心机构规格的通知》（怀编{2016}29号）精神，怀化市不动产登记中心为市自然资源和规划局管理的副处级公益一类事业单位。</w:t>
      </w:r>
    </w:p>
    <w:p w14:paraId="50B5B803">
      <w:pPr>
        <w:ind w:firstLine="640" w:firstLineChars="200"/>
        <w:rPr>
          <w:rFonts w:ascii="仿宋" w:hAnsi="仿宋" w:eastAsia="仿宋" w:cs="仿宋"/>
          <w:color w:val="000000"/>
          <w:sz w:val="32"/>
          <w:szCs w:val="32"/>
          <w:lang w:eastAsia="zh-CN"/>
        </w:rPr>
      </w:pPr>
      <w:r>
        <w:rPr>
          <w:rFonts w:hint="eastAsia" w:ascii="仿宋" w:hAnsi="仿宋" w:eastAsia="仿宋" w:cs="仿宋"/>
          <w:color w:val="000000"/>
          <w:sz w:val="32"/>
          <w:szCs w:val="32"/>
          <w:lang w:eastAsia="zh-CN"/>
        </w:rPr>
        <w:t>主要职责包括：</w:t>
      </w:r>
    </w:p>
    <w:p w14:paraId="044B1AC9">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1、依法统一受理和办理鹤城区行政区划范围内不动产权利登记事务。</w:t>
      </w:r>
    </w:p>
    <w:p w14:paraId="5DF28538">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2、承担有关不动产登记权籍调查、统计分析、监测利用工作；协助市自然资源和规划局做好不动产权籍管理和因不动产登记引起的不动产权属争议、纠纷调处工作。</w:t>
      </w:r>
    </w:p>
    <w:p w14:paraId="7B22E952">
      <w:pPr>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3、负责有关不动产登记档案的归档、管理工作；依法提供不动产登记资料社会查询、咨询服务；协助市自然资源和规划局建立统一的不动产登记管理信息平台，推进不动产登记有关信息互通共享。</w:t>
      </w:r>
    </w:p>
    <w:p w14:paraId="28F7D203">
      <w:pPr>
        <w:ind w:firstLine="640" w:firstLineChars="200"/>
        <w:rPr>
          <w:rFonts w:hint="eastAsia" w:ascii="仿宋" w:hAnsi="仿宋" w:eastAsia="仿宋" w:cs="仿宋"/>
          <w:sz w:val="32"/>
          <w:szCs w:val="32"/>
          <w:lang w:eastAsia="zh-CN"/>
        </w:rPr>
      </w:pPr>
      <w:r>
        <w:rPr>
          <w:rFonts w:hint="eastAsia" w:ascii="仿宋" w:hAnsi="仿宋" w:eastAsia="仿宋" w:cs="仿宋"/>
          <w:sz w:val="32"/>
          <w:szCs w:val="32"/>
          <w:lang w:eastAsia="zh-CN"/>
        </w:rPr>
        <w:t>4、承担市自然资源和规划局交办的其他事项。</w:t>
      </w:r>
    </w:p>
    <w:p w14:paraId="48DAB59B">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D1A751B">
      <w:pPr>
        <w:spacing w:line="600" w:lineRule="exact"/>
        <w:ind w:firstLine="643" w:firstLineChars="200"/>
        <w:rPr>
          <w:rFonts w:ascii="仿宋" w:hAnsi="仿宋" w:eastAsia="仿宋" w:cs="仿宋"/>
          <w:b/>
          <w:sz w:val="32"/>
          <w:szCs w:val="32"/>
          <w:lang w:eastAsia="zh-CN"/>
        </w:rPr>
      </w:pPr>
      <w:r>
        <w:rPr>
          <w:rFonts w:hint="eastAsia" w:ascii="仿宋" w:hAnsi="仿宋" w:eastAsia="仿宋" w:cs="仿宋"/>
          <w:b/>
          <w:sz w:val="32"/>
          <w:szCs w:val="32"/>
          <w:lang w:eastAsia="zh-CN"/>
        </w:rPr>
        <w:t>（一）内设机构设置。</w:t>
      </w:r>
    </w:p>
    <w:p w14:paraId="4A6E008D">
      <w:pPr>
        <w:spacing w:line="600" w:lineRule="exact"/>
        <w:ind w:firstLine="640" w:firstLineChars="200"/>
        <w:rPr>
          <w:rFonts w:ascii="仿宋" w:hAnsi="仿宋" w:eastAsia="仿宋" w:cs="仿宋"/>
          <w:bCs/>
          <w:sz w:val="32"/>
          <w:szCs w:val="32"/>
          <w:lang w:eastAsia="zh-CN"/>
        </w:rPr>
      </w:pPr>
      <w:r>
        <w:rPr>
          <w:rFonts w:hint="eastAsia" w:ascii="仿宋" w:hAnsi="仿宋" w:eastAsia="仿宋" w:cs="仿宋"/>
          <w:bCs/>
          <w:sz w:val="32"/>
          <w:szCs w:val="32"/>
          <w:lang w:eastAsia="zh-CN"/>
        </w:rPr>
        <w:t>怀化市不动产登记中心内设科室为：办公室、财务室、法规室、权籍调查室（纠纷调处室）、测绘服务室、档案信息室。</w:t>
      </w:r>
    </w:p>
    <w:p w14:paraId="64421800">
      <w:pPr>
        <w:spacing w:line="600" w:lineRule="exact"/>
        <w:ind w:firstLine="643" w:firstLineChars="200"/>
        <w:rPr>
          <w:rFonts w:ascii="仿宋" w:hAnsi="仿宋" w:eastAsia="仿宋" w:cs="仿宋"/>
          <w:b/>
          <w:sz w:val="32"/>
          <w:szCs w:val="32"/>
          <w:lang w:eastAsia="zh-CN"/>
        </w:rPr>
      </w:pPr>
      <w:r>
        <w:rPr>
          <w:rFonts w:hint="eastAsia" w:ascii="仿宋" w:hAnsi="仿宋" w:eastAsia="仿宋" w:cs="仿宋"/>
          <w:b/>
          <w:sz w:val="32"/>
          <w:szCs w:val="32"/>
          <w:lang w:eastAsia="zh-CN"/>
        </w:rPr>
        <w:t>（二）决算单位构成。</w:t>
      </w:r>
    </w:p>
    <w:p w14:paraId="04F6C18D">
      <w:pPr>
        <w:spacing w:line="600" w:lineRule="exact"/>
        <w:ind w:firstLine="640" w:firstLineChars="200"/>
        <w:rPr>
          <w:rFonts w:ascii="仿宋" w:hAnsi="仿宋" w:eastAsia="仿宋" w:cs="仿宋"/>
          <w:bCs/>
          <w:sz w:val="32"/>
          <w:szCs w:val="32"/>
          <w:lang w:eastAsia="zh-CN"/>
        </w:rPr>
      </w:pPr>
      <w:r>
        <w:rPr>
          <w:rFonts w:hint="eastAsia" w:ascii="仿宋" w:hAnsi="仿宋" w:eastAsia="仿宋" w:cs="仿宋"/>
          <w:bCs/>
          <w:sz w:val="32"/>
          <w:szCs w:val="32"/>
          <w:lang w:eastAsia="zh-CN"/>
        </w:rPr>
        <w:t>怀化市不动产登记中心</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仿宋" w:hAnsi="仿宋" w:eastAsia="仿宋" w:cs="仿宋"/>
          <w:bCs/>
          <w:sz w:val="32"/>
          <w:szCs w:val="32"/>
          <w:lang w:eastAsia="zh-CN"/>
        </w:rPr>
        <w:t>怀化市不动产登记中心本级。</w:t>
      </w:r>
    </w:p>
    <w:p w14:paraId="7181C4BC">
      <w:pPr>
        <w:jc w:val="left"/>
        <w:rPr>
          <w:rFonts w:ascii="Times New Roman" w:hAnsi="Times New Roman" w:eastAsia="仿宋_GB2312" w:cs="Times New Roman"/>
          <w:sz w:val="28"/>
          <w:szCs w:val="32"/>
        </w:rPr>
      </w:pPr>
    </w:p>
    <w:p w14:paraId="55FD187E">
      <w:pPr>
        <w:jc w:val="center"/>
        <w:rPr>
          <w:rFonts w:ascii="Times New Roman" w:hAnsi="Times New Roman" w:eastAsia="黑体" w:cs="Times New Roman"/>
          <w:sz w:val="28"/>
          <w:szCs w:val="28"/>
        </w:rPr>
      </w:pPr>
    </w:p>
    <w:p w14:paraId="2436A001">
      <w:pPr>
        <w:jc w:val="center"/>
        <w:rPr>
          <w:rFonts w:ascii="Times New Roman" w:hAnsi="Times New Roman" w:eastAsia="黑体" w:cs="Times New Roman"/>
          <w:sz w:val="28"/>
          <w:szCs w:val="28"/>
        </w:rPr>
      </w:pPr>
    </w:p>
    <w:p w14:paraId="7A198025">
      <w:pPr>
        <w:jc w:val="center"/>
        <w:rPr>
          <w:rFonts w:ascii="Times New Roman" w:hAnsi="Times New Roman" w:eastAsia="黑体" w:cs="Times New Roman"/>
          <w:sz w:val="28"/>
          <w:szCs w:val="28"/>
        </w:rPr>
      </w:pPr>
    </w:p>
    <w:p w14:paraId="0A9565A5">
      <w:pPr>
        <w:jc w:val="center"/>
        <w:rPr>
          <w:rFonts w:ascii="Times New Roman" w:hAnsi="Times New Roman" w:eastAsia="黑体" w:cs="Times New Roman"/>
          <w:sz w:val="28"/>
          <w:szCs w:val="28"/>
        </w:rPr>
      </w:pPr>
    </w:p>
    <w:p w14:paraId="78645159">
      <w:pPr>
        <w:jc w:val="center"/>
        <w:rPr>
          <w:rFonts w:ascii="Times New Roman" w:hAnsi="Times New Roman" w:eastAsia="黑体" w:cs="Times New Roman"/>
          <w:sz w:val="28"/>
          <w:szCs w:val="28"/>
        </w:rPr>
      </w:pPr>
    </w:p>
    <w:p w14:paraId="05A50E82">
      <w:pPr>
        <w:pStyle w:val="6"/>
        <w:rPr>
          <w:rFonts w:ascii="Times New Roman" w:hAnsi="Times New Roman" w:cs="Times New Roman"/>
        </w:rPr>
        <w:sectPr>
          <w:footerReference r:id="rId12" w:type="default"/>
          <w:pgSz w:w="11906" w:h="16838"/>
          <w:pgMar w:top="1417" w:right="1588" w:bottom="1417" w:left="1588" w:header="851" w:footer="992" w:gutter="0"/>
          <w:pgNumType w:start="1"/>
          <w:cols w:space="425" w:num="1"/>
          <w:docGrid w:type="lines" w:linePitch="312" w:charSpace="0"/>
        </w:sectPr>
      </w:pPr>
    </w:p>
    <w:p w14:paraId="17F29142">
      <w:pPr>
        <w:pStyle w:val="14"/>
        <w:jc w:val="center"/>
        <w:rPr>
          <w:rFonts w:hint="eastAsia" w:ascii="方正小标宋_GBK" w:hAnsi="方正小标宋_GBK" w:eastAsia="方正小标宋_GBK" w:cs="方正小标宋_GBK"/>
          <w:sz w:val="84"/>
          <w:szCs w:val="84"/>
        </w:rPr>
      </w:pPr>
    </w:p>
    <w:p w14:paraId="1300E47C">
      <w:pPr>
        <w:pStyle w:val="14"/>
        <w:jc w:val="center"/>
        <w:rPr>
          <w:rFonts w:hint="eastAsia" w:ascii="方正小标宋_GBK" w:hAnsi="方正小标宋_GBK" w:eastAsia="方正小标宋_GBK" w:cs="方正小标宋_GBK"/>
          <w:sz w:val="84"/>
          <w:szCs w:val="84"/>
        </w:rPr>
      </w:pPr>
    </w:p>
    <w:p w14:paraId="16172863">
      <w:pPr>
        <w:pStyle w:val="14"/>
        <w:ind w:firstLine="5040" w:firstLineChars="600"/>
        <w:jc w:val="both"/>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44B42CDE">
      <w:pPr>
        <w:jc w:val="both"/>
        <w:rPr>
          <w:rFonts w:hint="eastAsia" w:ascii="宋体" w:hAnsi="宋体" w:eastAsia="宋体" w:cs="宋体"/>
          <w:sz w:val="48"/>
          <w:szCs w:val="48"/>
          <w:lang w:eastAsia="zh-CN"/>
        </w:rPr>
      </w:pPr>
    </w:p>
    <w:p w14:paraId="30A090B4">
      <w:pPr>
        <w:ind w:firstLine="5760" w:firstLineChars="1200"/>
        <w:jc w:val="both"/>
        <w:rPr>
          <w:rFonts w:hint="eastAsia" w:eastAsiaTheme="minorEastAsia"/>
          <w:sz w:val="72"/>
          <w:szCs w:val="72"/>
          <w:lang w:eastAsia="zh-CN"/>
        </w:rPr>
      </w:pPr>
      <w:r>
        <w:rPr>
          <w:rFonts w:hint="eastAsia" w:ascii="宋体" w:hAnsi="宋体" w:eastAsia="宋体" w:cs="宋体"/>
          <w:sz w:val="48"/>
          <w:szCs w:val="48"/>
          <w:lang w:eastAsia="zh-CN"/>
        </w:rPr>
        <w:t>见附件</w:t>
      </w:r>
    </w:p>
    <w:p w14:paraId="03EA9261">
      <w:pPr>
        <w:jc w:val="center"/>
        <w:rPr>
          <w:sz w:val="72"/>
          <w:szCs w:val="72"/>
        </w:rPr>
      </w:pPr>
    </w:p>
    <w:p w14:paraId="709B40EA">
      <w:pPr>
        <w:autoSpaceDE w:val="0"/>
        <w:autoSpaceDN w:val="0"/>
        <w:adjustRightInd w:val="0"/>
        <w:ind w:left="315" w:leftChars="150"/>
        <w:jc w:val="left"/>
        <w:rPr>
          <w:rFonts w:ascii="Times New Roman" w:hAnsi="Times New Roman" w:eastAsia="宋体" w:cs="Times New Roman"/>
          <w:kern w:val="0"/>
          <w:sz w:val="24"/>
          <w:szCs w:val="24"/>
        </w:rPr>
      </w:pPr>
    </w:p>
    <w:p w14:paraId="3F526028">
      <w:pPr>
        <w:autoSpaceDE w:val="0"/>
        <w:autoSpaceDN w:val="0"/>
        <w:adjustRightInd w:val="0"/>
        <w:ind w:left="315" w:leftChars="150"/>
        <w:jc w:val="left"/>
        <w:rPr>
          <w:rFonts w:ascii="Times New Roman" w:hAnsi="Times New Roman" w:eastAsia="宋体" w:cs="Times New Roman"/>
          <w:kern w:val="0"/>
          <w:sz w:val="24"/>
          <w:szCs w:val="24"/>
        </w:rPr>
      </w:pPr>
    </w:p>
    <w:p w14:paraId="6CA4CB78">
      <w:pPr>
        <w:autoSpaceDE w:val="0"/>
        <w:autoSpaceDN w:val="0"/>
        <w:adjustRightInd w:val="0"/>
        <w:ind w:left="315" w:leftChars="150"/>
        <w:jc w:val="left"/>
        <w:rPr>
          <w:rFonts w:ascii="Times New Roman" w:hAnsi="Times New Roman" w:eastAsia="宋体" w:cs="Times New Roman"/>
          <w:kern w:val="0"/>
          <w:sz w:val="24"/>
          <w:szCs w:val="24"/>
        </w:rPr>
      </w:pPr>
    </w:p>
    <w:p w14:paraId="24BC643A">
      <w:pPr>
        <w:autoSpaceDE w:val="0"/>
        <w:autoSpaceDN w:val="0"/>
        <w:adjustRightInd w:val="0"/>
        <w:ind w:left="315" w:leftChars="150"/>
        <w:jc w:val="left"/>
        <w:rPr>
          <w:rFonts w:ascii="Times New Roman" w:hAnsi="Times New Roman" w:eastAsia="宋体" w:cs="Times New Roman"/>
          <w:kern w:val="0"/>
          <w:sz w:val="24"/>
          <w:szCs w:val="24"/>
        </w:rPr>
      </w:pPr>
    </w:p>
    <w:p w14:paraId="287228CF">
      <w:pPr>
        <w:autoSpaceDE w:val="0"/>
        <w:autoSpaceDN w:val="0"/>
        <w:adjustRightInd w:val="0"/>
        <w:ind w:left="315" w:leftChars="150"/>
        <w:jc w:val="left"/>
        <w:rPr>
          <w:rFonts w:ascii="Times New Roman" w:hAnsi="Times New Roman" w:eastAsia="宋体" w:cs="Times New Roman"/>
          <w:kern w:val="0"/>
          <w:sz w:val="24"/>
          <w:szCs w:val="24"/>
        </w:rPr>
      </w:pPr>
    </w:p>
    <w:p w14:paraId="5808C15C">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5DBA8B4B">
      <w:pPr>
        <w:pStyle w:val="14"/>
        <w:rPr>
          <w:rFonts w:ascii="Times New Roman" w:hAnsi="Times New Roman" w:cs="Times New Roman"/>
          <w:sz w:val="72"/>
          <w:szCs w:val="72"/>
        </w:rPr>
      </w:pPr>
    </w:p>
    <w:p w14:paraId="41EA12C0">
      <w:pPr>
        <w:pStyle w:val="14"/>
        <w:rPr>
          <w:rFonts w:ascii="Times New Roman" w:hAnsi="Times New Roman" w:cs="Times New Roman"/>
          <w:sz w:val="72"/>
          <w:szCs w:val="72"/>
        </w:rPr>
      </w:pPr>
    </w:p>
    <w:p w14:paraId="0F5032CD">
      <w:pPr>
        <w:pStyle w:val="14"/>
        <w:rPr>
          <w:rFonts w:ascii="Times New Roman" w:hAnsi="Times New Roman" w:cs="Times New Roman"/>
          <w:sz w:val="72"/>
          <w:szCs w:val="72"/>
        </w:rPr>
      </w:pPr>
    </w:p>
    <w:p w14:paraId="5AE9FF12">
      <w:pPr>
        <w:pStyle w:val="14"/>
        <w:jc w:val="center"/>
        <w:rPr>
          <w:rFonts w:ascii="Times New Roman" w:hAnsi="Times New Roman" w:cs="Times New Roman"/>
          <w:sz w:val="72"/>
          <w:szCs w:val="72"/>
        </w:rPr>
      </w:pPr>
    </w:p>
    <w:p w14:paraId="3630E3A8">
      <w:pPr>
        <w:pStyle w:val="14"/>
        <w:jc w:val="center"/>
        <w:rPr>
          <w:rFonts w:ascii="Times New Roman" w:hAnsi="Times New Roman" w:eastAsia="方正小标宋_GBK" w:cs="Times New Roman"/>
          <w:sz w:val="72"/>
          <w:szCs w:val="72"/>
        </w:rPr>
      </w:pPr>
    </w:p>
    <w:p w14:paraId="7DFCA41F">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3D6E9AEE">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rPr>
        <w:t>5</w:t>
      </w:r>
      <w:r>
        <w:rPr>
          <w:rFonts w:ascii="Times New Roman" w:hAnsi="Times New Roman" w:eastAsia="方正小标宋_GBK" w:cs="Times New Roman"/>
          <w:sz w:val="52"/>
          <w:szCs w:val="52"/>
        </w:rPr>
        <w:t>年度部门决算情况说明</w:t>
      </w:r>
    </w:p>
    <w:p w14:paraId="2793124A">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4628D3C0">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059FFCB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2153.4</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92.62</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4.49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人员工资上调，收入增加</w:t>
      </w:r>
      <w:r>
        <w:rPr>
          <w:rFonts w:hint="eastAsia" w:ascii="Times New Roman" w:hAnsi="Times New Roman" w:eastAsia="仿宋_GB2312" w:cs="Times New Roman"/>
          <w:sz w:val="32"/>
          <w:szCs w:val="32"/>
        </w:rPr>
        <w:t>。</w:t>
      </w:r>
    </w:p>
    <w:p w14:paraId="0FE4561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eastAsia="zh-CN"/>
        </w:rPr>
        <w:t>人员基本工资福利支出</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商品服务支出</w:t>
      </w:r>
      <w:r>
        <w:rPr>
          <w:rFonts w:hint="eastAsia" w:ascii="Times New Roman" w:hAnsi="Times New Roman" w:eastAsia="仿宋_GB2312" w:cs="Times New Roman"/>
          <w:sz w:val="32"/>
          <w:szCs w:val="32"/>
        </w:rPr>
        <w:t>等重点支出，体现在有关支出科目中。</w:t>
      </w:r>
    </w:p>
    <w:p w14:paraId="01E3B72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3ADFEF71">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2153.4</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1948.79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90.5</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204.62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9.5</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2D524C48">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7B9D59F0">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2153.4</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2095.29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97.3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58.11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11EFFF46">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7B4225FF">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1948.79</w:t>
      </w:r>
      <w:r>
        <w:rPr>
          <w:rFonts w:ascii="Times New Roman" w:hAnsi="Times New Roman" w:eastAsia="仿宋_GB2312" w:cs="Times New Roman"/>
          <w:sz w:val="32"/>
          <w:szCs w:val="32"/>
        </w:rPr>
        <w:t>万元，与上年相比，增加</w:t>
      </w:r>
      <w:r>
        <w:rPr>
          <w:rFonts w:hint="eastAsia" w:ascii="Times New Roman" w:hAnsi="Times New Roman" w:eastAsia="仿宋_GB2312" w:cs="Times New Roman"/>
          <w:sz w:val="32"/>
          <w:szCs w:val="32"/>
          <w:lang w:val="en-US" w:eastAsia="zh-CN"/>
        </w:rPr>
        <w:t>155.88</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8.69</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工资调整。</w:t>
      </w:r>
    </w:p>
    <w:p w14:paraId="67C05C94">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1697B32">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5D338D44">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1772.63</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90.96</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15.17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0.86</w:t>
      </w:r>
      <w:r>
        <w:rPr>
          <w:rFonts w:ascii="Times New Roman" w:hAnsi="Times New Roman" w:eastAsia="仿宋_GB2312" w:cs="Times New Roman"/>
          <w:sz w:val="32"/>
          <w:szCs w:val="32"/>
        </w:rPr>
        <w:t>%，主要是因为</w:t>
      </w:r>
      <w:r>
        <w:rPr>
          <w:rFonts w:hint="eastAsia" w:ascii="Times New Roman" w:hAnsi="Times New Roman" w:eastAsia="仿宋_GB2312"/>
          <w:sz w:val="32"/>
          <w:szCs w:val="32"/>
        </w:rPr>
        <w:t>职工工资及五险一金正常调整</w:t>
      </w:r>
      <w:r>
        <w:rPr>
          <w:rFonts w:hint="eastAsia" w:ascii="Times New Roman" w:hAnsi="Times New Roman" w:eastAsia="仿宋_GB2312"/>
          <w:sz w:val="32"/>
          <w:szCs w:val="32"/>
          <w:lang w:eastAsia="zh-CN"/>
        </w:rPr>
        <w:t>。</w:t>
      </w:r>
    </w:p>
    <w:p w14:paraId="1479DDCA">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50159A5E">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1772.63</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960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54.16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40.99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2.31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卫生健康（类）支出</w:t>
      </w:r>
      <w:r>
        <w:rPr>
          <w:rFonts w:hint="eastAsia" w:ascii="Times New Roman" w:hAnsi="Times New Roman" w:eastAsia="仿宋_GB2312" w:cs="Times New Roman"/>
          <w:sz w:val="32"/>
          <w:szCs w:val="32"/>
          <w:lang w:val="en-US" w:eastAsia="zh-CN"/>
        </w:rPr>
        <w:t>0.66万元，占0.04%；城乡社区（类）支出328.16万元，占18.51%；自然资源海洋气象（类）等支出242.82万元，占13.7%；其他支出200万元，占11.28%。</w:t>
      </w:r>
    </w:p>
    <w:p w14:paraId="20A0F28C">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53EC0732">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1590.46</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1772.63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111.45</w:t>
      </w:r>
      <w:r>
        <w:rPr>
          <w:rFonts w:ascii="Times New Roman" w:hAnsi="Times New Roman" w:eastAsia="仿宋_GB2312" w:cs="Times New Roman"/>
          <w:sz w:val="32"/>
          <w:szCs w:val="32"/>
        </w:rPr>
        <w:t>%，其中：</w:t>
      </w:r>
    </w:p>
    <w:p w14:paraId="12DB4AA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lang w:eastAsia="zh-CN"/>
        </w:rPr>
        <w:t>人大事务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行政运行</w:t>
      </w:r>
      <w:r>
        <w:rPr>
          <w:rFonts w:ascii="Times New Roman" w:hAnsi="Times New Roman" w:eastAsia="仿宋_GB2312" w:cs="Times New Roman"/>
          <w:sz w:val="32"/>
          <w:szCs w:val="32"/>
        </w:rPr>
        <w:t>（项）。</w:t>
      </w:r>
    </w:p>
    <w:p w14:paraId="2EE00AC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172.27</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行政运行年初未列入预算，执行中增加预算。</w:t>
      </w:r>
    </w:p>
    <w:p w14:paraId="5EEF5D97">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lang w:eastAsia="zh-CN"/>
        </w:rPr>
        <w:t>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lang w:eastAsia="zh-CN"/>
        </w:rPr>
        <w:t>其他一般公共服务支出</w:t>
      </w:r>
      <w:r>
        <w:rPr>
          <w:rFonts w:ascii="Times New Roman" w:hAnsi="Times New Roman" w:eastAsia="仿宋_GB2312" w:cs="Times New Roman"/>
          <w:sz w:val="32"/>
          <w:szCs w:val="32"/>
        </w:rPr>
        <w:t>（项）。</w:t>
      </w:r>
    </w:p>
    <w:p w14:paraId="6C312ED5">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827.09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789.72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95.48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eastAsia="zh-CN"/>
        </w:rPr>
        <w:t>严格按照财政支出标准，厉行节约</w:t>
      </w:r>
      <w:r>
        <w:rPr>
          <w:rFonts w:hint="eastAsia" w:ascii="Times New Roman" w:hAnsi="Times New Roman" w:eastAsia="仿宋_GB2312"/>
          <w:sz w:val="32"/>
          <w:szCs w:val="32"/>
          <w:lang w:eastAsia="zh-CN" w:bidi="en-US"/>
        </w:rPr>
        <w:t>。</w:t>
      </w:r>
    </w:p>
    <w:p w14:paraId="443539BB">
      <w:pPr>
        <w:pStyle w:val="14"/>
        <w:numPr>
          <w:ilvl w:val="0"/>
          <w:numId w:val="1"/>
        </w:numPr>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rPr>
        <w:t>社会保障和就业支出（类）行政事业单位养老支出（款）机关事业单位基本养老保险缴费支出（项）</w:t>
      </w:r>
      <w:r>
        <w:rPr>
          <w:rFonts w:hint="eastAsia" w:ascii="Times New Roman" w:hAnsi="Times New Roman" w:eastAsia="仿宋_GB2312"/>
          <w:sz w:val="32"/>
          <w:szCs w:val="32"/>
          <w:lang w:eastAsia="zh-CN"/>
        </w:rPr>
        <w:t>。</w:t>
      </w:r>
    </w:p>
    <w:p w14:paraId="24A42AAA">
      <w:pPr>
        <w:pStyle w:val="14"/>
        <w:numPr>
          <w:ilvl w:val="0"/>
          <w:numId w:val="0"/>
        </w:numPr>
        <w:overflowPunct w:val="0"/>
        <w:autoSpaceDE/>
        <w:autoSpaceDN/>
        <w:spacing w:line="600" w:lineRule="exact"/>
        <w:ind w:firstLine="64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年初预算39.67万元，支出决算40.99万元，完成年初预算的103.32%，决算数大于预算数主要是因为养老保险基数的调整。</w:t>
      </w:r>
    </w:p>
    <w:p w14:paraId="436A7002">
      <w:pPr>
        <w:pStyle w:val="14"/>
        <w:numPr>
          <w:ilvl w:val="0"/>
          <w:numId w:val="1"/>
        </w:numPr>
        <w:overflowPunct w:val="0"/>
        <w:autoSpaceDE/>
        <w:autoSpaceDN/>
        <w:spacing w:line="600" w:lineRule="exact"/>
        <w:ind w:left="0" w:leftChars="0"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卫生健康（类）行政单位医疗支出（款）行政单位医疗支出（项）</w:t>
      </w:r>
    </w:p>
    <w:p w14:paraId="42E7D3A3">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0.66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无法计算完成比例</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eastAsia="zh-CN"/>
        </w:rPr>
        <w:t>行政运行年初未列入预算，执行中增加预算。</w:t>
      </w:r>
    </w:p>
    <w:p w14:paraId="5FDBF4EC">
      <w:pPr>
        <w:pStyle w:val="14"/>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s="Times New Roman"/>
          <w:sz w:val="32"/>
          <w:szCs w:val="32"/>
          <w:lang w:val="en-US" w:eastAsia="zh-CN"/>
        </w:rPr>
        <w:t>5、</w:t>
      </w:r>
      <w:r>
        <w:rPr>
          <w:rFonts w:hint="eastAsia" w:ascii="Times New Roman" w:hAnsi="Times New Roman" w:eastAsia="仿宋_GB2312"/>
          <w:sz w:val="32"/>
          <w:szCs w:val="32"/>
        </w:rPr>
        <w:t>城乡社区支出（类）城乡社区管理事务（款）</w:t>
      </w:r>
      <w:r>
        <w:rPr>
          <w:rFonts w:hint="eastAsia" w:ascii="Times New Roman" w:hAnsi="Times New Roman" w:eastAsia="仿宋_GB2312"/>
          <w:sz w:val="32"/>
          <w:szCs w:val="32"/>
          <w:lang w:eastAsia="zh-CN"/>
        </w:rPr>
        <w:t>其他城乡社区管理事务支出</w:t>
      </w:r>
      <w:r>
        <w:rPr>
          <w:rFonts w:hint="eastAsia" w:ascii="Times New Roman" w:hAnsi="Times New Roman" w:eastAsia="仿宋_GB2312"/>
          <w:sz w:val="32"/>
          <w:szCs w:val="32"/>
        </w:rPr>
        <w:t>（项）。</w:t>
      </w:r>
    </w:p>
    <w:p w14:paraId="3E42C756">
      <w:pPr>
        <w:pStyle w:val="14"/>
        <w:spacing w:line="600" w:lineRule="exact"/>
        <w:ind w:firstLine="640" w:firstLineChars="20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503.15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328.16</w:t>
      </w:r>
      <w:r>
        <w:rPr>
          <w:rFonts w:hint="eastAsia" w:ascii="Times New Roman" w:hAnsi="Times New Roman" w:eastAsia="仿宋_GB2312"/>
          <w:sz w:val="32"/>
          <w:szCs w:val="32"/>
        </w:rPr>
        <w:t>万元，完成</w:t>
      </w:r>
      <w:r>
        <w:rPr>
          <w:rFonts w:hint="eastAsia" w:ascii="Times New Roman" w:hAnsi="Times New Roman" w:eastAsia="仿宋_GB2312"/>
          <w:sz w:val="32"/>
          <w:szCs w:val="32"/>
          <w:lang w:eastAsia="zh-CN"/>
        </w:rPr>
        <w:t>年初预算的</w:t>
      </w:r>
      <w:r>
        <w:rPr>
          <w:rFonts w:hint="eastAsia" w:ascii="Times New Roman" w:hAnsi="Times New Roman" w:eastAsia="仿宋_GB2312"/>
          <w:sz w:val="32"/>
          <w:szCs w:val="32"/>
          <w:lang w:val="en-US" w:eastAsia="zh-CN"/>
        </w:rPr>
        <w:t>65.22%</w:t>
      </w:r>
      <w:r>
        <w:rPr>
          <w:rFonts w:hint="eastAsia" w:ascii="Times New Roman" w:hAnsi="Times New Roman" w:eastAsia="仿宋_GB2312"/>
          <w:sz w:val="32"/>
          <w:szCs w:val="32"/>
        </w:rPr>
        <w:t>，决算数小于年初预算的主要原因是：</w:t>
      </w:r>
      <w:r>
        <w:rPr>
          <w:rFonts w:hint="eastAsia" w:ascii="Times New Roman" w:hAnsi="Times New Roman" w:eastAsia="仿宋_GB2312" w:cs="Times New Roman"/>
          <w:sz w:val="32"/>
          <w:szCs w:val="32"/>
          <w:lang w:eastAsia="zh-CN"/>
        </w:rPr>
        <w:t>严格按照财政支出标准，厉行节约</w:t>
      </w:r>
      <w:r>
        <w:rPr>
          <w:rFonts w:hint="eastAsia" w:ascii="Times New Roman" w:hAnsi="Times New Roman" w:eastAsia="仿宋_GB2312"/>
          <w:sz w:val="32"/>
          <w:szCs w:val="32"/>
        </w:rPr>
        <w:t>。</w:t>
      </w:r>
    </w:p>
    <w:p w14:paraId="55884824">
      <w:pPr>
        <w:pStyle w:val="14"/>
        <w:spacing w:line="600" w:lineRule="exact"/>
        <w:ind w:firstLine="800" w:firstLineChars="250"/>
        <w:rPr>
          <w:rFonts w:ascii="Times New Roman" w:hAnsi="Times New Roman" w:eastAsia="仿宋_GB2312"/>
          <w:sz w:val="32"/>
          <w:szCs w:val="32"/>
        </w:rPr>
      </w:pPr>
      <w:r>
        <w:rPr>
          <w:rFonts w:hint="eastAsia" w:ascii="Times New Roman" w:hAnsi="Times New Roman" w:eastAsia="仿宋_GB2312"/>
          <w:sz w:val="32"/>
          <w:szCs w:val="32"/>
          <w:lang w:val="en-US" w:eastAsia="zh-CN"/>
        </w:rPr>
        <w:t>6、</w:t>
      </w:r>
      <w:r>
        <w:rPr>
          <w:rFonts w:hint="eastAsia" w:ascii="Times New Roman" w:hAnsi="Times New Roman" w:eastAsia="仿宋_GB2312"/>
          <w:sz w:val="32"/>
          <w:szCs w:val="32"/>
        </w:rPr>
        <w:t>自然资源海洋气象等支出（类）自然资源事务（款）</w:t>
      </w:r>
      <w:r>
        <w:rPr>
          <w:rFonts w:hint="eastAsia" w:ascii="Times New Roman" w:hAnsi="Times New Roman" w:eastAsia="仿宋_GB2312"/>
          <w:sz w:val="32"/>
          <w:szCs w:val="32"/>
          <w:lang w:eastAsia="zh-CN"/>
        </w:rPr>
        <w:t>行政</w:t>
      </w:r>
      <w:r>
        <w:rPr>
          <w:rFonts w:hint="eastAsia" w:ascii="Times New Roman" w:hAnsi="Times New Roman" w:eastAsia="仿宋_GB2312"/>
          <w:sz w:val="32"/>
          <w:szCs w:val="32"/>
        </w:rPr>
        <w:t>运行（项）</w:t>
      </w:r>
    </w:p>
    <w:p w14:paraId="4786D360">
      <w:pPr>
        <w:pStyle w:val="14"/>
        <w:spacing w:line="600" w:lineRule="exact"/>
        <w:ind w:firstLine="800" w:firstLineChars="250"/>
        <w:rPr>
          <w:rFonts w:hint="eastAsia" w:ascii="Times New Roman" w:hAnsi="Times New Roman" w:eastAsia="仿宋_GB2312"/>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220.55</w:t>
      </w:r>
      <w:r>
        <w:rPr>
          <w:rFonts w:hint="eastAsia" w:ascii="Times New Roman" w:hAnsi="Times New Roman" w:eastAsia="仿宋_GB2312"/>
          <w:sz w:val="32"/>
          <w:szCs w:val="32"/>
        </w:rPr>
        <w:t>万元，支出决算</w:t>
      </w:r>
      <w:r>
        <w:rPr>
          <w:rFonts w:hint="eastAsia" w:ascii="Times New Roman" w:hAnsi="Times New Roman" w:eastAsia="仿宋_GB2312"/>
          <w:sz w:val="32"/>
          <w:szCs w:val="32"/>
          <w:lang w:val="en-US" w:eastAsia="zh-CN"/>
        </w:rPr>
        <w:t>242.82</w:t>
      </w:r>
      <w:r>
        <w:rPr>
          <w:rFonts w:hint="eastAsia" w:ascii="Times New Roman" w:hAnsi="Times New Roman" w:eastAsia="仿宋_GB2312"/>
          <w:sz w:val="32"/>
          <w:szCs w:val="32"/>
        </w:rPr>
        <w:t>万元，完成年初预算</w:t>
      </w:r>
      <w:r>
        <w:rPr>
          <w:rFonts w:hint="eastAsia" w:ascii="Times New Roman" w:hAnsi="Times New Roman" w:eastAsia="仿宋_GB2312"/>
          <w:sz w:val="32"/>
          <w:szCs w:val="32"/>
          <w:lang w:val="en-US" w:eastAsia="zh-CN"/>
        </w:rPr>
        <w:t>110</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大</w:t>
      </w:r>
      <w:r>
        <w:rPr>
          <w:rFonts w:hint="eastAsia" w:ascii="Times New Roman" w:hAnsi="Times New Roman" w:eastAsia="仿宋_GB2312"/>
          <w:sz w:val="32"/>
          <w:szCs w:val="32"/>
        </w:rPr>
        <w:t>于年初预算的主要原因是：</w:t>
      </w:r>
      <w:r>
        <w:rPr>
          <w:rFonts w:hint="eastAsia" w:ascii="Times New Roman" w:hAnsi="Times New Roman" w:eastAsia="仿宋_GB2312"/>
          <w:sz w:val="32"/>
          <w:szCs w:val="32"/>
          <w:lang w:eastAsia="zh-CN" w:bidi="en-US"/>
        </w:rPr>
        <w:t>行政运行部分支出年初未列入预算，执行中增加</w:t>
      </w:r>
      <w:r>
        <w:rPr>
          <w:rFonts w:hint="eastAsia" w:ascii="Times New Roman" w:hAnsi="Times New Roman" w:eastAsia="仿宋_GB2312"/>
          <w:sz w:val="32"/>
          <w:szCs w:val="32"/>
        </w:rPr>
        <w:t>。</w:t>
      </w:r>
    </w:p>
    <w:p w14:paraId="3E9C8806">
      <w:pPr>
        <w:pStyle w:val="14"/>
        <w:numPr>
          <w:ilvl w:val="0"/>
          <w:numId w:val="2"/>
        </w:numPr>
        <w:spacing w:line="600" w:lineRule="exact"/>
        <w:ind w:firstLine="640" w:firstLineChars="200"/>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其他支出（类）其他支出（款）其他支出（项）</w:t>
      </w:r>
    </w:p>
    <w:p w14:paraId="187903FB">
      <w:pPr>
        <w:pStyle w:val="14"/>
        <w:numPr>
          <w:ilvl w:val="0"/>
          <w:numId w:val="0"/>
        </w:numPr>
        <w:spacing w:line="600"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年初预算为0，支出决算200万元，无法计算完成比例，决算大于年初预算的主要原因是：其他支出未列入年初预算，执行中增加预算。</w:t>
      </w:r>
    </w:p>
    <w:p w14:paraId="40F72699">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按照支出功能分类，</w:t>
      </w:r>
      <w:r>
        <w:rPr>
          <w:rFonts w:hint="eastAsia" w:ascii="Times New Roman" w:hAnsi="Times New Roman" w:eastAsia="仿宋_GB2312" w:cs="Times New Roman"/>
          <w:sz w:val="32"/>
          <w:szCs w:val="32"/>
          <w:lang w:eastAsia="zh-CN"/>
        </w:rPr>
        <w:t>一般公共服务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eastAsia="zh-CN"/>
        </w:rPr>
        <w:t>其他一般公共服务支出</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789.72</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44.55</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eastAsia="zh-CN"/>
        </w:rPr>
        <w:t>人员基本工资和福利支出</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0F95491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338D0C24">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1772.63</w:t>
      </w:r>
      <w:r>
        <w:rPr>
          <w:rFonts w:ascii="Times New Roman" w:hAnsi="Times New Roman" w:eastAsia="仿宋_GB2312" w:cs="Times New Roman"/>
          <w:sz w:val="32"/>
          <w:szCs w:val="32"/>
        </w:rPr>
        <w:t>万元，其中：</w:t>
      </w:r>
    </w:p>
    <w:p w14:paraId="2A2A2574">
      <w:pPr>
        <w:pStyle w:val="14"/>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1637.28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92.36</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基本工资、津贴补贴、奖金、伙食补助费、绩效工资、机关事业单位基本养老保险缴费、职工基本医疗保险缴费、</w:t>
      </w:r>
      <w:r>
        <w:rPr>
          <w:rFonts w:hint="eastAsia" w:ascii="Times New Roman" w:hAnsi="Times New Roman" w:eastAsia="仿宋_GB2312"/>
          <w:sz w:val="32"/>
          <w:szCs w:val="32"/>
          <w:lang w:eastAsia="zh-CN"/>
        </w:rPr>
        <w:t>其他社会保障缴费、住房公积金、</w:t>
      </w:r>
      <w:r>
        <w:rPr>
          <w:rFonts w:hint="eastAsia" w:ascii="Times New Roman" w:hAnsi="Times New Roman" w:eastAsia="仿宋_GB2312"/>
          <w:sz w:val="32"/>
          <w:szCs w:val="32"/>
        </w:rPr>
        <w:t>对个人和家庭的补助、生活补助、医疗补助、</w:t>
      </w:r>
      <w:r>
        <w:rPr>
          <w:rFonts w:hint="eastAsia" w:ascii="Times New Roman" w:hAnsi="Times New Roman" w:eastAsia="仿宋_GB2312"/>
          <w:sz w:val="32"/>
          <w:szCs w:val="32"/>
          <w:lang w:eastAsia="zh-CN"/>
        </w:rPr>
        <w:t>奖励金、</w:t>
      </w:r>
      <w:r>
        <w:rPr>
          <w:rFonts w:hint="eastAsia" w:ascii="Times New Roman" w:hAnsi="Times New Roman" w:eastAsia="仿宋_GB2312"/>
          <w:sz w:val="32"/>
          <w:szCs w:val="32"/>
        </w:rPr>
        <w:t>其他</w:t>
      </w:r>
      <w:r>
        <w:rPr>
          <w:rFonts w:hint="eastAsia" w:ascii="Times New Roman" w:hAnsi="Times New Roman" w:eastAsia="仿宋_GB2312"/>
          <w:sz w:val="32"/>
          <w:szCs w:val="32"/>
          <w:lang w:eastAsia="zh-CN"/>
        </w:rPr>
        <w:t>对</w:t>
      </w:r>
      <w:r>
        <w:rPr>
          <w:rFonts w:hint="eastAsia" w:ascii="Times New Roman" w:hAnsi="Times New Roman" w:eastAsia="仿宋_GB2312"/>
          <w:sz w:val="32"/>
          <w:szCs w:val="32"/>
        </w:rPr>
        <w:t>个</w:t>
      </w:r>
      <w:r>
        <w:rPr>
          <w:rFonts w:hint="eastAsia" w:ascii="Times New Roman" w:hAnsi="Times New Roman" w:eastAsia="仿宋_GB2312"/>
          <w:sz w:val="32"/>
          <w:szCs w:val="32"/>
          <w:lang w:eastAsia="zh-CN"/>
        </w:rPr>
        <w:t>人和家庭的补助。</w:t>
      </w:r>
    </w:p>
    <w:p w14:paraId="66DBB23F">
      <w:pPr>
        <w:pStyle w:val="14"/>
        <w:overflowPunct w:val="0"/>
        <w:autoSpaceDE/>
        <w:autoSpaceDN/>
        <w:spacing w:line="600" w:lineRule="exact"/>
        <w:ind w:firstLine="640" w:firstLineChars="200"/>
        <w:jc w:val="both"/>
        <w:rPr>
          <w:rFonts w:hint="eastAsia" w:ascii="Times New Roman" w:hAnsi="Times New Roman" w:eastAsia="仿宋_GB2312" w:cs="Times New Roman"/>
          <w:b/>
          <w:sz w:val="32"/>
          <w:szCs w:val="32"/>
          <w:lang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b/>
          <w:bCs/>
          <w:sz w:val="32"/>
          <w:szCs w:val="32"/>
          <w:lang w:val="en-US" w:eastAsia="zh-CN"/>
        </w:rPr>
        <w:t>106.7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6.02</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邮电费</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差旅</w:t>
      </w:r>
      <w:r>
        <w:rPr>
          <w:rFonts w:ascii="Times New Roman" w:hAnsi="Times New Roman" w:eastAsia="仿宋_GB2312" w:cs="Times New Roman"/>
          <w:sz w:val="32"/>
          <w:szCs w:val="32"/>
        </w:rPr>
        <w:t>费</w:t>
      </w:r>
      <w:r>
        <w:rPr>
          <w:rFonts w:hint="eastAsia" w:ascii="Times New Roman" w:hAnsi="Times New Roman" w:eastAsia="仿宋_GB2312" w:cs="Times New Roman"/>
          <w:sz w:val="32"/>
          <w:szCs w:val="32"/>
          <w:lang w:eastAsia="zh-CN"/>
        </w:rPr>
        <w:t>、维护费、劳务费、委托业务费、工会经费、福利费、公务用车运行维护费、其他交通费、其他商品和服务支出。</w:t>
      </w:r>
    </w:p>
    <w:p w14:paraId="37FB1665">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1CF2E784">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70D9F0E0">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3.26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eastAsia="zh-CN"/>
        </w:rPr>
        <w:t>落实过“紧日子”要求，严格执行开支标准，厉行节约</w:t>
      </w:r>
      <w:r>
        <w:rPr>
          <w:rFonts w:ascii="Times New Roman" w:hAnsi="Times New Roman" w:eastAsia="仿宋_GB2312" w:cs="Times New Roman"/>
          <w:sz w:val="32"/>
          <w:szCs w:val="32"/>
        </w:rPr>
        <w:t>。</w:t>
      </w:r>
    </w:p>
    <w:p w14:paraId="70F645B1">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209F1642">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支出决算为0万元，</w:t>
      </w:r>
      <w:r>
        <w:rPr>
          <w:rFonts w:hint="eastAsia" w:ascii="Times New Roman" w:hAnsi="Times New Roman" w:eastAsia="仿宋_GB2312"/>
          <w:sz w:val="32"/>
          <w:szCs w:val="32"/>
          <w:lang w:eastAsia="zh-CN"/>
        </w:rPr>
        <w:t>预算决算金额均为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lang w:bidi="en-US"/>
        </w:rPr>
        <w:t>，</w:t>
      </w:r>
      <w:r>
        <w:rPr>
          <w:rFonts w:hint="eastAsia" w:ascii="Times New Roman" w:hAnsi="Times New Roman" w:eastAsia="仿宋_GB2312"/>
          <w:sz w:val="32"/>
          <w:szCs w:val="32"/>
          <w:lang w:eastAsia="zh-CN" w:bidi="en-US"/>
        </w:rPr>
        <w:t>无法计算完成百分比</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等于预算数。</w:t>
      </w:r>
      <w:r>
        <w:rPr>
          <w:rFonts w:hint="eastAsia" w:ascii="Times New Roman" w:hAnsi="Times New Roman" w:eastAsia="仿宋_GB2312"/>
          <w:sz w:val="32"/>
          <w:szCs w:val="32"/>
          <w:lang w:val="en-US" w:eastAsia="zh-CN"/>
        </w:rPr>
        <w:t>主要原因是单位未因公出国(境）</w:t>
      </w:r>
      <w:r>
        <w:rPr>
          <w:rFonts w:ascii="Times New Roman" w:hAnsi="Times New Roman" w:eastAsia="仿宋_GB2312" w:cs="Times New Roman"/>
          <w:sz w:val="32"/>
          <w:szCs w:val="32"/>
        </w:rPr>
        <w:t>。</w:t>
      </w:r>
    </w:p>
    <w:p w14:paraId="5AEE5B19">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30.67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69.7</w:t>
      </w:r>
      <w:r>
        <w:rPr>
          <w:rFonts w:ascii="Times New Roman" w:hAnsi="Times New Roman" w:eastAsia="仿宋_GB2312" w:cs="Times New Roman"/>
          <w:sz w:val="32"/>
          <w:szCs w:val="32"/>
        </w:rPr>
        <w:t>%。其中：</w:t>
      </w:r>
    </w:p>
    <w:p w14:paraId="024F175A">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lang w:eastAsia="zh-CN"/>
        </w:rPr>
        <w:t>预算决算金额均为</w:t>
      </w:r>
      <w:r>
        <w:rPr>
          <w:rFonts w:hint="eastAsia" w:ascii="Times New Roman" w:hAnsi="Times New Roman" w:eastAsia="仿宋_GB2312"/>
          <w:sz w:val="32"/>
          <w:szCs w:val="32"/>
          <w:lang w:val="en-US" w:eastAsia="zh-CN"/>
        </w:rPr>
        <w:t>0万元</w:t>
      </w:r>
      <w:r>
        <w:rPr>
          <w:rFonts w:hint="eastAsia" w:ascii="Times New Roman" w:hAnsi="Times New Roman" w:eastAsia="仿宋_GB2312"/>
          <w:sz w:val="32"/>
          <w:szCs w:val="32"/>
          <w:lang w:bidi="en-US"/>
        </w:rPr>
        <w:t>，</w:t>
      </w:r>
      <w:r>
        <w:rPr>
          <w:rFonts w:hint="eastAsia" w:ascii="Times New Roman" w:hAnsi="Times New Roman" w:eastAsia="仿宋_GB2312"/>
          <w:sz w:val="32"/>
          <w:szCs w:val="32"/>
          <w:lang w:eastAsia="zh-CN" w:bidi="en-US"/>
        </w:rPr>
        <w:t>无法计算完成百分比</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cs="Times New Roman"/>
          <w:sz w:val="32"/>
          <w:szCs w:val="32"/>
          <w:lang w:eastAsia="zh-CN"/>
        </w:rPr>
        <w:t>本单位未购入公务用车</w:t>
      </w:r>
      <w:r>
        <w:rPr>
          <w:rFonts w:ascii="Times New Roman" w:hAnsi="Times New Roman" w:eastAsia="仿宋_GB2312" w:cs="Times New Roman"/>
          <w:color w:val="000000" w:themeColor="text1"/>
          <w:sz w:val="32"/>
          <w:szCs w:val="32"/>
        </w:rPr>
        <w:t>。</w:t>
      </w:r>
    </w:p>
    <w:p w14:paraId="0CB8D796">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w:t>
      </w:r>
    </w:p>
    <w:p w14:paraId="7CDDAA0D">
      <w:pPr>
        <w:pStyle w:val="14"/>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eastAsia="zh-CN"/>
        </w:rPr>
        <w:t>车辆保养、保险和加油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30.67</w:t>
      </w:r>
      <w:r>
        <w:rPr>
          <w:rFonts w:ascii="Times New Roman" w:hAnsi="Times New Roman" w:eastAsia="仿宋_GB2312" w:cs="Times New Roman"/>
          <w:sz w:val="32"/>
          <w:szCs w:val="32"/>
        </w:rPr>
        <w:t>%；与上年相比减</w:t>
      </w:r>
      <w:r>
        <w:rPr>
          <w:rFonts w:hint="eastAsia" w:ascii="Times New Roman" w:hAnsi="Times New Roman" w:eastAsia="仿宋_GB2312" w:cs="Times New Roman"/>
          <w:sz w:val="32"/>
          <w:szCs w:val="32"/>
          <w:lang w:eastAsia="zh-CN"/>
        </w:rPr>
        <w:t>少</w:t>
      </w:r>
      <w:r>
        <w:rPr>
          <w:rFonts w:hint="eastAsia" w:ascii="Times New Roman" w:hAnsi="Times New Roman" w:eastAsia="仿宋_GB2312" w:cs="Times New Roman"/>
          <w:sz w:val="32"/>
          <w:szCs w:val="32"/>
          <w:lang w:val="en-US" w:eastAsia="zh-CN"/>
        </w:rPr>
        <w:t>2.3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69.7</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eastAsia="zh-CN"/>
        </w:rPr>
        <w:t>厉</w:t>
      </w:r>
      <w:r>
        <w:rPr>
          <w:rFonts w:hint="eastAsia" w:ascii="Times New Roman" w:hAnsi="Times New Roman" w:eastAsia="仿宋_GB2312"/>
          <w:sz w:val="32"/>
          <w:szCs w:val="32"/>
          <w:lang w:eastAsia="zh-CN"/>
        </w:rPr>
        <w:t>行节约，严格执行开支标准</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6BEA6E4C">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0.06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%。决算数大于（小于）上年数的主要原因是</w:t>
      </w:r>
      <w:r>
        <w:rPr>
          <w:rFonts w:hint="eastAsia" w:ascii="Times New Roman" w:hAnsi="Times New Roman" w:eastAsia="仿宋_GB2312" w:cs="Times New Roman"/>
          <w:sz w:val="32"/>
          <w:szCs w:val="32"/>
          <w:lang w:eastAsia="zh-CN"/>
        </w:rPr>
        <w:t>厉行节约</w:t>
      </w:r>
      <w:r>
        <w:rPr>
          <w:rFonts w:hint="eastAsia" w:ascii="Times New Roman" w:hAnsi="Times New Roman" w:eastAsia="仿宋_GB2312"/>
          <w:sz w:val="32"/>
          <w:szCs w:val="32"/>
          <w:lang w:eastAsia="zh-CN"/>
        </w:rPr>
        <w:t>，严格执行财政开支标准</w:t>
      </w:r>
      <w:r>
        <w:rPr>
          <w:rFonts w:ascii="Times New Roman" w:hAnsi="Times New Roman" w:eastAsia="仿宋_GB2312" w:cs="Times New Roman"/>
          <w:sz w:val="32"/>
          <w:szCs w:val="32"/>
        </w:rPr>
        <w:t>。</w:t>
      </w:r>
    </w:p>
    <w:p w14:paraId="17FC3D03">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4F90D96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176.16</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176.16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146.7</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29.46</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14:paraId="5A45E54B">
      <w:pPr>
        <w:pStyle w:val="14"/>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城乡社区支出（类）国有土地使用权出让收入安排的支出（款）土地出让业务支出（项）。</w:t>
      </w:r>
    </w:p>
    <w:p w14:paraId="4940BC26">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176.16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大</w:t>
      </w:r>
      <w:r>
        <w:rPr>
          <w:rFonts w:ascii="Times New Roman" w:hAnsi="Times New Roman" w:eastAsia="仿宋_GB2312" w:cs="Times New Roman"/>
          <w:sz w:val="32"/>
          <w:szCs w:val="32"/>
        </w:rPr>
        <w:t>于年初预算数</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lang w:eastAsia="zh-CN"/>
        </w:rPr>
        <w:t>增加</w:t>
      </w:r>
      <w:r>
        <w:rPr>
          <w:rFonts w:hint="eastAsia" w:ascii="Times New Roman" w:hAnsi="Times New Roman" w:eastAsia="仿宋_GB2312"/>
          <w:sz w:val="32"/>
          <w:szCs w:val="32"/>
        </w:rPr>
        <w:t>的主要原因是</w:t>
      </w:r>
      <w:r>
        <w:rPr>
          <w:rFonts w:hint="eastAsia" w:ascii="Times New Roman" w:hAnsi="Times New Roman" w:eastAsia="仿宋_GB2312"/>
          <w:sz w:val="32"/>
          <w:szCs w:val="32"/>
          <w:lang w:eastAsia="zh-CN"/>
        </w:rPr>
        <w:t>年初未列入预算，执行中增加预算</w:t>
      </w:r>
      <w:r>
        <w:rPr>
          <w:rFonts w:hint="eastAsia" w:ascii="Times New Roman" w:hAnsi="Times New Roman" w:eastAsia="仿宋_GB2312" w:cs="Times New Roman"/>
          <w:sz w:val="32"/>
          <w:szCs w:val="32"/>
          <w:lang w:eastAsia="zh-CN"/>
        </w:rPr>
        <w:t>。</w:t>
      </w:r>
    </w:p>
    <w:p w14:paraId="4166F224">
      <w:pPr>
        <w:autoSpaceDE w:val="0"/>
        <w:autoSpaceDN w:val="0"/>
        <w:adjustRightInd w:val="0"/>
        <w:spacing w:line="500" w:lineRule="exact"/>
        <w:ind w:firstLine="640" w:firstLineChars="200"/>
        <w:rPr>
          <w:rFonts w:ascii="黑体" w:hAnsi="黑体" w:eastAsia="黑体" w:cs="仿宋"/>
          <w:color w:val="000000"/>
          <w:sz w:val="32"/>
          <w:szCs w:val="32"/>
          <w:lang w:eastAsia="zh-CN"/>
        </w:rPr>
      </w:pPr>
      <w:r>
        <w:rPr>
          <w:rFonts w:hint="eastAsia" w:ascii="黑体" w:hAnsi="黑体" w:eastAsia="黑体"/>
          <w:sz w:val="32"/>
          <w:szCs w:val="32"/>
          <w:lang w:eastAsia="zh-CN"/>
        </w:rPr>
        <w:t>九、</w:t>
      </w:r>
      <w:r>
        <w:rPr>
          <w:rFonts w:hint="eastAsia" w:ascii="黑体" w:hAnsi="黑体" w:eastAsia="黑体" w:cs="仿宋"/>
          <w:color w:val="000000"/>
          <w:sz w:val="32"/>
          <w:szCs w:val="32"/>
          <w:lang w:eastAsia="zh-CN"/>
        </w:rPr>
        <w:t>国有资本经营预算财政拨款支出决算情况说明</w:t>
      </w:r>
    </w:p>
    <w:p w14:paraId="78FA5CFD">
      <w:pPr>
        <w:pStyle w:val="14"/>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2025年度</w:t>
      </w:r>
      <w:r>
        <w:rPr>
          <w:rFonts w:hint="eastAsia" w:ascii="Times New Roman" w:hAnsi="Times New Roman" w:eastAsia="仿宋_GB2312"/>
          <w:sz w:val="32"/>
          <w:szCs w:val="32"/>
        </w:rPr>
        <w:t>本单位无国有资本经营预算</w:t>
      </w:r>
      <w:r>
        <w:rPr>
          <w:rFonts w:hint="eastAsia" w:ascii="Times New Roman" w:hAnsi="Times New Roman" w:eastAsia="仿宋_GB2312"/>
          <w:sz w:val="32"/>
          <w:szCs w:val="32"/>
          <w:lang w:eastAsia="zh-CN"/>
        </w:rPr>
        <w:t>财政拨款支出。</w:t>
      </w:r>
    </w:p>
    <w:p w14:paraId="026F178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eastAsia="zh-CN"/>
        </w:rPr>
        <w:t>十</w:t>
      </w:r>
      <w:r>
        <w:rPr>
          <w:rFonts w:ascii="Times New Roman" w:hAnsi="Times New Roman" w:cs="Times New Roman"/>
          <w:bCs/>
          <w:sz w:val="32"/>
          <w:szCs w:val="32"/>
        </w:rPr>
        <w:t>、关于机关运行经费支出说明</w:t>
      </w:r>
    </w:p>
    <w:p w14:paraId="050003C8">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106.7</w:t>
      </w:r>
      <w:r>
        <w:rPr>
          <w:rFonts w:ascii="Times New Roman" w:hAnsi="Times New Roman" w:eastAsia="仿宋_GB2312" w:cs="Times New Roman"/>
          <w:sz w:val="32"/>
          <w:szCs w:val="32"/>
        </w:rPr>
        <w:t>万元，比上年决算数减少</w:t>
      </w:r>
      <w:r>
        <w:rPr>
          <w:rFonts w:hint="eastAsia" w:ascii="Times New Roman" w:hAnsi="Times New Roman" w:eastAsia="仿宋_GB2312" w:cs="Times New Roman"/>
          <w:sz w:val="32"/>
          <w:szCs w:val="32"/>
          <w:lang w:val="en-US" w:eastAsia="zh-CN"/>
        </w:rPr>
        <w:t>147.22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57.98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办公设施设备购置经费减少</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落实过紧日子要求压减支出</w:t>
      </w:r>
      <w:r>
        <w:rPr>
          <w:rFonts w:hint="eastAsia" w:ascii="Times New Roman" w:hAnsi="Times New Roman" w:eastAsia="仿宋_GB2312" w:cs="Times New Roman"/>
          <w:sz w:val="32"/>
          <w:szCs w:val="32"/>
          <w:lang w:eastAsia="zh-CN"/>
        </w:rPr>
        <w:t>。</w:t>
      </w:r>
    </w:p>
    <w:p w14:paraId="46C64BB2">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一</w:t>
      </w:r>
      <w:r>
        <w:rPr>
          <w:rFonts w:ascii="Times New Roman" w:hAnsi="Times New Roman" w:cs="Times New Roman"/>
          <w:bCs/>
          <w:sz w:val="32"/>
          <w:szCs w:val="32"/>
        </w:rPr>
        <w:t>、一般性支出情况说明</w:t>
      </w:r>
    </w:p>
    <w:p w14:paraId="5DEE6621">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万元；开支培训费</w:t>
      </w:r>
      <w:r>
        <w:rPr>
          <w:rFonts w:hint="eastAsia" w:ascii="Times New Roman" w:hAnsi="Times New Roman" w:eastAsia="仿宋_GB2312" w:cs="Times New Roman"/>
          <w:sz w:val="32"/>
          <w:szCs w:val="32"/>
          <w:lang w:val="en-US" w:eastAsia="zh-CN"/>
        </w:rPr>
        <w:t>0.05</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用于开展湖南省事业单位人员培训</w:t>
      </w:r>
      <w:r>
        <w:rPr>
          <w:rFonts w:ascii="Times New Roman" w:hAnsi="Times New Roman" w:eastAsia="仿宋_GB2312" w:cs="Times New Roman"/>
          <w:sz w:val="32"/>
          <w:szCs w:val="32"/>
        </w:rPr>
        <w:t>；</w:t>
      </w:r>
      <w:r>
        <w:rPr>
          <w:rFonts w:hint="eastAsia" w:ascii="Times New Roman" w:hAnsi="Times New Roman" w:eastAsia="仿宋_GB2312"/>
          <w:sz w:val="32"/>
          <w:szCs w:val="32"/>
        </w:rPr>
        <w:t>未举办节庆、晚会、论坛、赛事等活动，开支0万元</w:t>
      </w:r>
      <w:r>
        <w:rPr>
          <w:rFonts w:ascii="Times New Roman" w:hAnsi="Times New Roman" w:eastAsia="仿宋_GB2312" w:cs="Times New Roman"/>
          <w:sz w:val="32"/>
          <w:szCs w:val="32"/>
        </w:rPr>
        <w:t>。</w:t>
      </w:r>
    </w:p>
    <w:p w14:paraId="22D23395">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eastAsia="zh-CN"/>
        </w:rPr>
        <w:t>二</w:t>
      </w:r>
      <w:r>
        <w:rPr>
          <w:rFonts w:ascii="Times New Roman" w:hAnsi="Times New Roman" w:cs="Times New Roman"/>
          <w:bCs/>
          <w:sz w:val="32"/>
          <w:szCs w:val="32"/>
        </w:rPr>
        <w:t>、关于政府采购支出说明</w:t>
      </w:r>
    </w:p>
    <w:p w14:paraId="0CD6400E">
      <w:pPr>
        <w:pStyle w:val="14"/>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103.02</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58.11</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58.11</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58.11</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r>
        <w:rPr>
          <w:rFonts w:hint="eastAsia" w:ascii="Times New Roman" w:hAnsi="Times New Roman" w:eastAsia="仿宋_GB2312" w:cs="Times New Roman"/>
          <w:color w:val="auto"/>
          <w:sz w:val="32"/>
          <w:szCs w:val="32"/>
          <w:lang w:val="en-US" w:eastAsia="zh-CN"/>
        </w:rPr>
        <w:t>,</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100</w:t>
      </w:r>
      <w:r>
        <w:rPr>
          <w:rFonts w:ascii="Times New Roman" w:hAnsi="Times New Roman" w:eastAsia="仿宋_GB2312" w:cs="Times New Roman"/>
          <w:color w:val="auto"/>
          <w:sz w:val="32"/>
          <w:szCs w:val="32"/>
        </w:rPr>
        <w:t>%。</w:t>
      </w:r>
    </w:p>
    <w:p w14:paraId="6EB67E3F">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三</w:t>
      </w:r>
      <w:r>
        <w:rPr>
          <w:rFonts w:ascii="Times New Roman" w:hAnsi="Times New Roman" w:cs="Times New Roman"/>
          <w:bCs/>
          <w:color w:val="auto"/>
          <w:sz w:val="32"/>
          <w:szCs w:val="32"/>
        </w:rPr>
        <w:t>、关于国有资产占用情况说明</w:t>
      </w:r>
    </w:p>
    <w:p w14:paraId="64AC2BF8">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rPr>
        <w:t>5</w:t>
      </w:r>
      <w:r>
        <w:rPr>
          <w:rFonts w:ascii="Times New Roman" w:hAnsi="Times New Roman" w:eastAsia="仿宋_GB2312" w:cs="Times New Roman"/>
          <w:color w:val="auto"/>
          <w:sz w:val="32"/>
          <w:szCs w:val="32"/>
        </w:rPr>
        <w:t>年12月31日，部门共有车辆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sz w:val="32"/>
          <w:szCs w:val="32"/>
        </w:rPr>
        <w:t>地籍调查、落宗确权、日常公务用车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1</w:t>
      </w:r>
      <w:r>
        <w:rPr>
          <w:rFonts w:ascii="Times New Roman" w:hAnsi="Times New Roman" w:eastAsia="仿宋_GB2312" w:cs="Times New Roman"/>
          <w:color w:val="auto"/>
          <w:sz w:val="32"/>
          <w:szCs w:val="32"/>
        </w:rPr>
        <w:t>套。</w:t>
      </w:r>
    </w:p>
    <w:p w14:paraId="625F4E85">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rPr>
        <w:t>5</w:t>
      </w:r>
      <w:r>
        <w:rPr>
          <w:rFonts w:ascii="Times New Roman" w:hAnsi="Times New Roman" w:cs="Times New Roman"/>
          <w:bCs/>
          <w:color w:val="auto"/>
          <w:sz w:val="32"/>
          <w:szCs w:val="32"/>
        </w:rPr>
        <w:t>年度预算绩效情况的说明</w:t>
      </w:r>
    </w:p>
    <w:p w14:paraId="2786AA18">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年度本部门整体支出开展绩效自评，涉及项目</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58.11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28.65</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49.3</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29.46</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50.7</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32766067">
      <w:pPr>
        <w:overflowPunct w:val="0"/>
        <w:spacing w:line="600" w:lineRule="exact"/>
        <w:ind w:firstLine="640" w:firstLineChars="200"/>
        <w:rPr>
          <w:rFonts w:ascii="Times New Roman" w:hAnsi="Times New Roman" w:eastAsia="仿宋_GB2312" w:cs="Times New Roman"/>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rPr>
        <w:t>5</w:t>
      </w:r>
      <w:r>
        <w:rPr>
          <w:rFonts w:ascii="Times New Roman" w:hAnsi="Times New Roman" w:eastAsia="仿宋_GB2312" w:cs="Times New Roman"/>
          <w:kern w:val="0"/>
          <w:sz w:val="32"/>
          <w:szCs w:val="32"/>
        </w:rPr>
        <w:t>年度本部门整体支出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1990.41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2153.4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108.19</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kern w:val="0"/>
          <w:sz w:val="32"/>
          <w:szCs w:val="32"/>
          <w:lang w:val="en-US" w:eastAsia="zh-CN"/>
        </w:rPr>
        <w:t>98.13</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良好</w:t>
      </w:r>
      <w:r>
        <w:rPr>
          <w:rFonts w:ascii="Times New Roman" w:hAnsi="Times New Roman" w:eastAsia="仿宋_GB2312" w:cs="Times New Roman"/>
          <w:sz w:val="32"/>
          <w:szCs w:val="32"/>
        </w:rPr>
        <w:t>”。绩效目标完成情况：</w:t>
      </w:r>
      <w:r>
        <w:rPr>
          <w:rFonts w:hint="eastAsia" w:ascii="仿宋" w:hAnsi="仿宋" w:eastAsia="仿宋" w:cs="仿宋"/>
          <w:color w:val="auto"/>
          <w:kern w:val="2"/>
          <w:sz w:val="32"/>
          <w:szCs w:val="32"/>
          <w:highlight w:val="none"/>
          <w:lang w:val="en-US" w:eastAsia="zh-CN" w:bidi="ar-SA"/>
        </w:rPr>
        <w:t>按照怀财绩〔2025〕32号要求，我中心从部门整体运行成本、管理效率和履职效能三个维度进行自评，通过对本部门在预算编制、预算执行、信息公开、绩效管理、政府采购、资产管理等方面以及工作任务完成情况进行分析，2025年整体支出绩效自评得分98.13分</w:t>
      </w:r>
      <w:r>
        <w:rPr>
          <w:rFonts w:ascii="Times New Roman" w:hAnsi="Times New Roman" w:eastAsia="仿宋_GB2312" w:cs="Times New Roman"/>
          <w:sz w:val="32"/>
          <w:szCs w:val="32"/>
        </w:rPr>
        <w:t>。</w:t>
      </w:r>
    </w:p>
    <w:p w14:paraId="7E0B8362">
      <w:pPr>
        <w:overflowPunct w:val="0"/>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从自评情况看，怀化市不动产登记中心2025年度部门履职整体完成情况良好，部门总体预算绩效目标任务与部门履职、年度工作任务相符；年度绩效目标设置合理、明确，绩效指标清晰、细化、可衡量；预算编制较为完整规范；年度工作计划安排合理，人员合理控制，“三公经费”得以压减控制，政府采购合法合规，预算管理制度健全，资金使用合规，预决算信息按规定进行公开。</w:t>
      </w:r>
    </w:p>
    <w:p w14:paraId="161A4B4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ascii="Times New Roman" w:hAnsi="Times New Roman" w:eastAsia="仿宋_GB2312" w:cs="Times New Roman"/>
          <w:sz w:val="32"/>
          <w:szCs w:val="32"/>
        </w:rPr>
      </w:pPr>
      <w:r>
        <w:rPr>
          <w:rFonts w:ascii="Times New Roman" w:hAnsi="Times New Roman" w:eastAsia="仿宋_GB2312" w:cs="Times New Roman"/>
          <w:sz w:val="32"/>
          <w:szCs w:val="32"/>
        </w:rPr>
        <w:t>发现的主要问题及原因：</w:t>
      </w:r>
    </w:p>
    <w:p w14:paraId="0C92EF8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（一）预算编制工作还有待细化，预算编制还不够明确和细化。</w:t>
      </w:r>
    </w:p>
    <w:p w14:paraId="61199ED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（二）中心全额编制人员少，主要是差额拨款，收入少导致经费不足，日常公用经费不足、与实际支出相差甚远，目前收入维持运转较困难。</w:t>
      </w:r>
    </w:p>
    <w:p w14:paraId="52DE0A8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（三）中心项目经费没有保障，由于经费形式是差额拨款，收入不足导致部门预算资金有缺口。</w:t>
      </w:r>
    </w:p>
    <w:p w14:paraId="4F033074">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leftChars="200" w:right="0" w:rightChars="0" w:firstLine="320" w:firstLineChars="100"/>
        <w:textAlignment w:val="auto"/>
        <w:rPr>
          <w:rFonts w:hint="default" w:ascii="仿宋" w:hAnsi="仿宋" w:eastAsia="仿宋" w:cs="仿宋"/>
          <w:color w:val="auto"/>
          <w:kern w:val="2"/>
          <w:sz w:val="32"/>
          <w:szCs w:val="32"/>
          <w:highlight w:val="none"/>
          <w:lang w:val="en-US" w:eastAsia="zh-CN" w:bidi="ar-SA"/>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r>
        <w:rPr>
          <w:rFonts w:hint="default" w:ascii="仿宋" w:hAnsi="仿宋" w:eastAsia="仿宋" w:cs="仿宋"/>
          <w:color w:val="auto"/>
          <w:kern w:val="2"/>
          <w:sz w:val="32"/>
          <w:szCs w:val="32"/>
          <w:highlight w:val="none"/>
          <w:lang w:val="en-US" w:eastAsia="zh-CN" w:bidi="ar-SA"/>
        </w:rPr>
        <w:t>绩效自评结果可以进一步规范财政资金管理，强化部门绩效和责任意识，切实提高财政资金使用效益，同时编制下一年的部门预算可以参考绩效自评结果，以提高预算编制的精准性。</w:t>
      </w:r>
      <w:r>
        <w:rPr>
          <w:rFonts w:hint="eastAsia" w:ascii="仿宋" w:hAnsi="仿宋" w:eastAsia="仿宋" w:cs="仿宋"/>
          <w:color w:val="auto"/>
          <w:kern w:val="2"/>
          <w:sz w:val="32"/>
          <w:szCs w:val="32"/>
          <w:highlight w:val="none"/>
          <w:lang w:val="en-US" w:eastAsia="zh-CN" w:bidi="ar-SA"/>
        </w:rPr>
        <w:t>绩效自评</w:t>
      </w:r>
      <w:r>
        <w:rPr>
          <w:rFonts w:hint="default" w:ascii="仿宋" w:hAnsi="仿宋" w:eastAsia="仿宋" w:cs="仿宋"/>
          <w:color w:val="auto"/>
          <w:kern w:val="2"/>
          <w:sz w:val="32"/>
          <w:szCs w:val="32"/>
          <w:highlight w:val="none"/>
          <w:lang w:val="en-US" w:eastAsia="zh-CN" w:bidi="ar-SA"/>
        </w:rPr>
        <w:t>结果</w:t>
      </w:r>
      <w:r>
        <w:rPr>
          <w:rFonts w:hint="eastAsia" w:ascii="仿宋" w:hAnsi="仿宋" w:eastAsia="仿宋" w:cs="仿宋"/>
          <w:color w:val="auto"/>
          <w:kern w:val="2"/>
          <w:sz w:val="32"/>
          <w:szCs w:val="32"/>
          <w:highlight w:val="none"/>
          <w:lang w:val="en-US" w:eastAsia="zh-CN" w:bidi="ar-SA"/>
        </w:rPr>
        <w:t>按照</w:t>
      </w:r>
      <w:r>
        <w:rPr>
          <w:rFonts w:hint="default" w:ascii="仿宋" w:hAnsi="仿宋" w:eastAsia="仿宋" w:cs="仿宋"/>
          <w:color w:val="auto"/>
          <w:kern w:val="2"/>
          <w:sz w:val="32"/>
          <w:szCs w:val="32"/>
          <w:highlight w:val="none"/>
          <w:lang w:val="en-US" w:eastAsia="zh-CN" w:bidi="ar-SA"/>
        </w:rPr>
        <w:t>财政要求及时公开。</w:t>
      </w:r>
    </w:p>
    <w:p w14:paraId="16B74316">
      <w:pPr>
        <w:overflowPunct w:val="0"/>
        <w:spacing w:line="600" w:lineRule="exact"/>
        <w:ind w:firstLine="1440" w:firstLineChars="200"/>
        <w:rPr>
          <w:rFonts w:ascii="Times New Roman" w:hAnsi="Times New Roman" w:eastAsia="仿宋_GB2312" w:cs="Times New Roman"/>
          <w:color w:val="auto"/>
          <w:sz w:val="72"/>
          <w:szCs w:val="72"/>
        </w:rPr>
      </w:pPr>
    </w:p>
    <w:p w14:paraId="3A9A19D8">
      <w:pPr>
        <w:pStyle w:val="14"/>
        <w:jc w:val="center"/>
        <w:rPr>
          <w:rFonts w:ascii="Times New Roman" w:hAnsi="Times New Roman" w:cs="Times New Roman"/>
          <w:sz w:val="72"/>
          <w:szCs w:val="72"/>
        </w:rPr>
      </w:pPr>
    </w:p>
    <w:p w14:paraId="1726D57D">
      <w:pPr>
        <w:pStyle w:val="14"/>
        <w:jc w:val="center"/>
        <w:rPr>
          <w:rFonts w:ascii="Times New Roman" w:hAnsi="Times New Roman" w:cs="Times New Roman"/>
          <w:sz w:val="72"/>
          <w:szCs w:val="72"/>
        </w:rPr>
      </w:pPr>
    </w:p>
    <w:p w14:paraId="75A9D156">
      <w:pPr>
        <w:pStyle w:val="14"/>
        <w:jc w:val="center"/>
        <w:rPr>
          <w:rFonts w:ascii="Times New Roman" w:hAnsi="Times New Roman" w:cs="Times New Roman"/>
          <w:sz w:val="72"/>
          <w:szCs w:val="72"/>
        </w:rPr>
      </w:pPr>
    </w:p>
    <w:p w14:paraId="0611612D">
      <w:pPr>
        <w:pStyle w:val="14"/>
        <w:jc w:val="center"/>
        <w:rPr>
          <w:rFonts w:ascii="Times New Roman" w:hAnsi="Times New Roman" w:cs="Times New Roman"/>
          <w:sz w:val="72"/>
          <w:szCs w:val="72"/>
        </w:rPr>
      </w:pPr>
    </w:p>
    <w:p w14:paraId="5EA0ADA3">
      <w:pPr>
        <w:pStyle w:val="14"/>
        <w:jc w:val="center"/>
        <w:rPr>
          <w:rFonts w:ascii="Times New Roman" w:hAnsi="Times New Roman" w:cs="Times New Roman"/>
          <w:sz w:val="72"/>
          <w:szCs w:val="72"/>
        </w:rPr>
      </w:pPr>
    </w:p>
    <w:p w14:paraId="3EEDCC56">
      <w:pPr>
        <w:pStyle w:val="14"/>
        <w:jc w:val="center"/>
        <w:rPr>
          <w:rFonts w:ascii="Times New Roman" w:hAnsi="Times New Roman" w:cs="Times New Roman"/>
          <w:sz w:val="72"/>
          <w:szCs w:val="72"/>
        </w:rPr>
      </w:pPr>
    </w:p>
    <w:p w14:paraId="5111E1CB">
      <w:pPr>
        <w:pStyle w:val="14"/>
        <w:jc w:val="center"/>
        <w:rPr>
          <w:rFonts w:ascii="Times New Roman" w:hAnsi="Times New Roman" w:cs="Times New Roman"/>
          <w:sz w:val="72"/>
          <w:szCs w:val="72"/>
        </w:rPr>
      </w:pPr>
    </w:p>
    <w:p w14:paraId="7CDA1F26">
      <w:pPr>
        <w:pStyle w:val="14"/>
        <w:jc w:val="center"/>
        <w:rPr>
          <w:rFonts w:ascii="Times New Roman" w:hAnsi="Times New Roman" w:cs="Times New Roman"/>
          <w:sz w:val="72"/>
          <w:szCs w:val="72"/>
        </w:rPr>
      </w:pPr>
    </w:p>
    <w:p w14:paraId="24904C61">
      <w:pPr>
        <w:pStyle w:val="14"/>
        <w:jc w:val="center"/>
        <w:rPr>
          <w:rFonts w:ascii="Times New Roman" w:hAnsi="Times New Roman" w:cs="Times New Roman"/>
          <w:sz w:val="72"/>
          <w:szCs w:val="72"/>
        </w:rPr>
      </w:pPr>
    </w:p>
    <w:p w14:paraId="0EFE0E71">
      <w:pPr>
        <w:pStyle w:val="14"/>
        <w:jc w:val="center"/>
        <w:rPr>
          <w:rFonts w:ascii="Times New Roman" w:hAnsi="Times New Roman" w:cs="Times New Roman"/>
          <w:sz w:val="72"/>
          <w:szCs w:val="72"/>
        </w:rPr>
      </w:pPr>
    </w:p>
    <w:p w14:paraId="1AD2748B">
      <w:pPr>
        <w:pStyle w:val="14"/>
        <w:jc w:val="both"/>
        <w:rPr>
          <w:rFonts w:ascii="Times New Roman" w:hAnsi="Times New Roman" w:cs="Times New Roman"/>
          <w:sz w:val="72"/>
          <w:szCs w:val="72"/>
        </w:rPr>
      </w:pPr>
    </w:p>
    <w:p w14:paraId="1A688869">
      <w:pPr>
        <w:pStyle w:val="14"/>
        <w:spacing w:line="360" w:lineRule="auto"/>
        <w:jc w:val="center"/>
        <w:rPr>
          <w:rFonts w:ascii="Times New Roman" w:hAnsi="Times New Roman" w:eastAsia="方正小标宋_GBK" w:cs="Times New Roman"/>
          <w:sz w:val="52"/>
          <w:szCs w:val="52"/>
        </w:rPr>
      </w:pPr>
    </w:p>
    <w:p w14:paraId="033732A0">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18B2B2D7">
      <w:pPr>
        <w:widowControl/>
        <w:jc w:val="left"/>
        <w:rPr>
          <w:rFonts w:ascii="Times New Roman" w:hAnsi="Times New Roman" w:cs="Times New Roman"/>
          <w:color w:val="000000"/>
          <w:kern w:val="0"/>
          <w:sz w:val="32"/>
          <w:szCs w:val="32"/>
        </w:rPr>
      </w:pPr>
    </w:p>
    <w:p w14:paraId="6ABCF75D">
      <w:pPr>
        <w:ind w:firstLine="640"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一、机关运行经费：</w:t>
      </w:r>
      <w:r>
        <w:rPr>
          <w:rFonts w:hint="eastAsia" w:ascii="仿宋" w:hAnsi="仿宋" w:eastAsia="仿宋" w:cs="仿宋"/>
          <w:color w:val="000000"/>
          <w:sz w:val="32"/>
          <w:szCs w:val="32"/>
          <w:lang w:eastAsia="zh-CN"/>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14:paraId="5F882BB4">
      <w:pPr>
        <w:ind w:firstLine="640" w:firstLineChars="200"/>
        <w:rPr>
          <w:rFonts w:ascii="仿宋" w:hAnsi="仿宋" w:eastAsia="仿宋" w:cs="仿宋"/>
          <w:color w:val="000000"/>
          <w:sz w:val="32"/>
          <w:szCs w:val="32"/>
          <w:lang w:eastAsia="zh-CN"/>
        </w:rPr>
      </w:pPr>
      <w:r>
        <w:rPr>
          <w:rFonts w:hint="eastAsia" w:ascii="仿宋" w:hAnsi="仿宋" w:eastAsia="仿宋" w:cs="仿宋"/>
          <w:b/>
          <w:bCs/>
          <w:color w:val="000000"/>
          <w:sz w:val="32"/>
          <w:szCs w:val="32"/>
          <w:lang w:eastAsia="zh-CN"/>
        </w:rPr>
        <w:t>二、“三公”经费：</w:t>
      </w:r>
      <w:r>
        <w:rPr>
          <w:rFonts w:hint="eastAsia" w:ascii="仿宋" w:hAnsi="仿宋" w:eastAsia="仿宋" w:cs="仿宋"/>
          <w:color w:val="000000"/>
          <w:sz w:val="32"/>
          <w:szCs w:val="32"/>
          <w:lang w:eastAsia="zh-CN"/>
        </w:rPr>
        <w:t>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7EA0E807">
      <w:pPr>
        <w:pStyle w:val="14"/>
        <w:jc w:val="center"/>
        <w:rPr>
          <w:rFonts w:ascii="Times New Roman" w:hAnsi="Times New Roman" w:cs="Times New Roman"/>
          <w:sz w:val="72"/>
          <w:szCs w:val="72"/>
        </w:rPr>
      </w:pPr>
    </w:p>
    <w:p w14:paraId="2505ECDA">
      <w:pPr>
        <w:pStyle w:val="14"/>
        <w:jc w:val="center"/>
        <w:rPr>
          <w:rFonts w:ascii="Times New Roman" w:hAnsi="Times New Roman" w:cs="Times New Roman"/>
          <w:sz w:val="72"/>
          <w:szCs w:val="72"/>
        </w:rPr>
      </w:pPr>
    </w:p>
    <w:p w14:paraId="6F6081A8">
      <w:pPr>
        <w:pStyle w:val="14"/>
        <w:jc w:val="center"/>
        <w:rPr>
          <w:rFonts w:ascii="Times New Roman" w:hAnsi="Times New Roman" w:cs="Times New Roman"/>
          <w:sz w:val="72"/>
          <w:szCs w:val="72"/>
        </w:rPr>
      </w:pPr>
    </w:p>
    <w:p w14:paraId="00DF56A1">
      <w:pPr>
        <w:pStyle w:val="14"/>
        <w:jc w:val="center"/>
        <w:rPr>
          <w:rFonts w:ascii="Times New Roman" w:hAnsi="Times New Roman" w:cs="Times New Roman"/>
          <w:sz w:val="72"/>
          <w:szCs w:val="72"/>
        </w:rPr>
      </w:pPr>
    </w:p>
    <w:p w14:paraId="1DA99675">
      <w:pPr>
        <w:pStyle w:val="14"/>
        <w:jc w:val="center"/>
        <w:rPr>
          <w:rFonts w:ascii="Times New Roman" w:hAnsi="Times New Roman" w:cs="Times New Roman"/>
          <w:sz w:val="72"/>
          <w:szCs w:val="72"/>
        </w:rPr>
      </w:pPr>
    </w:p>
    <w:p w14:paraId="24E144E0">
      <w:pPr>
        <w:pStyle w:val="14"/>
        <w:jc w:val="center"/>
        <w:rPr>
          <w:rFonts w:ascii="Times New Roman" w:hAnsi="Times New Roman" w:cs="Times New Roman"/>
          <w:sz w:val="72"/>
          <w:szCs w:val="72"/>
        </w:rPr>
      </w:pPr>
    </w:p>
    <w:p w14:paraId="2F4DB8D4">
      <w:pPr>
        <w:pStyle w:val="14"/>
        <w:jc w:val="center"/>
        <w:rPr>
          <w:rFonts w:ascii="Times New Roman" w:hAnsi="Times New Roman" w:cs="Times New Roman"/>
          <w:sz w:val="72"/>
          <w:szCs w:val="72"/>
        </w:rPr>
      </w:pPr>
    </w:p>
    <w:p w14:paraId="72A60C3C">
      <w:pPr>
        <w:pStyle w:val="14"/>
        <w:jc w:val="both"/>
        <w:rPr>
          <w:rFonts w:ascii="Times New Roman" w:hAnsi="Times New Roman" w:cs="Times New Roman"/>
          <w:sz w:val="72"/>
          <w:szCs w:val="72"/>
        </w:rPr>
      </w:pPr>
    </w:p>
    <w:p w14:paraId="2A2C6F06">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47D2A6DB">
      <w:pPr>
        <w:pStyle w:val="14"/>
        <w:spacing w:line="600" w:lineRule="exact"/>
        <w:ind w:firstLine="640" w:firstLineChars="200"/>
        <w:rPr>
          <w:rFonts w:ascii="Times New Roman" w:hAnsi="Times New Roman" w:eastAsia="仿宋_GB2312" w:cs="Times New Roman"/>
          <w:sz w:val="32"/>
          <w:szCs w:val="32"/>
        </w:rPr>
      </w:pPr>
    </w:p>
    <w:p w14:paraId="2A152A7C">
      <w:pPr>
        <w:pStyle w:val="14"/>
        <w:jc w:val="center"/>
        <w:rPr>
          <w:rFonts w:ascii="Times New Roman" w:hAnsi="Times New Roman" w:cs="Times New Roman"/>
          <w:sz w:val="72"/>
          <w:szCs w:val="72"/>
        </w:rPr>
      </w:pPr>
    </w:p>
    <w:p w14:paraId="589474C3">
      <w:pPr>
        <w:pStyle w:val="14"/>
        <w:jc w:val="center"/>
        <w:rPr>
          <w:rFonts w:ascii="Times New Roman" w:hAnsi="Times New Roman" w:cs="Times New Roman"/>
          <w:sz w:val="72"/>
          <w:szCs w:val="72"/>
        </w:rPr>
      </w:pPr>
    </w:p>
    <w:p w14:paraId="117CEAB9">
      <w:pPr>
        <w:jc w:val="left"/>
        <w:rPr>
          <w:rFonts w:ascii="Times New Roman" w:hAnsi="Times New Roman" w:cs="Times New Roman"/>
          <w:color w:val="000000"/>
          <w:kern w:val="0"/>
          <w:sz w:val="32"/>
          <w:szCs w:val="32"/>
        </w:rPr>
      </w:pPr>
    </w:p>
    <w:p w14:paraId="37250F5D">
      <w:pPr>
        <w:pStyle w:val="6"/>
        <w:rPr>
          <w:rFonts w:ascii="Times New Roman" w:hAnsi="Times New Roman" w:cs="Times New Roman"/>
          <w:color w:val="000000"/>
          <w:kern w:val="0"/>
          <w:sz w:val="32"/>
          <w:szCs w:val="32"/>
        </w:rPr>
      </w:pPr>
    </w:p>
    <w:p w14:paraId="7B9F89FA">
      <w:pPr>
        <w:pStyle w:val="7"/>
        <w:rPr>
          <w:rFonts w:ascii="Times New Roman" w:hAnsi="Times New Roman" w:cs="Times New Roman"/>
          <w:color w:val="000000"/>
          <w:kern w:val="0"/>
          <w:sz w:val="32"/>
          <w:szCs w:val="32"/>
        </w:rPr>
      </w:pPr>
    </w:p>
    <w:p w14:paraId="3D07EC4C">
      <w:pPr>
        <w:rPr>
          <w:rFonts w:ascii="Times New Roman" w:hAnsi="Times New Roman" w:cs="Times New Roman"/>
          <w:color w:val="000000"/>
          <w:kern w:val="0"/>
          <w:sz w:val="32"/>
          <w:szCs w:val="32"/>
        </w:rPr>
      </w:pPr>
    </w:p>
    <w:p w14:paraId="782C330C">
      <w:pPr>
        <w:pStyle w:val="6"/>
        <w:rPr>
          <w:rFonts w:ascii="Times New Roman" w:hAnsi="Times New Roman" w:cs="Times New Roman"/>
          <w:color w:val="000000"/>
          <w:kern w:val="0"/>
          <w:sz w:val="32"/>
          <w:szCs w:val="32"/>
        </w:rPr>
      </w:pPr>
    </w:p>
    <w:p w14:paraId="7B3B0C59">
      <w:pPr>
        <w:pStyle w:val="7"/>
        <w:rPr>
          <w:rFonts w:ascii="Times New Roman" w:hAnsi="Times New Roman" w:cs="Times New Roman"/>
          <w:color w:val="000000"/>
          <w:kern w:val="0"/>
          <w:sz w:val="32"/>
          <w:szCs w:val="32"/>
        </w:rPr>
      </w:pPr>
    </w:p>
    <w:p w14:paraId="4C76C02A">
      <w:pPr>
        <w:rPr>
          <w:rFonts w:ascii="Times New Roman" w:hAnsi="Times New Roman" w:cs="Times New Roman"/>
          <w:color w:val="000000"/>
          <w:kern w:val="0"/>
          <w:sz w:val="32"/>
          <w:szCs w:val="32"/>
        </w:rPr>
      </w:pPr>
    </w:p>
    <w:p w14:paraId="1B64E470">
      <w:pPr>
        <w:pStyle w:val="6"/>
        <w:rPr>
          <w:rFonts w:ascii="Times New Roman" w:hAnsi="Times New Roman" w:cs="Times New Roman"/>
          <w:color w:val="000000"/>
          <w:kern w:val="0"/>
          <w:sz w:val="32"/>
          <w:szCs w:val="32"/>
        </w:rPr>
      </w:pPr>
    </w:p>
    <w:p w14:paraId="43766571">
      <w:pPr>
        <w:pStyle w:val="7"/>
        <w:rPr>
          <w:rFonts w:ascii="Times New Roman" w:hAnsi="Times New Roman" w:cs="Times New Roman"/>
          <w:color w:val="000000"/>
          <w:kern w:val="0"/>
          <w:sz w:val="32"/>
          <w:szCs w:val="32"/>
        </w:rPr>
      </w:pPr>
    </w:p>
    <w:p w14:paraId="2A1E9B54">
      <w:pPr>
        <w:rPr>
          <w:rFonts w:ascii="Times New Roman" w:hAnsi="Times New Roman" w:cs="Times New Roman"/>
          <w:color w:val="000000"/>
          <w:kern w:val="0"/>
          <w:sz w:val="32"/>
          <w:szCs w:val="32"/>
        </w:rPr>
      </w:pPr>
    </w:p>
    <w:p w14:paraId="44DED9B6">
      <w:pPr>
        <w:pStyle w:val="6"/>
        <w:ind w:firstLine="1600" w:firstLineChars="500"/>
        <w:rPr>
          <w:rFonts w:ascii="Times New Roman" w:hAnsi="Times New Roman" w:eastAsia="仿宋_GB2312" w:cs="Times New Roman"/>
          <w:sz w:val="32"/>
          <w:szCs w:val="32"/>
        </w:rPr>
      </w:pPr>
    </w:p>
    <w:p w14:paraId="6ACA9895">
      <w:pPr>
        <w:pStyle w:val="6"/>
        <w:ind w:firstLine="1600" w:firstLineChars="500"/>
        <w:rPr>
          <w:rFonts w:ascii="Times New Roman" w:hAnsi="Times New Roman" w:eastAsia="仿宋_GB2312" w:cs="Times New Roman"/>
          <w:sz w:val="32"/>
          <w:szCs w:val="32"/>
        </w:rPr>
      </w:pPr>
    </w:p>
    <w:p w14:paraId="58DC8E5A">
      <w:pPr>
        <w:pStyle w:val="6"/>
        <w:ind w:firstLine="1600" w:firstLineChars="500"/>
        <w:rPr>
          <w:rFonts w:hint="eastAsia" w:ascii="Times New Roman" w:hAnsi="Times New Roman" w:eastAsia="仿宋_GB2312" w:cs="Times New Roman"/>
          <w:b/>
          <w:bCs/>
          <w:sz w:val="32"/>
          <w:szCs w:val="32"/>
          <w:lang w:eastAsia="zh-CN"/>
        </w:rPr>
      </w:pPr>
      <w:r>
        <w:rPr>
          <w:rFonts w:ascii="Times New Roman" w:hAnsi="Times New Roman" w:eastAsia="仿宋_GB2312" w:cs="Times New Roman"/>
          <w:b/>
          <w:bCs/>
          <w:sz w:val="32"/>
          <w:szCs w:val="32"/>
        </w:rPr>
        <w:t>202</w:t>
      </w:r>
      <w:r>
        <w:rPr>
          <w:rFonts w:hint="eastAsia" w:ascii="Times New Roman" w:hAnsi="Times New Roman" w:eastAsia="仿宋_GB2312" w:cs="Times New Roman"/>
          <w:b/>
          <w:bCs/>
          <w:sz w:val="32"/>
          <w:szCs w:val="32"/>
        </w:rPr>
        <w:t>5</w:t>
      </w:r>
      <w:r>
        <w:rPr>
          <w:rFonts w:ascii="Times New Roman" w:hAnsi="Times New Roman" w:eastAsia="仿宋_GB2312" w:cs="Times New Roman"/>
          <w:b/>
          <w:bCs/>
          <w:sz w:val="32"/>
          <w:szCs w:val="32"/>
        </w:rPr>
        <w:t>年度</w:t>
      </w:r>
      <w:r>
        <w:rPr>
          <w:rFonts w:hint="eastAsia" w:ascii="Times New Roman" w:hAnsi="Times New Roman" w:eastAsia="仿宋_GB2312" w:cs="Times New Roman"/>
          <w:b/>
          <w:bCs/>
          <w:sz w:val="32"/>
          <w:szCs w:val="32"/>
          <w:lang w:eastAsia="zh-CN"/>
        </w:rPr>
        <w:t>怀化市不动产登记中心</w:t>
      </w:r>
    </w:p>
    <w:p w14:paraId="73183B67">
      <w:pPr>
        <w:pStyle w:val="6"/>
        <w:ind w:firstLine="2240" w:firstLineChars="700"/>
        <w:rPr>
          <w:rFonts w:ascii="Times New Roman" w:hAnsi="Times New Roman" w:eastAsia="仿宋_GB2312" w:cs="Times New Roman"/>
          <w:b/>
          <w:bCs/>
          <w:sz w:val="32"/>
          <w:szCs w:val="32"/>
        </w:rPr>
      </w:pPr>
      <w:r>
        <w:rPr>
          <w:rFonts w:ascii="Times New Roman" w:hAnsi="Times New Roman" w:eastAsia="仿宋_GB2312" w:cs="Times New Roman"/>
          <w:b/>
          <w:bCs/>
          <w:sz w:val="32"/>
          <w:szCs w:val="32"/>
        </w:rPr>
        <w:t>整体支出绩效自评报告</w:t>
      </w:r>
    </w:p>
    <w:p w14:paraId="1F007DAA">
      <w:pPr>
        <w:pStyle w:val="7"/>
        <w:rPr>
          <w:rFonts w:ascii="Times New Roman" w:hAnsi="Times New Roman" w:eastAsia="仿宋_GB2312" w:cs="Times New Roman"/>
          <w:b/>
          <w:bCs/>
          <w:sz w:val="32"/>
          <w:szCs w:val="32"/>
        </w:rPr>
      </w:pPr>
    </w:p>
    <w:p w14:paraId="504D8CB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切实做好2025年度部门整体支出绩效评价工作，强化绩效和责任意识，提高财政资金使用效益，根据《怀化市财政局关于开展2025年度市级预算部门绩效自评和部门评价的通知》（怀财绩〔2026〕36号）文件精神，结合单位实际，对部门整体支出绩效评价指标完成情况做出了客观、公正的评价，现将自评情况报告如下：</w:t>
      </w:r>
    </w:p>
    <w:p w14:paraId="1F16B6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一、部门概况</w:t>
      </w:r>
    </w:p>
    <w:p w14:paraId="0B4ECF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（一）部门（单位）基本情况。</w:t>
      </w:r>
    </w:p>
    <w:p w14:paraId="4EE4AA2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1.机构设置情况</w:t>
      </w:r>
    </w:p>
    <w:p w14:paraId="4E23338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湖南省机构编制委员会办公室《关于怀化市不动产登记中心机构编制事项的批复》（湘编办复字〔2016〕32号）和《怀化市机构编制委员会关于明确怀化市不动产登记中心机构规格的通知》（怀编〔2016〕29号）精神，怀化市不动产登记中心为市自然资源和规划局管理的副处级公益一类事业单位。</w:t>
      </w:r>
    </w:p>
    <w:p w14:paraId="351DEA8D">
      <w:pPr>
        <w:keepNext w:val="0"/>
        <w:keepLines w:val="0"/>
        <w:pageBreakBefore w:val="0"/>
        <w:widowControl w:val="0"/>
        <w:kinsoku/>
        <w:wordWrap/>
        <w:overflowPunct/>
        <w:topLinePunct w:val="0"/>
        <w:autoSpaceDE/>
        <w:autoSpaceDN/>
        <w:bidi w:val="0"/>
        <w:adjustRightInd/>
        <w:spacing w:line="520" w:lineRule="exact"/>
        <w:ind w:firstLine="640" w:firstLineChars="200"/>
        <w:jc w:val="left"/>
        <w:textAlignment w:val="auto"/>
        <w:rPr>
          <w:rFonts w:ascii="仿宋" w:hAnsi="仿宋" w:eastAsia="仿宋"/>
          <w:sz w:val="32"/>
          <w:szCs w:val="32"/>
        </w:rPr>
      </w:pPr>
      <w:r>
        <w:rPr>
          <w:rFonts w:hint="eastAsia" w:ascii="仿宋" w:hAnsi="仿宋" w:eastAsia="仿宋"/>
          <w:sz w:val="32"/>
          <w:szCs w:val="32"/>
        </w:rPr>
        <w:t>怀化市不动产登记中心作为二级部门预算单位，我中心设</w:t>
      </w:r>
      <w:r>
        <w:rPr>
          <w:rFonts w:hint="eastAsia" w:ascii="仿宋" w:hAnsi="仿宋" w:eastAsia="仿宋"/>
          <w:sz w:val="32"/>
          <w:szCs w:val="32"/>
          <w:highlight w:val="none"/>
          <w:lang w:val="en-US" w:eastAsia="zh-CN"/>
        </w:rPr>
        <w:t>6</w:t>
      </w:r>
      <w:r>
        <w:rPr>
          <w:rFonts w:hint="eastAsia" w:ascii="仿宋" w:hAnsi="仿宋" w:eastAsia="仿宋"/>
          <w:sz w:val="32"/>
          <w:szCs w:val="32"/>
        </w:rPr>
        <w:t>个内设科室和4个分支机构</w:t>
      </w:r>
      <w:r>
        <w:rPr>
          <w:rFonts w:hint="eastAsia" w:ascii="仿宋" w:hAnsi="仿宋" w:eastAsia="仿宋"/>
          <w:sz w:val="32"/>
          <w:szCs w:val="32"/>
          <w:lang w:eastAsia="zh-CN"/>
        </w:rPr>
        <w:t>，</w:t>
      </w:r>
      <w:r>
        <w:rPr>
          <w:rFonts w:hint="eastAsia" w:ascii="仿宋" w:hAnsi="仿宋" w:eastAsia="仿宋"/>
          <w:sz w:val="32"/>
          <w:szCs w:val="32"/>
        </w:rPr>
        <w:t>内设科室为：办公室、财务室、</w:t>
      </w:r>
      <w:r>
        <w:rPr>
          <w:rFonts w:hint="eastAsia" w:ascii="仿宋" w:hAnsi="仿宋" w:eastAsia="仿宋"/>
          <w:sz w:val="32"/>
          <w:szCs w:val="32"/>
          <w:highlight w:val="none"/>
        </w:rPr>
        <w:t>法规室、</w:t>
      </w:r>
      <w:r>
        <w:rPr>
          <w:rFonts w:hint="eastAsia" w:ascii="仿宋" w:hAnsi="仿宋" w:eastAsia="仿宋"/>
          <w:sz w:val="32"/>
          <w:szCs w:val="32"/>
        </w:rPr>
        <w:t>权籍调查室（纠纷调处室）、测绘服务室、档案信息室。</w:t>
      </w:r>
    </w:p>
    <w:p w14:paraId="66C948A5">
      <w:pPr>
        <w:pStyle w:val="20"/>
        <w:keepNext w:val="0"/>
        <w:keepLines w:val="0"/>
        <w:pageBreakBefore w:val="0"/>
        <w:widowControl w:val="0"/>
        <w:kinsoku/>
        <w:wordWrap/>
        <w:overflowPunct/>
        <w:topLinePunct w:val="0"/>
        <w:autoSpaceDE/>
        <w:autoSpaceDN/>
        <w:bidi w:val="0"/>
        <w:adjustRightInd/>
        <w:spacing w:beforeLines="0" w:afterLines="0" w:line="520" w:lineRule="exact"/>
        <w:ind w:firstLine="640" w:firstLineChars="200"/>
        <w:textAlignment w:val="auto"/>
        <w:rPr>
          <w:rFonts w:hint="eastAsia" w:ascii="仿宋" w:hAnsi="仿宋" w:eastAsia="仿宋"/>
          <w:sz w:val="32"/>
          <w:szCs w:val="32"/>
          <w:highlight w:val="none"/>
        </w:rPr>
      </w:pPr>
      <w:r>
        <w:rPr>
          <w:rFonts w:hint="eastAsia" w:ascii="仿宋" w:hAnsi="仿宋" w:eastAsia="仿宋"/>
          <w:sz w:val="32"/>
          <w:szCs w:val="32"/>
        </w:rPr>
        <w:t>内设科室</w:t>
      </w:r>
      <w:r>
        <w:rPr>
          <w:rFonts w:hint="eastAsia" w:ascii="仿宋" w:hAnsi="仿宋" w:eastAsia="仿宋"/>
          <w:sz w:val="32"/>
          <w:szCs w:val="32"/>
          <w:lang w:eastAsia="zh-CN"/>
        </w:rPr>
        <w:t>：（</w:t>
      </w:r>
      <w:r>
        <w:rPr>
          <w:rFonts w:hint="eastAsia" w:ascii="仿宋" w:hAnsi="仿宋" w:eastAsia="仿宋"/>
          <w:sz w:val="32"/>
          <w:szCs w:val="32"/>
          <w:lang w:val="en-US" w:eastAsia="zh-CN"/>
        </w:rPr>
        <w:t>1</w:t>
      </w:r>
      <w:r>
        <w:rPr>
          <w:rFonts w:hint="eastAsia" w:ascii="仿宋" w:hAnsi="仿宋" w:eastAsia="仿宋"/>
          <w:sz w:val="32"/>
          <w:szCs w:val="32"/>
          <w:lang w:eastAsia="zh-CN"/>
        </w:rPr>
        <w:t>）</w:t>
      </w:r>
      <w:r>
        <w:rPr>
          <w:rFonts w:hint="eastAsia" w:ascii="仿宋" w:hAnsi="仿宋" w:eastAsia="仿宋"/>
          <w:sz w:val="32"/>
          <w:szCs w:val="32"/>
        </w:rPr>
        <w:t>办公室负责组织协调中心的行政管理、日常内务、人事事务、承担综合文秘、宣传、接待、会务、后勤管理工作，完成中心领导和上级主管部门交办的其他工作。</w:t>
      </w:r>
      <w:r>
        <w:rPr>
          <w:rFonts w:hint="eastAsia" w:ascii="仿宋" w:hAnsi="仿宋" w:eastAsia="仿宋"/>
          <w:sz w:val="32"/>
          <w:szCs w:val="32"/>
          <w:lang w:eastAsia="zh-CN"/>
        </w:rPr>
        <w:t>（</w:t>
      </w:r>
      <w:r>
        <w:rPr>
          <w:rFonts w:hint="eastAsia" w:ascii="仿宋" w:hAnsi="仿宋" w:eastAsia="仿宋"/>
          <w:sz w:val="32"/>
          <w:szCs w:val="32"/>
          <w:lang w:val="en-US" w:eastAsia="zh-CN"/>
        </w:rPr>
        <w:t>2</w:t>
      </w:r>
      <w:r>
        <w:rPr>
          <w:rFonts w:hint="eastAsia" w:ascii="仿宋" w:hAnsi="仿宋" w:eastAsia="仿宋"/>
          <w:sz w:val="32"/>
          <w:szCs w:val="32"/>
          <w:lang w:eastAsia="zh-CN"/>
        </w:rPr>
        <w:t>）</w:t>
      </w:r>
      <w:r>
        <w:rPr>
          <w:rFonts w:hint="eastAsia" w:ascii="仿宋" w:hAnsi="仿宋" w:eastAsia="仿宋"/>
          <w:sz w:val="32"/>
          <w:szCs w:val="32"/>
        </w:rPr>
        <w:t>财务室负责中心财会管理工作，负责业务收费、票据管理、协助税务部门和财政部门收取房地产转让、交易过程中的税费、负责中心与银行、合作伙伴、外部其他单位的资金往来业务和资金结算业务，负责员工薪资的兑付和固定资产日常管理。</w:t>
      </w:r>
      <w:r>
        <w:rPr>
          <w:rFonts w:hint="eastAsia" w:ascii="仿宋" w:hAnsi="仿宋" w:eastAsia="仿宋"/>
          <w:sz w:val="32"/>
          <w:szCs w:val="32"/>
          <w:lang w:eastAsia="zh-CN"/>
        </w:rPr>
        <w:t>（</w:t>
      </w:r>
      <w:r>
        <w:rPr>
          <w:rFonts w:hint="eastAsia" w:ascii="仿宋" w:hAnsi="仿宋" w:eastAsia="仿宋"/>
          <w:sz w:val="32"/>
          <w:szCs w:val="32"/>
          <w:lang w:val="en-US" w:eastAsia="zh-CN"/>
        </w:rPr>
        <w:t>3</w:t>
      </w:r>
      <w:r>
        <w:rPr>
          <w:rFonts w:hint="eastAsia" w:ascii="仿宋" w:hAnsi="仿宋" w:eastAsia="仿宋"/>
          <w:sz w:val="32"/>
          <w:szCs w:val="32"/>
          <w:lang w:eastAsia="zh-CN"/>
        </w:rPr>
        <w:t>）</w:t>
      </w:r>
      <w:r>
        <w:rPr>
          <w:rFonts w:hint="eastAsia" w:ascii="仿宋" w:hAnsi="仿宋" w:eastAsia="仿宋"/>
          <w:sz w:val="32"/>
          <w:szCs w:val="32"/>
          <w:highlight w:val="none"/>
        </w:rPr>
        <w:t>法规室承担着规范指导中心贯彻落实国家、省、市有关不动产的法律、法规、政策工作，提供对不动产登记方面的法律法规政策咨询、解释、协调和处理产权纠纷；对公检法</w:t>
      </w:r>
    </w:p>
    <w:p w14:paraId="641477A8">
      <w:pPr>
        <w:pStyle w:val="20"/>
        <w:keepNext w:val="0"/>
        <w:keepLines w:val="0"/>
        <w:pageBreakBefore w:val="0"/>
        <w:widowControl w:val="0"/>
        <w:kinsoku/>
        <w:wordWrap/>
        <w:overflowPunct/>
        <w:topLinePunct w:val="0"/>
        <w:autoSpaceDE/>
        <w:autoSpaceDN/>
        <w:bidi w:val="0"/>
        <w:adjustRightInd/>
        <w:spacing w:beforeLines="0" w:afterLines="0" w:line="520" w:lineRule="exact"/>
        <w:ind w:left="0" w:leftChars="0" w:firstLine="0" w:firstLineChars="0"/>
        <w:textAlignment w:val="auto"/>
        <w:rPr>
          <w:rFonts w:hint="eastAsia"/>
          <w:lang w:val="en-US" w:eastAsia="zh-CN"/>
        </w:rPr>
      </w:pPr>
      <w:r>
        <w:rPr>
          <w:rFonts w:hint="eastAsia" w:ascii="仿宋" w:hAnsi="仿宋" w:eastAsia="仿宋"/>
          <w:sz w:val="32"/>
          <w:szCs w:val="32"/>
          <w:highlight w:val="none"/>
        </w:rPr>
        <w:t>等司法机构查解封、撤销登记和行政机构的限制（含解除限制）工作的受理审核</w:t>
      </w:r>
      <w:r>
        <w:rPr>
          <w:rFonts w:hint="eastAsia" w:ascii="仿宋" w:hAnsi="仿宋" w:eastAsia="仿宋"/>
          <w:sz w:val="32"/>
          <w:szCs w:val="32"/>
          <w:highlight w:val="none"/>
          <w:lang w:eastAsia="zh-CN"/>
        </w:rPr>
        <w:t>，</w:t>
      </w:r>
      <w:r>
        <w:rPr>
          <w:rFonts w:hint="eastAsia" w:ascii="仿宋" w:hAnsi="仿宋" w:eastAsia="仿宋"/>
          <w:sz w:val="32"/>
          <w:szCs w:val="32"/>
          <w:highlight w:val="none"/>
        </w:rPr>
        <w:t>不动产规范性文件的起草，不动产法律审查，不动产行政案件的复议和应诉和行政执法监管以及中心的法制宣传教育等工作。</w:t>
      </w:r>
      <w:r>
        <w:rPr>
          <w:rFonts w:hint="eastAsia" w:ascii="仿宋" w:hAnsi="仿宋" w:eastAsia="仿宋"/>
          <w:sz w:val="32"/>
          <w:szCs w:val="32"/>
          <w:lang w:eastAsia="zh-CN"/>
        </w:rPr>
        <w:t>（</w:t>
      </w:r>
      <w:r>
        <w:rPr>
          <w:rFonts w:hint="eastAsia" w:ascii="仿宋" w:hAnsi="仿宋" w:eastAsia="仿宋"/>
          <w:sz w:val="32"/>
          <w:szCs w:val="32"/>
          <w:lang w:val="en-US" w:eastAsia="zh-CN"/>
        </w:rPr>
        <w:t>4</w:t>
      </w:r>
      <w:r>
        <w:rPr>
          <w:rFonts w:hint="eastAsia" w:ascii="仿宋" w:hAnsi="仿宋" w:eastAsia="仿宋"/>
          <w:sz w:val="32"/>
          <w:szCs w:val="32"/>
          <w:lang w:eastAsia="zh-CN"/>
        </w:rPr>
        <w:t>）</w:t>
      </w:r>
      <w:r>
        <w:rPr>
          <w:rFonts w:hint="eastAsia" w:ascii="仿宋" w:hAnsi="仿宋" w:eastAsia="仿宋"/>
          <w:sz w:val="32"/>
          <w:szCs w:val="32"/>
        </w:rPr>
        <w:t>权籍调查室（纠纷调处室）负责不动产权籍调查工作；负责实地查看和不动产权籍调查成果数据入库前核查及更新入库工作；负责不动产统一登记权属纠纷调处登记工作；承担不动产登记信访有关工作，协助做好行政复议、行政应诉和行政执法监管等工作。</w:t>
      </w:r>
      <w:r>
        <w:rPr>
          <w:rFonts w:hint="eastAsia" w:ascii="仿宋" w:hAnsi="仿宋" w:eastAsia="仿宋"/>
          <w:sz w:val="32"/>
          <w:szCs w:val="32"/>
          <w:lang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w:t>
      </w:r>
      <w:r>
        <w:rPr>
          <w:rFonts w:hint="eastAsia" w:ascii="仿宋" w:hAnsi="仿宋" w:eastAsia="仿宋"/>
          <w:sz w:val="32"/>
          <w:szCs w:val="32"/>
        </w:rPr>
        <w:t>测绘服务室负责委托测绘单位的房屋面积、商品房面积实测、预测测绘工作。编制测绘发展计划、规划，拟定测绘规范性文件并组织实施。负责新建商品房的楼盘建立与修改，及时导入测绘成果数据，对测绘成果数据信息进行核查。负责测绘资料的收集、整理、立卷、造册及管理工作，提高利用效率；执行各种测绘仪器专人专用及保管制度，经常检测、保养各种仪器设备。</w:t>
      </w:r>
      <w:r>
        <w:rPr>
          <w:rFonts w:hint="eastAsia" w:ascii="仿宋" w:hAnsi="仿宋" w:eastAsia="仿宋"/>
          <w:sz w:val="32"/>
          <w:szCs w:val="32"/>
          <w:lang w:eastAsia="zh-CN"/>
        </w:rPr>
        <w:t>（</w:t>
      </w:r>
      <w:r>
        <w:rPr>
          <w:rFonts w:hint="eastAsia" w:ascii="仿宋" w:hAnsi="仿宋" w:eastAsia="仿宋"/>
          <w:sz w:val="32"/>
          <w:szCs w:val="32"/>
          <w:lang w:val="en-US" w:eastAsia="zh-CN"/>
        </w:rPr>
        <w:t>6</w:t>
      </w:r>
      <w:r>
        <w:rPr>
          <w:rFonts w:hint="eastAsia" w:ascii="仿宋" w:hAnsi="仿宋" w:eastAsia="仿宋"/>
          <w:sz w:val="32"/>
          <w:szCs w:val="32"/>
          <w:lang w:eastAsia="zh-CN"/>
        </w:rPr>
        <w:t>）</w:t>
      </w:r>
      <w:r>
        <w:rPr>
          <w:rFonts w:hint="eastAsia" w:ascii="仿宋" w:hAnsi="仿宋" w:eastAsia="仿宋"/>
          <w:sz w:val="32"/>
          <w:szCs w:val="32"/>
        </w:rPr>
        <w:t>档案信息室负责中心的档案信息的收集、整理、归档等档案信息管理工作，协助做好不动产登记信息平台建设、管理、维护，承担不动产登记信息数据整合、统计分析、监测利用、汇交共享和不动产登记资料社会查询服务等工作，负责司法协助相关事宜。分支机构：</w:t>
      </w:r>
      <w:r>
        <w:rPr>
          <w:rFonts w:hint="eastAsia" w:ascii="仿宋" w:hAnsi="仿宋" w:eastAsia="仿宋"/>
          <w:sz w:val="32"/>
          <w:szCs w:val="32"/>
          <w:lang w:val="en-US" w:eastAsia="zh-CN"/>
        </w:rPr>
        <w:t>六</w:t>
      </w:r>
      <w:r>
        <w:rPr>
          <w:rFonts w:hint="eastAsia" w:ascii="仿宋" w:hAnsi="仿宋" w:eastAsia="仿宋"/>
          <w:sz w:val="32"/>
          <w:szCs w:val="32"/>
          <w:highlight w:val="none"/>
        </w:rPr>
        <w:t>个科</w:t>
      </w:r>
      <w:r>
        <w:rPr>
          <w:rFonts w:hint="eastAsia" w:ascii="仿宋" w:hAnsi="仿宋" w:eastAsia="仿宋"/>
          <w:sz w:val="32"/>
          <w:szCs w:val="32"/>
        </w:rPr>
        <w:t>室分别负责全市范围内不动产权利登记事务。</w:t>
      </w:r>
    </w:p>
    <w:p w14:paraId="28BB6C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2.人员编制情况</w:t>
      </w:r>
    </w:p>
    <w:p w14:paraId="72D0148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截至2025年12月31日，我中心人员编制数117名，实有在职人员104人。</w:t>
      </w:r>
    </w:p>
    <w:p w14:paraId="442C546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3.主要职能职责</w:t>
      </w:r>
    </w:p>
    <w:p w14:paraId="127EDFA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（1）依法统一受理和办理鹤城区行政区划范围内不动产权利登记事务。</w:t>
      </w:r>
    </w:p>
    <w:p w14:paraId="18C84FC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（2）承担有关不动产登记权籍调查、统计分析、监测利用工作；协助市自然资源和规划局做好不动产权籍管理和因不动产登记引起的不动产权属争议、纠纷调处工作。</w:t>
      </w:r>
    </w:p>
    <w:p w14:paraId="292C862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（3）负责有关不动产登记档案的归档、管理工作；依法提供不动产登记资料社会查询、咨询服务；协助市自然资源和规划局建立统一的不动产登记管理信息平台，推进不动产登记有关信息互通共享。</w:t>
      </w:r>
    </w:p>
    <w:p w14:paraId="3F045FF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lang w:val="en-US" w:eastAsia="zh-CN"/>
        </w:rPr>
      </w:pPr>
      <w:r>
        <w:rPr>
          <w:rFonts w:hint="eastAsia" w:ascii="仿宋" w:hAnsi="仿宋" w:eastAsia="仿宋" w:cs="仿宋"/>
          <w:color w:val="auto"/>
          <w:sz w:val="32"/>
          <w:szCs w:val="32"/>
          <w:highlight w:val="none"/>
          <w:lang w:val="en-US" w:eastAsia="zh-CN"/>
        </w:rPr>
        <w:t>（4）承担市自然资源和规划局交办的其他事项。</w:t>
      </w:r>
    </w:p>
    <w:p w14:paraId="26D0292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4.绩效目标设定情况</w:t>
      </w:r>
    </w:p>
    <w:p w14:paraId="0AC89A85">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2025年我中心设定的总体绩效目标为：</w:t>
      </w:r>
    </w:p>
    <w:p w14:paraId="0AE59A3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目标1：保障全市土地登记、房屋登记、林地登记、草原登记、土地承包经营权工作。</w:t>
      </w:r>
    </w:p>
    <w:p w14:paraId="3B2A531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目标2：保障不动产登记档案管理工作。</w:t>
      </w:r>
    </w:p>
    <w:p w14:paraId="0BE628D8">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p>
    <w:p w14:paraId="42FF960B">
      <w:pPr>
        <w:keepNext w:val="0"/>
        <w:keepLines w:val="0"/>
        <w:pageBreakBefore w:val="0"/>
        <w:widowControl w:val="0"/>
        <w:numPr>
          <w:ilvl w:val="0"/>
          <w:numId w:val="3"/>
        </w:numPr>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Times New Roman Regular" w:hAnsi="Times New Roman Regular" w:eastAsia="仿宋_GB2312" w:cs="Times New Roman Regular"/>
          <w:color w:val="auto"/>
          <w:sz w:val="32"/>
          <w:szCs w:val="32"/>
          <w:highlight w:val="none"/>
          <w:lang w:val="en-US" w:eastAsia="zh-CN"/>
        </w:rPr>
        <w:t>部门（单位）整体支出规模、使用方向和主要内容、涉及范围等。</w:t>
      </w:r>
    </w:p>
    <w:p w14:paraId="4E1F16A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怀化市不动产登记中心2025年度总收入2153.4万元。其中：一般公共预算财政拨款收入1772.63万元；政府性基金预算财政拨款收入176.16万元；事业收入204.61万元。</w:t>
      </w:r>
    </w:p>
    <w:p w14:paraId="20C33C5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怀化市不动产登记中心2025年度总支出2153.4万元。其中：基本支出2095.29万元；项目支出58.11万元。</w:t>
      </w:r>
    </w:p>
    <w:p w14:paraId="7B2C547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部门整体支出具体使用方向如下：</w:t>
      </w:r>
    </w:p>
    <w:p w14:paraId="39413FD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b/>
          <w:bCs/>
          <w:color w:val="auto"/>
          <w:sz w:val="32"/>
          <w:szCs w:val="32"/>
          <w:highlight w:val="none"/>
          <w:lang w:val="en-US" w:eastAsia="zh-CN"/>
        </w:rPr>
        <w:t>2025年度部门整体支出使用方向统计表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7"/>
        <w:gridCol w:w="3223"/>
        <w:gridCol w:w="1475"/>
        <w:gridCol w:w="1422"/>
        <w:gridCol w:w="1698"/>
      </w:tblGrid>
      <w:tr w14:paraId="5B31E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5EFD654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序号</w:t>
            </w:r>
          </w:p>
        </w:tc>
        <w:tc>
          <w:tcPr>
            <w:tcW w:w="3223" w:type="dxa"/>
          </w:tcPr>
          <w:p w14:paraId="560AFB7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项目</w:t>
            </w:r>
          </w:p>
        </w:tc>
        <w:tc>
          <w:tcPr>
            <w:tcW w:w="4595" w:type="dxa"/>
            <w:gridSpan w:val="3"/>
          </w:tcPr>
          <w:p w14:paraId="42CCF1B9">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支出金额（万元）</w:t>
            </w:r>
          </w:p>
        </w:tc>
      </w:tr>
      <w:tr w14:paraId="5841C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63A3D65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05165EA2">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1475" w:type="dxa"/>
          </w:tcPr>
          <w:p w14:paraId="7824D83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基本支出</w:t>
            </w:r>
          </w:p>
        </w:tc>
        <w:tc>
          <w:tcPr>
            <w:tcW w:w="1422" w:type="dxa"/>
          </w:tcPr>
          <w:p w14:paraId="1DAF44D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项目支出</w:t>
            </w:r>
          </w:p>
        </w:tc>
        <w:tc>
          <w:tcPr>
            <w:tcW w:w="1698" w:type="dxa"/>
          </w:tcPr>
          <w:p w14:paraId="263CB49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小计</w:t>
            </w:r>
          </w:p>
        </w:tc>
      </w:tr>
      <w:tr w14:paraId="23A0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49E2FB10">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1</w:t>
            </w:r>
          </w:p>
        </w:tc>
        <w:tc>
          <w:tcPr>
            <w:tcW w:w="3223" w:type="dxa"/>
          </w:tcPr>
          <w:p w14:paraId="70154D7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default" w:ascii="仿宋" w:hAnsi="仿宋" w:eastAsia="仿宋" w:cs="仿宋"/>
                <w:color w:val="auto"/>
                <w:sz w:val="30"/>
                <w:szCs w:val="30"/>
                <w:highlight w:val="none"/>
                <w:vertAlign w:val="baseline"/>
                <w:lang w:val="en-US" w:eastAsia="zh-CN"/>
              </w:rPr>
              <w:t>工资福利支出</w:t>
            </w:r>
          </w:p>
        </w:tc>
        <w:tc>
          <w:tcPr>
            <w:tcW w:w="1475" w:type="dxa"/>
            <w:vAlign w:val="center"/>
          </w:tcPr>
          <w:p w14:paraId="3947A28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1796.29</w:t>
            </w:r>
          </w:p>
        </w:tc>
        <w:tc>
          <w:tcPr>
            <w:tcW w:w="1422" w:type="dxa"/>
            <w:vAlign w:val="center"/>
          </w:tcPr>
          <w:p w14:paraId="6847506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431F2B78">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1796.29</w:t>
            </w:r>
          </w:p>
        </w:tc>
      </w:tr>
      <w:tr w14:paraId="43878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7803A4FB">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2</w:t>
            </w:r>
          </w:p>
        </w:tc>
        <w:tc>
          <w:tcPr>
            <w:tcW w:w="3223" w:type="dxa"/>
          </w:tcPr>
          <w:p w14:paraId="7C1DDECA">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商品和服务支出</w:t>
            </w:r>
          </w:p>
        </w:tc>
        <w:tc>
          <w:tcPr>
            <w:tcW w:w="1475" w:type="dxa"/>
            <w:vAlign w:val="center"/>
          </w:tcPr>
          <w:p w14:paraId="2F57206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253.4</w:t>
            </w:r>
          </w:p>
        </w:tc>
        <w:tc>
          <w:tcPr>
            <w:tcW w:w="1422" w:type="dxa"/>
            <w:vAlign w:val="center"/>
          </w:tcPr>
          <w:p w14:paraId="3C15416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58.11</w:t>
            </w:r>
          </w:p>
        </w:tc>
        <w:tc>
          <w:tcPr>
            <w:tcW w:w="1698" w:type="dxa"/>
            <w:vAlign w:val="center"/>
          </w:tcPr>
          <w:p w14:paraId="17C9294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311.51</w:t>
            </w:r>
          </w:p>
        </w:tc>
      </w:tr>
      <w:tr w14:paraId="3EC3C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4B6B2166">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02DF765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其中：因公出国（境）费</w:t>
            </w:r>
          </w:p>
        </w:tc>
        <w:tc>
          <w:tcPr>
            <w:tcW w:w="1475" w:type="dxa"/>
            <w:vAlign w:val="center"/>
          </w:tcPr>
          <w:p w14:paraId="02194EF4">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422" w:type="dxa"/>
            <w:vAlign w:val="center"/>
          </w:tcPr>
          <w:p w14:paraId="6D7BF69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6025421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r>
      <w:tr w14:paraId="43B97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7A4C319D">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5EB6362D">
            <w:pPr>
              <w:keepNext w:val="0"/>
              <w:keepLines w:val="0"/>
              <w:pageBreakBefore w:val="0"/>
              <w:widowControl w:val="0"/>
              <w:kinsoku/>
              <w:wordWrap/>
              <w:overflowPunct/>
              <w:topLinePunct w:val="0"/>
              <w:autoSpaceDE/>
              <w:autoSpaceDN/>
              <w:bidi w:val="0"/>
              <w:adjustRightInd/>
              <w:snapToGrid w:val="0"/>
              <w:spacing w:line="520" w:lineRule="exact"/>
              <w:ind w:firstLine="720" w:firstLineChars="300"/>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公务用车购置费</w:t>
            </w:r>
          </w:p>
        </w:tc>
        <w:tc>
          <w:tcPr>
            <w:tcW w:w="1475" w:type="dxa"/>
            <w:vAlign w:val="center"/>
          </w:tcPr>
          <w:p w14:paraId="60FFDE2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422" w:type="dxa"/>
            <w:vAlign w:val="center"/>
          </w:tcPr>
          <w:p w14:paraId="0E3C4D0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3C09FB81">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r>
      <w:tr w14:paraId="3196F7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111BABB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0FDC23D1">
            <w:pPr>
              <w:keepNext w:val="0"/>
              <w:keepLines w:val="0"/>
              <w:pageBreakBefore w:val="0"/>
              <w:widowControl w:val="0"/>
              <w:kinsoku/>
              <w:wordWrap/>
              <w:overflowPunct/>
              <w:topLinePunct w:val="0"/>
              <w:autoSpaceDE/>
              <w:autoSpaceDN/>
              <w:bidi w:val="0"/>
              <w:adjustRightInd/>
              <w:snapToGrid w:val="0"/>
              <w:spacing w:line="520" w:lineRule="exact"/>
              <w:ind w:firstLine="720" w:firstLineChars="300"/>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公务用车运行维护费</w:t>
            </w:r>
          </w:p>
        </w:tc>
        <w:tc>
          <w:tcPr>
            <w:tcW w:w="1475" w:type="dxa"/>
            <w:vAlign w:val="center"/>
          </w:tcPr>
          <w:p w14:paraId="353F38DC">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1.0</w:t>
            </w:r>
          </w:p>
        </w:tc>
        <w:tc>
          <w:tcPr>
            <w:tcW w:w="1422" w:type="dxa"/>
            <w:vAlign w:val="center"/>
          </w:tcPr>
          <w:p w14:paraId="23576B0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2D703F0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1.0</w:t>
            </w:r>
          </w:p>
        </w:tc>
      </w:tr>
      <w:tr w14:paraId="6849D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55C50601">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5BCEE09B">
            <w:pPr>
              <w:keepNext w:val="0"/>
              <w:keepLines w:val="0"/>
              <w:pageBreakBefore w:val="0"/>
              <w:widowControl w:val="0"/>
              <w:kinsoku/>
              <w:wordWrap/>
              <w:overflowPunct/>
              <w:topLinePunct w:val="0"/>
              <w:autoSpaceDE/>
              <w:autoSpaceDN/>
              <w:bidi w:val="0"/>
              <w:adjustRightInd/>
              <w:snapToGrid w:val="0"/>
              <w:spacing w:line="520" w:lineRule="exact"/>
              <w:ind w:firstLine="720" w:firstLineChars="300"/>
              <w:textAlignment w:val="auto"/>
              <w:rPr>
                <w:rFonts w:hint="eastAsia" w:ascii="仿宋" w:hAnsi="仿宋" w:eastAsia="仿宋" w:cs="仿宋"/>
                <w:color w:val="auto"/>
                <w:sz w:val="24"/>
                <w:szCs w:val="24"/>
                <w:highlight w:val="none"/>
                <w:vertAlign w:val="baseline"/>
                <w:lang w:val="en-US" w:eastAsia="zh-CN"/>
              </w:rPr>
            </w:pPr>
            <w:r>
              <w:rPr>
                <w:rFonts w:hint="eastAsia" w:ascii="仿宋" w:hAnsi="仿宋" w:eastAsia="仿宋" w:cs="仿宋"/>
                <w:color w:val="auto"/>
                <w:sz w:val="24"/>
                <w:szCs w:val="24"/>
                <w:highlight w:val="none"/>
                <w:vertAlign w:val="baseline"/>
                <w:lang w:val="en-US" w:eastAsia="zh-CN"/>
              </w:rPr>
              <w:t>公务接待费</w:t>
            </w:r>
          </w:p>
        </w:tc>
        <w:tc>
          <w:tcPr>
            <w:tcW w:w="1475" w:type="dxa"/>
            <w:vAlign w:val="center"/>
          </w:tcPr>
          <w:p w14:paraId="5A036302">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422" w:type="dxa"/>
            <w:vAlign w:val="center"/>
          </w:tcPr>
          <w:p w14:paraId="10BB0175">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6F4C3E1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r>
      <w:tr w14:paraId="60E3A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24EB9404">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3</w:t>
            </w:r>
          </w:p>
        </w:tc>
        <w:tc>
          <w:tcPr>
            <w:tcW w:w="3223" w:type="dxa"/>
          </w:tcPr>
          <w:p w14:paraId="65E23FD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对个人和家庭的补助</w:t>
            </w:r>
          </w:p>
        </w:tc>
        <w:tc>
          <w:tcPr>
            <w:tcW w:w="1475" w:type="dxa"/>
            <w:vAlign w:val="center"/>
          </w:tcPr>
          <w:p w14:paraId="33D3BF5A">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45.6</w:t>
            </w:r>
          </w:p>
        </w:tc>
        <w:tc>
          <w:tcPr>
            <w:tcW w:w="1422" w:type="dxa"/>
            <w:vAlign w:val="center"/>
          </w:tcPr>
          <w:p w14:paraId="2CB903B3">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w:t>
            </w:r>
          </w:p>
        </w:tc>
        <w:tc>
          <w:tcPr>
            <w:tcW w:w="1698" w:type="dxa"/>
            <w:vAlign w:val="center"/>
          </w:tcPr>
          <w:p w14:paraId="6CEB944E">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45.6</w:t>
            </w:r>
          </w:p>
        </w:tc>
      </w:tr>
      <w:tr w14:paraId="650FC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76216BFC">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4</w:t>
            </w:r>
          </w:p>
        </w:tc>
        <w:tc>
          <w:tcPr>
            <w:tcW w:w="3223" w:type="dxa"/>
          </w:tcPr>
          <w:p w14:paraId="21B2A9E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资本性支出</w:t>
            </w:r>
          </w:p>
        </w:tc>
        <w:tc>
          <w:tcPr>
            <w:tcW w:w="1475" w:type="dxa"/>
            <w:vAlign w:val="center"/>
          </w:tcPr>
          <w:p w14:paraId="2CA84C3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0</w:t>
            </w:r>
          </w:p>
        </w:tc>
        <w:tc>
          <w:tcPr>
            <w:tcW w:w="1422" w:type="dxa"/>
            <w:vAlign w:val="center"/>
          </w:tcPr>
          <w:p w14:paraId="6A91454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0</w:t>
            </w:r>
          </w:p>
        </w:tc>
        <w:tc>
          <w:tcPr>
            <w:tcW w:w="1698" w:type="dxa"/>
            <w:vAlign w:val="center"/>
          </w:tcPr>
          <w:p w14:paraId="3E57F97F">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0</w:t>
            </w:r>
          </w:p>
        </w:tc>
      </w:tr>
      <w:tr w14:paraId="17352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7" w:type="dxa"/>
          </w:tcPr>
          <w:p w14:paraId="215917DE">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eastAsia" w:ascii="仿宋" w:hAnsi="仿宋" w:eastAsia="仿宋" w:cs="仿宋"/>
                <w:color w:val="auto"/>
                <w:sz w:val="30"/>
                <w:szCs w:val="30"/>
                <w:highlight w:val="none"/>
                <w:vertAlign w:val="baseline"/>
                <w:lang w:val="en-US" w:eastAsia="zh-CN"/>
              </w:rPr>
            </w:pPr>
          </w:p>
        </w:tc>
        <w:tc>
          <w:tcPr>
            <w:tcW w:w="3223" w:type="dxa"/>
          </w:tcPr>
          <w:p w14:paraId="48A03EC8">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合计</w:t>
            </w:r>
          </w:p>
        </w:tc>
        <w:tc>
          <w:tcPr>
            <w:tcW w:w="1475" w:type="dxa"/>
            <w:vAlign w:val="center"/>
          </w:tcPr>
          <w:p w14:paraId="3556499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2095.29</w:t>
            </w:r>
          </w:p>
        </w:tc>
        <w:tc>
          <w:tcPr>
            <w:tcW w:w="1422" w:type="dxa"/>
            <w:vAlign w:val="center"/>
          </w:tcPr>
          <w:p w14:paraId="44F4819D">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58.11</w:t>
            </w:r>
          </w:p>
        </w:tc>
        <w:tc>
          <w:tcPr>
            <w:tcW w:w="1698" w:type="dxa"/>
            <w:vAlign w:val="center"/>
          </w:tcPr>
          <w:p w14:paraId="02AB2316">
            <w:pPr>
              <w:keepNext w:val="0"/>
              <w:keepLines w:val="0"/>
              <w:pageBreakBefore w:val="0"/>
              <w:widowControl w:val="0"/>
              <w:kinsoku/>
              <w:wordWrap/>
              <w:overflowPunct/>
              <w:topLinePunct w:val="0"/>
              <w:autoSpaceDE/>
              <w:autoSpaceDN/>
              <w:bidi w:val="0"/>
              <w:adjustRightInd/>
              <w:snapToGrid w:val="0"/>
              <w:spacing w:line="520" w:lineRule="exact"/>
              <w:jc w:val="center"/>
              <w:textAlignment w:val="auto"/>
              <w:rPr>
                <w:rFonts w:hint="default" w:ascii="仿宋" w:hAnsi="仿宋" w:eastAsia="仿宋" w:cs="仿宋"/>
                <w:color w:val="auto"/>
                <w:sz w:val="30"/>
                <w:szCs w:val="30"/>
                <w:highlight w:val="none"/>
                <w:vertAlign w:val="baseline"/>
                <w:lang w:val="en-US" w:eastAsia="zh-CN"/>
              </w:rPr>
            </w:pPr>
            <w:r>
              <w:rPr>
                <w:rFonts w:hint="eastAsia" w:ascii="仿宋" w:hAnsi="仿宋" w:eastAsia="仿宋" w:cs="仿宋"/>
                <w:color w:val="auto"/>
                <w:sz w:val="30"/>
                <w:szCs w:val="30"/>
                <w:highlight w:val="none"/>
                <w:vertAlign w:val="baseline"/>
                <w:lang w:val="en-US" w:eastAsia="zh-CN"/>
              </w:rPr>
              <w:t>2153.4</w:t>
            </w:r>
          </w:p>
        </w:tc>
      </w:tr>
    </w:tbl>
    <w:p w14:paraId="70E2B94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sz w:val="32"/>
          <w:szCs w:val="32"/>
          <w:highlight w:val="none"/>
          <w:lang w:val="en-US" w:eastAsia="zh-CN"/>
        </w:rPr>
        <w:t>工资福利支出1796.29万元，主要用于支付在职人员工资、奖金、社会保障缴费、住房公积金及伙食补助费；商品和服务支出253.4万元，主要用于支付办公费、印刷费、邮电费、差旅费等日常办公费用以及开展项目工作所产生的劳务费、委托业务费等相关开支；对个人和家庭的补助开支45.6万元，主要用于支付退休人员春节一次性生活补助、独生子女费及节日慰问等。</w:t>
      </w:r>
    </w:p>
    <w:p w14:paraId="1F950FF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二、一般公共预算支出情况</w:t>
      </w:r>
    </w:p>
    <w:p w14:paraId="6A0235D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（一）基本支出</w:t>
      </w:r>
    </w:p>
    <w:p w14:paraId="65B0D5BB">
      <w:pPr>
        <w:keepNext w:val="0"/>
        <w:keepLines w:val="0"/>
        <w:pageBreakBefore w:val="0"/>
        <w:widowControl/>
        <w:shd w:val="clear" w:color="auto" w:fill="FFFFFF"/>
        <w:kinsoku/>
        <w:wordWrap/>
        <w:overflowPunct/>
        <w:topLinePunct w:val="0"/>
        <w:autoSpaceDE/>
        <w:autoSpaceDN/>
        <w:bidi w:val="0"/>
        <w:adjustRightInd/>
        <w:spacing w:line="520" w:lineRule="exact"/>
        <w:ind w:left="0" w:right="0" w:firstLine="632" w:firstLineChars="200"/>
        <w:textAlignment w:val="auto"/>
        <w:rPr>
          <w:rFonts w:hint="default" w:ascii="仿宋" w:hAnsi="仿宋" w:eastAsia="仿宋" w:cs="仿宋"/>
          <w:color w:val="auto"/>
          <w:spacing w:val="-2"/>
          <w:kern w:val="2"/>
          <w:sz w:val="32"/>
          <w:szCs w:val="32"/>
          <w:lang w:val="en-US" w:eastAsia="zh-CN" w:bidi="ar-SA"/>
        </w:rPr>
      </w:pPr>
      <w:r>
        <w:rPr>
          <w:rFonts w:ascii="仿宋" w:hAnsi="仿宋" w:eastAsia="仿宋" w:cs="仿宋"/>
          <w:color w:val="auto"/>
          <w:spacing w:val="-2"/>
          <w:kern w:val="2"/>
          <w:sz w:val="32"/>
          <w:szCs w:val="32"/>
          <w:lang w:val="en-US" w:eastAsia="zh-CN" w:bidi="ar-SA"/>
        </w:rPr>
        <w:t>202</w:t>
      </w:r>
      <w:r>
        <w:rPr>
          <w:rFonts w:hint="eastAsia" w:ascii="仿宋" w:hAnsi="仿宋" w:eastAsia="仿宋" w:cs="仿宋"/>
          <w:color w:val="auto"/>
          <w:spacing w:val="-2"/>
          <w:kern w:val="2"/>
          <w:sz w:val="32"/>
          <w:szCs w:val="32"/>
          <w:lang w:val="en-US" w:eastAsia="zh-CN" w:bidi="ar-SA"/>
        </w:rPr>
        <w:t>5</w:t>
      </w:r>
      <w:r>
        <w:rPr>
          <w:rFonts w:ascii="仿宋" w:hAnsi="仿宋" w:eastAsia="仿宋" w:cs="仿宋"/>
          <w:color w:val="auto"/>
          <w:spacing w:val="-2"/>
          <w:kern w:val="2"/>
          <w:sz w:val="32"/>
          <w:szCs w:val="32"/>
          <w:lang w:val="en-US" w:eastAsia="zh-CN" w:bidi="ar-SA"/>
        </w:rPr>
        <w:t>年</w:t>
      </w:r>
      <w:r>
        <w:rPr>
          <w:rFonts w:hint="eastAsia" w:ascii="仿宋" w:hAnsi="仿宋" w:eastAsia="仿宋" w:cs="仿宋"/>
          <w:color w:val="auto"/>
          <w:spacing w:val="-2"/>
          <w:kern w:val="2"/>
          <w:sz w:val="32"/>
          <w:szCs w:val="32"/>
          <w:lang w:val="en-US" w:eastAsia="zh-CN" w:bidi="ar-SA"/>
        </w:rPr>
        <w:t>怀化市不动产登记中心</w:t>
      </w:r>
      <w:r>
        <w:rPr>
          <w:rFonts w:ascii="仿宋" w:hAnsi="仿宋" w:eastAsia="仿宋" w:cs="仿宋"/>
          <w:color w:val="auto"/>
          <w:spacing w:val="-2"/>
          <w:kern w:val="2"/>
          <w:sz w:val="32"/>
          <w:szCs w:val="32"/>
          <w:lang w:val="en-US" w:eastAsia="zh-CN" w:bidi="ar-SA"/>
        </w:rPr>
        <w:t>一般公共预算</w:t>
      </w:r>
      <w:r>
        <w:rPr>
          <w:rFonts w:hint="eastAsia" w:ascii="仿宋" w:hAnsi="仿宋" w:eastAsia="仿宋" w:cs="仿宋"/>
          <w:color w:val="auto"/>
          <w:spacing w:val="-2"/>
          <w:kern w:val="2"/>
          <w:sz w:val="32"/>
          <w:szCs w:val="32"/>
          <w:lang w:val="en-US" w:eastAsia="zh-CN" w:bidi="ar-SA"/>
        </w:rPr>
        <w:t>支出</w:t>
      </w:r>
      <w:r>
        <w:rPr>
          <w:rFonts w:hint="eastAsia" w:ascii="仿宋" w:hAnsi="仿宋" w:eastAsia="仿宋" w:cs="仿宋"/>
          <w:color w:val="auto"/>
          <w:sz w:val="32"/>
          <w:szCs w:val="32"/>
          <w:highlight w:val="none"/>
          <w:lang w:val="en-US" w:eastAsia="zh-CN"/>
        </w:rPr>
        <w:t>1772.63</w:t>
      </w:r>
      <w:r>
        <w:rPr>
          <w:rFonts w:ascii="仿宋" w:hAnsi="仿宋" w:eastAsia="仿宋" w:cs="仿宋"/>
          <w:color w:val="auto"/>
          <w:spacing w:val="-2"/>
          <w:kern w:val="2"/>
          <w:sz w:val="32"/>
          <w:szCs w:val="32"/>
          <w:lang w:val="en-US" w:eastAsia="zh-CN" w:bidi="ar-SA"/>
        </w:rPr>
        <w:t>万元，其中基本支出</w:t>
      </w:r>
      <w:r>
        <w:rPr>
          <w:rFonts w:hint="eastAsia" w:ascii="仿宋" w:hAnsi="仿宋" w:eastAsia="仿宋" w:cs="仿宋"/>
          <w:color w:val="auto"/>
          <w:spacing w:val="-2"/>
          <w:kern w:val="2"/>
          <w:sz w:val="32"/>
          <w:szCs w:val="32"/>
          <w:lang w:val="en-US" w:eastAsia="zh-CN" w:bidi="ar-SA"/>
        </w:rPr>
        <w:t>1743.98</w:t>
      </w:r>
      <w:r>
        <w:rPr>
          <w:rFonts w:hint="eastAsia" w:ascii="仿宋" w:hAnsi="仿宋" w:eastAsia="仿宋" w:cs="Times New Roman"/>
          <w:spacing w:val="-2"/>
          <w:sz w:val="32"/>
          <w:szCs w:val="32"/>
        </w:rPr>
        <w:t>万</w:t>
      </w:r>
      <w:r>
        <w:rPr>
          <w:rFonts w:ascii="仿宋" w:hAnsi="仿宋" w:eastAsia="仿宋" w:cs="仿宋"/>
          <w:color w:val="auto"/>
          <w:spacing w:val="-2"/>
          <w:kern w:val="2"/>
          <w:sz w:val="32"/>
          <w:szCs w:val="32"/>
          <w:lang w:val="en-US" w:eastAsia="zh-CN" w:bidi="ar-SA"/>
        </w:rPr>
        <w:t>元，项目支出</w:t>
      </w:r>
      <w:r>
        <w:rPr>
          <w:rFonts w:hint="eastAsia" w:ascii="仿宋" w:hAnsi="仿宋" w:eastAsia="仿宋" w:cs="仿宋"/>
          <w:color w:val="auto"/>
          <w:spacing w:val="-2"/>
          <w:kern w:val="2"/>
          <w:sz w:val="32"/>
          <w:szCs w:val="32"/>
          <w:lang w:val="en-US" w:eastAsia="zh-CN" w:bidi="ar-SA"/>
        </w:rPr>
        <w:t>28.65</w:t>
      </w:r>
      <w:r>
        <w:rPr>
          <w:rFonts w:ascii="仿宋" w:hAnsi="仿宋" w:eastAsia="仿宋" w:cs="仿宋"/>
          <w:color w:val="auto"/>
          <w:spacing w:val="-2"/>
          <w:kern w:val="2"/>
          <w:sz w:val="32"/>
          <w:szCs w:val="32"/>
          <w:lang w:val="en-US" w:eastAsia="zh-CN" w:bidi="ar-SA"/>
        </w:rPr>
        <w:t>万元</w:t>
      </w:r>
      <w:r>
        <w:rPr>
          <w:rFonts w:hint="eastAsia" w:ascii="仿宋" w:hAnsi="仿宋" w:eastAsia="仿宋" w:cs="仿宋"/>
          <w:color w:val="auto"/>
          <w:spacing w:val="-2"/>
          <w:kern w:val="2"/>
          <w:sz w:val="32"/>
          <w:szCs w:val="32"/>
          <w:lang w:val="en-US" w:eastAsia="zh-CN" w:bidi="ar-SA"/>
        </w:rPr>
        <w:t>，具体情况如下：</w:t>
      </w:r>
    </w:p>
    <w:p w14:paraId="2159CA5D">
      <w:pPr>
        <w:keepNext w:val="0"/>
        <w:keepLines w:val="0"/>
        <w:pageBreakBefore w:val="0"/>
        <w:widowControl/>
        <w:shd w:val="clear" w:color="auto" w:fill="FFFFFF"/>
        <w:kinsoku/>
        <w:wordWrap/>
        <w:overflowPunct/>
        <w:topLinePunct w:val="0"/>
        <w:autoSpaceDE/>
        <w:autoSpaceDN/>
        <w:bidi w:val="0"/>
        <w:adjustRightInd/>
        <w:spacing w:line="520" w:lineRule="exact"/>
        <w:ind w:left="0" w:right="0" w:firstLine="632" w:firstLineChars="200"/>
        <w:textAlignment w:val="auto"/>
        <w:rPr>
          <w:rFonts w:hint="default" w:ascii="仿宋" w:hAnsi="仿宋" w:eastAsia="仿宋" w:cs="仿宋"/>
          <w:color w:val="auto"/>
          <w:spacing w:val="-2"/>
          <w:kern w:val="2"/>
          <w:sz w:val="32"/>
          <w:szCs w:val="32"/>
          <w:lang w:val="en-US" w:eastAsia="zh-CN" w:bidi="ar-SA"/>
        </w:rPr>
      </w:pPr>
      <w:r>
        <w:rPr>
          <w:rFonts w:hint="default" w:ascii="仿宋" w:hAnsi="仿宋" w:eastAsia="仿宋" w:cs="仿宋"/>
          <w:color w:val="auto"/>
          <w:spacing w:val="-2"/>
          <w:kern w:val="2"/>
          <w:sz w:val="32"/>
          <w:szCs w:val="32"/>
          <w:lang w:val="en-US" w:eastAsia="zh-CN" w:bidi="ar-SA"/>
        </w:rPr>
        <w:t>（一）基本支出</w:t>
      </w:r>
    </w:p>
    <w:p w14:paraId="691A8AC3">
      <w:pPr>
        <w:keepNext w:val="0"/>
        <w:keepLines w:val="0"/>
        <w:pageBreakBefore w:val="0"/>
        <w:widowControl/>
        <w:shd w:val="clear" w:color="auto" w:fill="FFFFFF"/>
        <w:kinsoku/>
        <w:wordWrap/>
        <w:overflowPunct/>
        <w:topLinePunct w:val="0"/>
        <w:autoSpaceDE/>
        <w:autoSpaceDN/>
        <w:bidi w:val="0"/>
        <w:adjustRightInd/>
        <w:spacing w:line="520" w:lineRule="exact"/>
        <w:ind w:left="0" w:right="0" w:firstLine="632" w:firstLineChars="200"/>
        <w:textAlignment w:val="auto"/>
      </w:pPr>
      <w:r>
        <w:rPr>
          <w:rFonts w:ascii="仿宋" w:hAnsi="仿宋" w:eastAsia="仿宋" w:cs="仿宋"/>
          <w:color w:val="auto"/>
          <w:spacing w:val="-2"/>
          <w:kern w:val="2"/>
          <w:sz w:val="32"/>
          <w:szCs w:val="32"/>
          <w:lang w:val="en-US" w:eastAsia="zh-CN" w:bidi="ar-SA"/>
        </w:rPr>
        <w:t>基本支出系保障</w:t>
      </w:r>
      <w:r>
        <w:rPr>
          <w:rFonts w:hint="eastAsia" w:ascii="仿宋" w:hAnsi="仿宋" w:eastAsia="仿宋" w:cs="仿宋"/>
          <w:color w:val="auto"/>
          <w:spacing w:val="-2"/>
          <w:kern w:val="2"/>
          <w:sz w:val="32"/>
          <w:szCs w:val="32"/>
          <w:lang w:val="en-US" w:eastAsia="zh-CN" w:bidi="ar-SA"/>
        </w:rPr>
        <w:t>我中心</w:t>
      </w:r>
      <w:r>
        <w:rPr>
          <w:rFonts w:ascii="仿宋" w:hAnsi="仿宋" w:eastAsia="仿宋" w:cs="仿宋"/>
          <w:color w:val="auto"/>
          <w:spacing w:val="-2"/>
          <w:kern w:val="2"/>
          <w:sz w:val="32"/>
          <w:szCs w:val="32"/>
          <w:lang w:val="en-US" w:eastAsia="zh-CN" w:bidi="ar-SA"/>
        </w:rPr>
        <w:t>正常运转、完成日常工作任务而发生的</w:t>
      </w:r>
      <w:r>
        <w:rPr>
          <w:rFonts w:hint="eastAsia" w:ascii="仿宋" w:hAnsi="仿宋" w:eastAsia="仿宋" w:cs="仿宋"/>
          <w:color w:val="auto"/>
          <w:spacing w:val="-2"/>
          <w:kern w:val="2"/>
          <w:sz w:val="32"/>
          <w:szCs w:val="21"/>
          <w:lang w:val="en-US" w:eastAsia="zh-CN" w:bidi="ar-SA"/>
        </w:rPr>
        <w:t>人员经费和日常公用经费。</w:t>
      </w:r>
      <w:r>
        <w:rPr>
          <w:rFonts w:hint="eastAsia" w:ascii="仿宋" w:hAnsi="仿宋" w:eastAsia="仿宋" w:cs="Times New Roman"/>
          <w:spacing w:val="-2"/>
          <w:sz w:val="32"/>
          <w:szCs w:val="32"/>
        </w:rPr>
        <w:t>20</w:t>
      </w:r>
      <w:r>
        <w:rPr>
          <w:rFonts w:hint="eastAsia" w:ascii="仿宋" w:hAnsi="仿宋" w:eastAsia="仿宋" w:cs="Times New Roman"/>
          <w:spacing w:val="-2"/>
          <w:sz w:val="32"/>
          <w:szCs w:val="32"/>
          <w:lang w:val="en-US" w:eastAsia="zh-CN"/>
        </w:rPr>
        <w:t>25</w:t>
      </w:r>
      <w:r>
        <w:rPr>
          <w:rFonts w:hint="eastAsia" w:ascii="仿宋" w:hAnsi="仿宋" w:eastAsia="仿宋" w:cs="Times New Roman"/>
          <w:spacing w:val="-2"/>
          <w:sz w:val="32"/>
          <w:szCs w:val="32"/>
        </w:rPr>
        <w:t>年基本支出</w:t>
      </w:r>
      <w:r>
        <w:rPr>
          <w:rFonts w:hint="eastAsia" w:ascii="仿宋" w:hAnsi="仿宋" w:eastAsia="仿宋" w:cs="仿宋"/>
          <w:color w:val="auto"/>
          <w:spacing w:val="-2"/>
          <w:kern w:val="2"/>
          <w:sz w:val="32"/>
          <w:szCs w:val="32"/>
          <w:lang w:val="en-US" w:eastAsia="zh-CN" w:bidi="ar-SA"/>
        </w:rPr>
        <w:t>1743.98</w:t>
      </w:r>
      <w:r>
        <w:rPr>
          <w:rFonts w:hint="eastAsia" w:ascii="仿宋" w:hAnsi="仿宋" w:eastAsia="仿宋" w:cs="Times New Roman"/>
          <w:spacing w:val="-2"/>
          <w:sz w:val="32"/>
          <w:szCs w:val="32"/>
        </w:rPr>
        <w:t>万元</w:t>
      </w:r>
      <w:r>
        <w:rPr>
          <w:rFonts w:hint="eastAsia" w:ascii="仿宋" w:hAnsi="仿宋" w:eastAsia="仿宋" w:cs="Times New Roman"/>
          <w:spacing w:val="-2"/>
          <w:sz w:val="32"/>
          <w:szCs w:val="32"/>
          <w:lang w:eastAsia="zh-CN"/>
        </w:rPr>
        <w:t>，</w:t>
      </w:r>
      <w:r>
        <w:rPr>
          <w:rFonts w:ascii="仿宋" w:hAnsi="仿宋" w:eastAsia="仿宋" w:cs="仿宋"/>
          <w:color w:val="auto"/>
          <w:spacing w:val="-2"/>
          <w:kern w:val="2"/>
          <w:sz w:val="32"/>
          <w:szCs w:val="32"/>
          <w:lang w:val="en-US" w:eastAsia="zh-CN" w:bidi="ar-SA"/>
        </w:rPr>
        <w:t>较上年</w:t>
      </w:r>
      <w:r>
        <w:rPr>
          <w:rFonts w:hint="eastAsia" w:ascii="仿宋" w:hAnsi="仿宋" w:eastAsia="仿宋" w:cs="仿宋"/>
          <w:color w:val="auto"/>
          <w:spacing w:val="-2"/>
          <w:kern w:val="2"/>
          <w:sz w:val="32"/>
          <w:szCs w:val="32"/>
          <w:lang w:val="en-US" w:eastAsia="zh-CN" w:bidi="ar-SA"/>
        </w:rPr>
        <w:t>增加160.23</w:t>
      </w:r>
      <w:r>
        <w:rPr>
          <w:rFonts w:ascii="仿宋" w:hAnsi="仿宋" w:eastAsia="仿宋" w:cs="仿宋"/>
          <w:color w:val="auto"/>
          <w:spacing w:val="-2"/>
          <w:kern w:val="2"/>
          <w:sz w:val="32"/>
          <w:szCs w:val="32"/>
          <w:lang w:val="en-US" w:eastAsia="zh-CN" w:bidi="ar-SA"/>
        </w:rPr>
        <w:t>万元，</w:t>
      </w:r>
      <w:r>
        <w:rPr>
          <w:rFonts w:hint="eastAsia" w:ascii="仿宋" w:hAnsi="仿宋" w:eastAsia="仿宋" w:cs="仿宋"/>
          <w:color w:val="auto"/>
          <w:spacing w:val="-2"/>
          <w:kern w:val="2"/>
          <w:sz w:val="32"/>
          <w:szCs w:val="32"/>
          <w:lang w:val="en-US" w:eastAsia="zh-CN" w:bidi="ar-SA"/>
        </w:rPr>
        <w:t>增长10.12</w:t>
      </w:r>
      <w:r>
        <w:rPr>
          <w:rFonts w:ascii="仿宋" w:hAnsi="仿宋" w:eastAsia="仿宋" w:cs="仿宋"/>
          <w:color w:val="auto"/>
          <w:spacing w:val="-2"/>
          <w:kern w:val="2"/>
          <w:sz w:val="32"/>
          <w:szCs w:val="32"/>
          <w:lang w:val="en-US" w:eastAsia="zh-CN" w:bidi="ar-SA"/>
        </w:rPr>
        <w:t>%</w:t>
      </w:r>
      <w:r>
        <w:rPr>
          <w:rFonts w:hint="eastAsia" w:ascii="仿宋" w:hAnsi="仿宋" w:eastAsia="仿宋" w:cs="仿宋"/>
          <w:color w:val="auto"/>
          <w:spacing w:val="-2"/>
          <w:kern w:val="2"/>
          <w:sz w:val="32"/>
          <w:szCs w:val="32"/>
          <w:lang w:val="en-US" w:eastAsia="zh-CN" w:bidi="ar-SA"/>
        </w:rPr>
        <w:t>，主要</w:t>
      </w:r>
      <w:r>
        <w:rPr>
          <w:rFonts w:hint="eastAsia" w:ascii="仿宋" w:hAnsi="仿宋" w:eastAsia="仿宋" w:cs="仿宋"/>
          <w:spacing w:val="-2"/>
          <w:sz w:val="32"/>
          <w:szCs w:val="32"/>
        </w:rPr>
        <w:t>是</w:t>
      </w:r>
      <w:r>
        <w:rPr>
          <w:rFonts w:hint="eastAsia" w:ascii="仿宋" w:hAnsi="仿宋" w:eastAsia="仿宋" w:cs="仿宋"/>
          <w:spacing w:val="-2"/>
          <w:sz w:val="32"/>
          <w:szCs w:val="32"/>
          <w:lang w:val="en-US" w:eastAsia="zh-CN"/>
        </w:rPr>
        <w:t>因为人员工资的上调导致基本支出增加</w:t>
      </w:r>
      <w:r>
        <w:rPr>
          <w:rFonts w:ascii="仿宋" w:hAnsi="仿宋" w:eastAsia="仿宋" w:cs="仿宋"/>
          <w:color w:val="auto"/>
          <w:spacing w:val="-2"/>
          <w:kern w:val="2"/>
          <w:sz w:val="32"/>
          <w:szCs w:val="32"/>
          <w:lang w:val="en-US" w:eastAsia="zh-CN" w:bidi="ar-SA"/>
        </w:rPr>
        <w:t>。</w:t>
      </w:r>
    </w:p>
    <w:p w14:paraId="0EB4F154">
      <w:pPr>
        <w:keepNext w:val="0"/>
        <w:keepLines w:val="0"/>
        <w:pageBreakBefore w:val="0"/>
        <w:widowControl/>
        <w:shd w:val="clear" w:color="auto" w:fill="FFFFFF"/>
        <w:kinsoku/>
        <w:wordWrap/>
        <w:overflowPunct/>
        <w:topLinePunct w:val="0"/>
        <w:autoSpaceDE/>
        <w:autoSpaceDN/>
        <w:bidi w:val="0"/>
        <w:adjustRightInd/>
        <w:spacing w:line="520" w:lineRule="exact"/>
        <w:ind w:left="0" w:right="0" w:firstLine="632" w:firstLineChars="200"/>
        <w:textAlignment w:val="auto"/>
      </w:pP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人员经费。人员经费</w:t>
      </w:r>
      <w:r>
        <w:rPr>
          <w:rFonts w:hint="eastAsia" w:ascii="仿宋" w:hAnsi="仿宋" w:eastAsia="仿宋" w:cs="仿宋"/>
          <w:spacing w:val="-2"/>
          <w:sz w:val="32"/>
          <w:szCs w:val="32"/>
          <w:lang w:val="en-US" w:eastAsia="zh-CN"/>
        </w:rPr>
        <w:t>1637.27</w:t>
      </w:r>
      <w:r>
        <w:rPr>
          <w:rFonts w:hint="eastAsia" w:ascii="仿宋" w:hAnsi="仿宋" w:eastAsia="仿宋" w:cs="仿宋"/>
          <w:color w:val="auto"/>
          <w:spacing w:val="-2"/>
          <w:kern w:val="2"/>
          <w:sz w:val="32"/>
          <w:szCs w:val="32"/>
          <w:lang w:val="en-US" w:eastAsia="zh-CN" w:bidi="ar-SA"/>
        </w:rPr>
        <w:t>万</w:t>
      </w:r>
      <w:r>
        <w:rPr>
          <w:rFonts w:hint="eastAsia" w:ascii="仿宋" w:hAnsi="仿宋" w:eastAsia="仿宋" w:cs="仿宋"/>
          <w:spacing w:val="-2"/>
          <w:sz w:val="32"/>
          <w:szCs w:val="32"/>
        </w:rPr>
        <w:t>元，占基本支出的</w:t>
      </w:r>
      <w:r>
        <w:rPr>
          <w:rFonts w:hint="eastAsia" w:ascii="仿宋" w:hAnsi="仿宋" w:eastAsia="仿宋" w:cs="仿宋"/>
          <w:spacing w:val="-2"/>
          <w:sz w:val="32"/>
          <w:szCs w:val="32"/>
          <w:lang w:val="en-US" w:eastAsia="zh-CN"/>
        </w:rPr>
        <w:t>93.88</w:t>
      </w:r>
      <w:r>
        <w:rPr>
          <w:rFonts w:hint="eastAsia" w:ascii="仿宋" w:hAnsi="仿宋" w:eastAsia="仿宋" w:cs="仿宋"/>
          <w:spacing w:val="-2"/>
          <w:sz w:val="32"/>
          <w:szCs w:val="32"/>
        </w:rPr>
        <w:t>%，较上年</w:t>
      </w:r>
      <w:r>
        <w:rPr>
          <w:rFonts w:hint="eastAsia" w:ascii="仿宋" w:hAnsi="仿宋" w:eastAsia="仿宋" w:cs="仿宋"/>
          <w:spacing w:val="-2"/>
          <w:sz w:val="32"/>
          <w:szCs w:val="32"/>
          <w:lang w:val="en-US" w:eastAsia="zh-CN"/>
        </w:rPr>
        <w:t>增加238.03万元，增长17.37</w:t>
      </w:r>
      <w:r>
        <w:rPr>
          <w:rFonts w:hint="eastAsia" w:ascii="仿宋" w:hAnsi="仿宋" w:eastAsia="仿宋" w:cs="仿宋"/>
          <w:spacing w:val="-2"/>
          <w:sz w:val="32"/>
          <w:szCs w:val="32"/>
        </w:rPr>
        <w:t>%，主要是</w:t>
      </w:r>
      <w:r>
        <w:rPr>
          <w:rFonts w:hint="eastAsia" w:ascii="仿宋" w:hAnsi="仿宋" w:eastAsia="仿宋" w:cs="仿宋"/>
          <w:spacing w:val="-2"/>
          <w:sz w:val="32"/>
          <w:szCs w:val="32"/>
          <w:lang w:val="en-US" w:eastAsia="zh-CN"/>
        </w:rPr>
        <w:t>因为上年度员工工资上调导致人员经费增加</w:t>
      </w:r>
      <w:r>
        <w:rPr>
          <w:rFonts w:hint="eastAsia" w:ascii="仿宋" w:hAnsi="仿宋" w:eastAsia="仿宋" w:cs="仿宋"/>
          <w:spacing w:val="-2"/>
          <w:sz w:val="32"/>
          <w:szCs w:val="32"/>
        </w:rPr>
        <w:t>。</w:t>
      </w:r>
    </w:p>
    <w:p w14:paraId="7DC37E4B">
      <w:pPr>
        <w:keepNext w:val="0"/>
        <w:keepLines w:val="0"/>
        <w:pageBreakBefore w:val="0"/>
        <w:widowControl/>
        <w:shd w:val="clear" w:color="auto" w:fill="FFFFFF"/>
        <w:kinsoku/>
        <w:wordWrap/>
        <w:overflowPunct/>
        <w:topLinePunct w:val="0"/>
        <w:autoSpaceDE/>
        <w:autoSpaceDN/>
        <w:bidi w:val="0"/>
        <w:adjustRightInd/>
        <w:spacing w:line="520" w:lineRule="exact"/>
        <w:ind w:left="0" w:right="0" w:firstLine="632" w:firstLineChars="200"/>
        <w:textAlignment w:val="auto"/>
        <w:rPr>
          <w:rFonts w:hint="eastAsia" w:hAnsi="仿宋" w:eastAsia="仿宋"/>
          <w:spacing w:val="-2"/>
          <w:sz w:val="32"/>
          <w:szCs w:val="32"/>
          <w:lang w:eastAsia="zh-CN"/>
        </w:rPr>
      </w:pP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工资福利支出</w:t>
      </w:r>
      <w:r>
        <w:rPr>
          <w:rFonts w:hint="eastAsia" w:ascii="仿宋" w:hAnsi="仿宋" w:eastAsia="仿宋" w:cs="仿宋"/>
          <w:spacing w:val="-2"/>
          <w:sz w:val="32"/>
          <w:szCs w:val="32"/>
          <w:lang w:val="en-US" w:eastAsia="zh-CN"/>
        </w:rPr>
        <w:t>1608.35</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主要包括在职人员</w:t>
      </w:r>
      <w:r>
        <w:rPr>
          <w:rFonts w:hAnsi="仿宋" w:eastAsia="仿宋"/>
          <w:spacing w:val="-2"/>
          <w:sz w:val="32"/>
          <w:szCs w:val="32"/>
        </w:rPr>
        <w:t>基本工资、津贴补贴、奖金、</w:t>
      </w:r>
      <w:r>
        <w:rPr>
          <w:rFonts w:hint="eastAsia" w:hAnsi="仿宋" w:eastAsia="仿宋"/>
          <w:spacing w:val="-2"/>
          <w:sz w:val="32"/>
          <w:szCs w:val="32"/>
        </w:rPr>
        <w:t>绩效工资</w:t>
      </w:r>
      <w:r>
        <w:rPr>
          <w:rFonts w:hint="eastAsia" w:hAnsi="仿宋" w:eastAsia="仿宋"/>
          <w:spacing w:val="-2"/>
          <w:sz w:val="32"/>
          <w:szCs w:val="32"/>
          <w:lang w:eastAsia="zh-CN"/>
        </w:rPr>
        <w:t>、</w:t>
      </w:r>
      <w:r>
        <w:rPr>
          <w:rFonts w:hint="eastAsia" w:hAnsi="仿宋" w:eastAsia="仿宋"/>
          <w:spacing w:val="-2"/>
          <w:sz w:val="32"/>
          <w:szCs w:val="32"/>
          <w:lang w:val="en-US" w:eastAsia="zh-CN"/>
        </w:rPr>
        <w:t>伙食补助费、</w:t>
      </w:r>
      <w:r>
        <w:rPr>
          <w:rFonts w:hAnsi="仿宋" w:eastAsia="仿宋"/>
          <w:spacing w:val="-2"/>
          <w:sz w:val="32"/>
          <w:szCs w:val="32"/>
        </w:rPr>
        <w:t>机关事业单位基本养老保险缴费、</w:t>
      </w:r>
      <w:r>
        <w:rPr>
          <w:rFonts w:hint="eastAsia" w:hAnsi="仿宋" w:eastAsia="仿宋"/>
          <w:spacing w:val="-2"/>
          <w:sz w:val="32"/>
          <w:szCs w:val="32"/>
          <w:lang w:val="en-US" w:eastAsia="zh-CN"/>
        </w:rPr>
        <w:t>职业年金缴费、</w:t>
      </w:r>
      <w:r>
        <w:rPr>
          <w:rFonts w:hAnsi="仿宋" w:eastAsia="仿宋"/>
          <w:spacing w:val="-2"/>
          <w:sz w:val="32"/>
          <w:szCs w:val="32"/>
        </w:rPr>
        <w:t>职工基本医疗保险缴费、其他社会保障缴费</w:t>
      </w:r>
      <w:r>
        <w:rPr>
          <w:rFonts w:hint="eastAsia" w:hAnsi="仿宋" w:eastAsia="仿宋"/>
          <w:spacing w:val="-2"/>
          <w:sz w:val="32"/>
          <w:szCs w:val="32"/>
          <w:lang w:eastAsia="zh-CN"/>
        </w:rPr>
        <w:t>、</w:t>
      </w:r>
      <w:r>
        <w:rPr>
          <w:rFonts w:hint="eastAsia" w:hAnsi="仿宋" w:eastAsia="仿宋"/>
          <w:spacing w:val="-2"/>
          <w:sz w:val="32"/>
          <w:szCs w:val="32"/>
          <w:lang w:val="en-US" w:eastAsia="zh-CN"/>
        </w:rPr>
        <w:t>住房公积金等支出</w:t>
      </w:r>
      <w:r>
        <w:rPr>
          <w:rFonts w:hint="eastAsia" w:hAnsi="仿宋" w:eastAsia="仿宋"/>
          <w:spacing w:val="-2"/>
          <w:sz w:val="32"/>
          <w:szCs w:val="32"/>
          <w:lang w:eastAsia="zh-CN"/>
        </w:rPr>
        <w:t>。</w:t>
      </w:r>
    </w:p>
    <w:p w14:paraId="749532C6">
      <w:pPr>
        <w:keepNext w:val="0"/>
        <w:keepLines w:val="0"/>
        <w:pageBreakBefore w:val="0"/>
        <w:widowControl/>
        <w:shd w:val="clear" w:color="auto" w:fill="FFFFFF"/>
        <w:kinsoku/>
        <w:wordWrap/>
        <w:overflowPunct/>
        <w:topLinePunct w:val="0"/>
        <w:autoSpaceDE/>
        <w:autoSpaceDN/>
        <w:bidi w:val="0"/>
        <w:adjustRightInd/>
        <w:spacing w:line="520" w:lineRule="exact"/>
        <w:ind w:right="0" w:firstLine="632" w:firstLineChars="200"/>
        <w:textAlignment w:val="auto"/>
      </w:pP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2</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对个人和家庭补助支出</w:t>
      </w:r>
      <w:r>
        <w:rPr>
          <w:rFonts w:hint="eastAsia" w:ascii="仿宋" w:hAnsi="仿宋" w:eastAsia="仿宋" w:cs="仿宋"/>
          <w:spacing w:val="-2"/>
          <w:sz w:val="32"/>
          <w:szCs w:val="32"/>
          <w:lang w:val="en-US" w:eastAsia="zh-CN"/>
        </w:rPr>
        <w:t>28.92</w:t>
      </w:r>
      <w:r>
        <w:rPr>
          <w:rFonts w:hint="eastAsia" w:ascii="仿宋" w:hAnsi="仿宋" w:eastAsia="仿宋" w:cs="仿宋"/>
          <w:spacing w:val="-2"/>
          <w:sz w:val="32"/>
          <w:szCs w:val="32"/>
        </w:rPr>
        <w:t>万元。主要包括生活补助、</w:t>
      </w:r>
      <w:r>
        <w:rPr>
          <w:rFonts w:hint="eastAsia" w:ascii="仿宋" w:hAnsi="仿宋" w:eastAsia="仿宋" w:cs="仿宋"/>
          <w:spacing w:val="-2"/>
          <w:sz w:val="32"/>
          <w:szCs w:val="32"/>
          <w:lang w:val="en-US" w:eastAsia="zh-CN"/>
        </w:rPr>
        <w:t>医疗费补助、</w:t>
      </w:r>
      <w:r>
        <w:rPr>
          <w:rFonts w:hint="eastAsia" w:ascii="仿宋" w:hAnsi="仿宋" w:eastAsia="仿宋" w:cs="仿宋"/>
          <w:spacing w:val="-2"/>
          <w:sz w:val="32"/>
          <w:szCs w:val="32"/>
          <w:lang w:eastAsia="zh-CN"/>
        </w:rPr>
        <w:t>奖励金、</w:t>
      </w:r>
      <w:r>
        <w:rPr>
          <w:rFonts w:hint="eastAsia" w:ascii="仿宋" w:hAnsi="仿宋" w:eastAsia="仿宋" w:cs="仿宋"/>
          <w:spacing w:val="-2"/>
          <w:sz w:val="32"/>
          <w:szCs w:val="32"/>
        </w:rPr>
        <w:t>其他对个人和家庭的补助等支出。</w:t>
      </w:r>
    </w:p>
    <w:p w14:paraId="41DA01F9">
      <w:pPr>
        <w:keepNext w:val="0"/>
        <w:keepLines w:val="0"/>
        <w:pageBreakBefore w:val="0"/>
        <w:widowControl/>
        <w:shd w:val="clear" w:color="auto" w:fill="FFFFFF"/>
        <w:kinsoku/>
        <w:wordWrap/>
        <w:overflowPunct/>
        <w:topLinePunct w:val="0"/>
        <w:autoSpaceDE/>
        <w:autoSpaceDN/>
        <w:bidi w:val="0"/>
        <w:adjustRightInd/>
        <w:spacing w:line="520" w:lineRule="exact"/>
        <w:ind w:right="0" w:firstLine="632" w:firstLineChars="200"/>
        <w:textAlignment w:val="auto"/>
        <w:rPr>
          <w:rFonts w:hint="eastAsia" w:ascii="仿宋" w:hAnsi="仿宋" w:eastAsia="仿宋" w:cs="仿宋"/>
          <w:spacing w:val="-2"/>
          <w:sz w:val="32"/>
          <w:szCs w:val="32"/>
          <w:lang w:val="en-US" w:eastAsia="zh-CN"/>
        </w:rPr>
      </w:pPr>
      <w:r>
        <w:rPr>
          <w:rFonts w:hint="eastAsia" w:ascii="仿宋" w:hAnsi="仿宋" w:eastAsia="仿宋" w:cs="仿宋"/>
          <w:spacing w:val="-2"/>
          <w:sz w:val="32"/>
          <w:szCs w:val="32"/>
          <w:lang w:val="en-US" w:eastAsia="zh-CN"/>
        </w:rPr>
        <w:t>2.</w:t>
      </w:r>
      <w:r>
        <w:rPr>
          <w:rFonts w:hint="eastAsia" w:ascii="仿宋" w:hAnsi="仿宋" w:eastAsia="仿宋" w:cs="仿宋"/>
          <w:spacing w:val="-2"/>
          <w:sz w:val="32"/>
          <w:szCs w:val="32"/>
        </w:rPr>
        <w:t>日常公用经费。日常公用经费</w:t>
      </w:r>
      <w:r>
        <w:rPr>
          <w:rFonts w:hint="eastAsia" w:ascii="仿宋" w:hAnsi="仿宋" w:eastAsia="仿宋" w:cs="仿宋"/>
          <w:spacing w:val="-2"/>
          <w:sz w:val="32"/>
          <w:szCs w:val="32"/>
          <w:lang w:val="en-US" w:eastAsia="zh-CN"/>
        </w:rPr>
        <w:t>106.7</w:t>
      </w:r>
      <w:r>
        <w:rPr>
          <w:rFonts w:hint="eastAsia" w:ascii="仿宋" w:hAnsi="仿宋" w:eastAsia="仿宋" w:cs="仿宋"/>
          <w:spacing w:val="-2"/>
          <w:sz w:val="32"/>
          <w:szCs w:val="32"/>
        </w:rPr>
        <w:t>万元，占基本支出的</w:t>
      </w:r>
      <w:r>
        <w:rPr>
          <w:rFonts w:hint="eastAsia" w:ascii="仿宋" w:hAnsi="仿宋" w:eastAsia="仿宋" w:cs="仿宋"/>
          <w:spacing w:val="-2"/>
          <w:sz w:val="32"/>
          <w:szCs w:val="32"/>
          <w:lang w:val="en-US" w:eastAsia="zh-CN"/>
        </w:rPr>
        <w:t>6.12</w:t>
      </w:r>
      <w:r>
        <w:rPr>
          <w:rFonts w:hint="eastAsia" w:ascii="仿宋" w:hAnsi="仿宋" w:eastAsia="仿宋" w:cs="仿宋"/>
          <w:spacing w:val="-2"/>
          <w:sz w:val="32"/>
          <w:szCs w:val="32"/>
        </w:rPr>
        <w:t>%，</w:t>
      </w:r>
      <w:r>
        <w:rPr>
          <w:rFonts w:hint="eastAsia" w:ascii="仿宋" w:hAnsi="仿宋" w:eastAsia="仿宋" w:cs="仿宋"/>
          <w:color w:val="auto"/>
          <w:spacing w:val="-2"/>
          <w:kern w:val="2"/>
          <w:sz w:val="32"/>
          <w:szCs w:val="32"/>
          <w:lang w:val="en-US" w:eastAsia="zh-CN" w:bidi="ar-SA"/>
        </w:rPr>
        <w:t>较上年减少106.73万元，减少50%，</w:t>
      </w:r>
      <w:r>
        <w:rPr>
          <w:rFonts w:hint="eastAsia" w:ascii="仿宋" w:hAnsi="仿宋" w:eastAsia="仿宋" w:cs="仿宋"/>
          <w:spacing w:val="-2"/>
          <w:sz w:val="32"/>
          <w:szCs w:val="32"/>
        </w:rPr>
        <w:t>主要是</w:t>
      </w:r>
      <w:r>
        <w:rPr>
          <w:rFonts w:hint="eastAsia" w:ascii="仿宋" w:hAnsi="仿宋" w:eastAsia="仿宋" w:cs="仿宋"/>
          <w:spacing w:val="-2"/>
          <w:sz w:val="32"/>
          <w:szCs w:val="32"/>
          <w:lang w:val="en-US" w:eastAsia="zh-CN"/>
        </w:rPr>
        <w:t>因为上年度严格按照财政要求节省开支控制公用经费。</w:t>
      </w:r>
    </w:p>
    <w:p w14:paraId="3A24DE83">
      <w:pPr>
        <w:keepNext w:val="0"/>
        <w:keepLines w:val="0"/>
        <w:pageBreakBefore w:val="0"/>
        <w:widowControl/>
        <w:numPr>
          <w:ilvl w:val="0"/>
          <w:numId w:val="0"/>
        </w:numPr>
        <w:shd w:val="clear" w:color="auto" w:fill="FFFFFF"/>
        <w:kinsoku/>
        <w:wordWrap/>
        <w:overflowPunct/>
        <w:topLinePunct w:val="0"/>
        <w:autoSpaceDE/>
        <w:autoSpaceDN/>
        <w:bidi w:val="0"/>
        <w:adjustRightInd/>
        <w:spacing w:line="520" w:lineRule="exact"/>
        <w:ind w:right="0" w:rightChars="0" w:firstLine="632" w:firstLineChars="200"/>
        <w:textAlignment w:val="auto"/>
      </w:pP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商品和服务支出</w:t>
      </w:r>
      <w:r>
        <w:rPr>
          <w:rFonts w:hint="eastAsia" w:ascii="仿宋" w:hAnsi="仿宋" w:eastAsia="仿宋" w:cs="仿宋"/>
          <w:spacing w:val="-2"/>
          <w:sz w:val="32"/>
          <w:szCs w:val="32"/>
          <w:lang w:val="en-US" w:eastAsia="zh-CN"/>
        </w:rPr>
        <w:t>106.7</w:t>
      </w:r>
      <w:r>
        <w:rPr>
          <w:rFonts w:hint="eastAsia" w:ascii="仿宋" w:hAnsi="仿宋" w:eastAsia="仿宋" w:cs="仿宋"/>
          <w:spacing w:val="-2"/>
          <w:sz w:val="32"/>
          <w:szCs w:val="32"/>
        </w:rPr>
        <w:t>万元。主要包括日常运行正常</w:t>
      </w:r>
      <w:r>
        <w:rPr>
          <w:rFonts w:hint="eastAsia" w:ascii="仿宋" w:hAnsi="仿宋" w:eastAsia="仿宋" w:cs="仿宋"/>
          <w:spacing w:val="-2"/>
          <w:sz w:val="32"/>
          <w:szCs w:val="32"/>
          <w:lang w:eastAsia="zh-CN"/>
        </w:rPr>
        <w:t>的</w:t>
      </w:r>
      <w:r>
        <w:rPr>
          <w:rFonts w:hint="eastAsia" w:ascii="仿宋" w:hAnsi="仿宋" w:eastAsia="仿宋" w:cs="仿宋"/>
          <w:spacing w:val="-2"/>
          <w:sz w:val="32"/>
          <w:szCs w:val="32"/>
        </w:rPr>
        <w:t>办公费</w:t>
      </w:r>
      <w:r>
        <w:rPr>
          <w:rFonts w:hint="eastAsia" w:ascii="仿宋" w:hAnsi="仿宋" w:eastAsia="仿宋" w:cs="仿宋"/>
          <w:spacing w:val="-2"/>
          <w:sz w:val="32"/>
          <w:szCs w:val="32"/>
          <w:lang w:val="en-US" w:eastAsia="zh-CN"/>
        </w:rPr>
        <w:t>、印刷费、差旅费、</w:t>
      </w:r>
      <w:r>
        <w:rPr>
          <w:rFonts w:hint="eastAsia" w:ascii="仿宋" w:hAnsi="仿宋" w:eastAsia="仿宋" w:cs="仿宋"/>
          <w:spacing w:val="-2"/>
          <w:sz w:val="32"/>
          <w:szCs w:val="32"/>
        </w:rPr>
        <w:t>其他商品服务支出等。</w:t>
      </w:r>
    </w:p>
    <w:p w14:paraId="2620C474">
      <w:pPr>
        <w:keepNext w:val="0"/>
        <w:keepLines w:val="0"/>
        <w:pageBreakBefore w:val="0"/>
        <w:widowControl/>
        <w:shd w:val="clear" w:color="auto" w:fill="FFFFFF"/>
        <w:kinsoku/>
        <w:wordWrap/>
        <w:overflowPunct/>
        <w:topLinePunct w:val="0"/>
        <w:autoSpaceDE/>
        <w:autoSpaceDN/>
        <w:bidi w:val="0"/>
        <w:adjustRightInd/>
        <w:spacing w:line="520" w:lineRule="exact"/>
        <w:ind w:right="0" w:firstLine="632" w:firstLineChars="200"/>
        <w:textAlignment w:val="auto"/>
        <w:rPr>
          <w:rFonts w:hint="default" w:ascii="仿宋" w:hAnsi="仿宋" w:eastAsia="仿宋" w:cs="仿宋"/>
          <w:spacing w:val="-2"/>
          <w:sz w:val="32"/>
          <w:szCs w:val="32"/>
        </w:rPr>
      </w:pPr>
      <w:r>
        <w:rPr>
          <w:rFonts w:hint="eastAsia" w:ascii="仿宋" w:hAnsi="仿宋" w:eastAsia="仿宋" w:cs="仿宋"/>
          <w:spacing w:val="-2"/>
          <w:sz w:val="32"/>
          <w:szCs w:val="32"/>
          <w:lang w:val="en-US" w:eastAsia="zh-CN"/>
        </w:rPr>
        <w:t>3.“</w:t>
      </w:r>
      <w:r>
        <w:rPr>
          <w:rFonts w:hint="default" w:ascii="仿宋" w:hAnsi="仿宋" w:eastAsia="仿宋" w:cs="仿宋"/>
          <w:spacing w:val="-2"/>
          <w:sz w:val="32"/>
          <w:szCs w:val="32"/>
        </w:rPr>
        <w:t>三公</w:t>
      </w:r>
      <w:r>
        <w:rPr>
          <w:rFonts w:hint="eastAsia" w:ascii="仿宋" w:hAnsi="仿宋" w:eastAsia="仿宋" w:cs="仿宋"/>
          <w:spacing w:val="-2"/>
          <w:sz w:val="32"/>
          <w:szCs w:val="32"/>
          <w:lang w:val="en-US" w:eastAsia="zh-CN"/>
        </w:rPr>
        <w:t>”</w:t>
      </w:r>
      <w:r>
        <w:rPr>
          <w:rFonts w:hint="default" w:ascii="仿宋" w:hAnsi="仿宋" w:eastAsia="仿宋" w:cs="仿宋"/>
          <w:spacing w:val="-2"/>
          <w:sz w:val="32"/>
          <w:szCs w:val="32"/>
        </w:rPr>
        <w:t>经费使用和管理情况</w:t>
      </w:r>
    </w:p>
    <w:p w14:paraId="603D3AD5">
      <w:pPr>
        <w:keepNext w:val="0"/>
        <w:keepLines w:val="0"/>
        <w:pageBreakBefore w:val="0"/>
        <w:widowControl/>
        <w:shd w:val="clear" w:color="auto" w:fill="FFFFFF"/>
        <w:kinsoku/>
        <w:wordWrap/>
        <w:overflowPunct/>
        <w:topLinePunct w:val="0"/>
        <w:autoSpaceDE/>
        <w:autoSpaceDN/>
        <w:bidi w:val="0"/>
        <w:adjustRightInd/>
        <w:spacing w:line="520" w:lineRule="exact"/>
        <w:ind w:right="0" w:firstLine="632" w:firstLineChars="200"/>
        <w:textAlignment w:val="auto"/>
        <w:rPr>
          <w:rFonts w:hint="default" w:ascii="仿宋" w:hAnsi="仿宋" w:eastAsia="仿宋" w:cs="仿宋"/>
          <w:spacing w:val="-2"/>
          <w:sz w:val="32"/>
          <w:szCs w:val="32"/>
          <w:highlight w:val="yellow"/>
          <w:lang w:val="en-US" w:eastAsia="zh-CN"/>
        </w:rPr>
      </w:pPr>
      <w:r>
        <w:rPr>
          <w:rFonts w:hint="eastAsia" w:ascii="仿宋" w:hAnsi="仿宋" w:eastAsia="仿宋" w:cs="仿宋"/>
          <w:spacing w:val="-2"/>
          <w:sz w:val="32"/>
          <w:szCs w:val="32"/>
        </w:rPr>
        <w:t>202</w:t>
      </w:r>
      <w:r>
        <w:rPr>
          <w:rFonts w:hint="eastAsia" w:ascii="仿宋" w:hAnsi="仿宋" w:eastAsia="仿宋" w:cs="仿宋"/>
          <w:spacing w:val="-2"/>
          <w:sz w:val="32"/>
          <w:szCs w:val="32"/>
          <w:lang w:val="en-US" w:eastAsia="zh-CN"/>
        </w:rPr>
        <w:t>5</w:t>
      </w:r>
      <w:r>
        <w:rPr>
          <w:rFonts w:hint="eastAsia" w:ascii="仿宋" w:hAnsi="仿宋" w:eastAsia="仿宋" w:cs="仿宋"/>
          <w:spacing w:val="-2"/>
          <w:sz w:val="32"/>
          <w:szCs w:val="32"/>
        </w:rPr>
        <w:t>年“三公”经费预算为</w:t>
      </w:r>
      <w:r>
        <w:rPr>
          <w:rFonts w:hint="eastAsia" w:ascii="仿宋" w:hAnsi="仿宋" w:eastAsia="仿宋" w:cs="仿宋"/>
          <w:spacing w:val="-2"/>
          <w:sz w:val="32"/>
          <w:szCs w:val="32"/>
          <w:lang w:val="en-US" w:eastAsia="zh-CN"/>
        </w:rPr>
        <w:t>3.26</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其中</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因公出国(境)费预算0万元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公务用车购置费</w:t>
      </w:r>
      <w:r>
        <w:rPr>
          <w:rFonts w:hint="eastAsia" w:ascii="仿宋" w:hAnsi="仿宋" w:eastAsia="仿宋" w:cs="仿宋"/>
          <w:spacing w:val="-2"/>
          <w:sz w:val="32"/>
          <w:szCs w:val="32"/>
          <w:lang w:val="en-US" w:eastAsia="zh-CN"/>
        </w:rPr>
        <w:t>0万元，</w:t>
      </w:r>
      <w:r>
        <w:rPr>
          <w:rFonts w:hint="eastAsia" w:ascii="仿宋" w:hAnsi="仿宋" w:eastAsia="仿宋" w:cs="仿宋"/>
          <w:spacing w:val="-2"/>
          <w:sz w:val="32"/>
          <w:szCs w:val="32"/>
        </w:rPr>
        <w:t>公务用车运行维护费</w:t>
      </w:r>
      <w:r>
        <w:rPr>
          <w:rFonts w:hint="eastAsia" w:ascii="仿宋" w:hAnsi="仿宋" w:eastAsia="仿宋" w:cs="仿宋"/>
          <w:spacing w:val="-2"/>
          <w:sz w:val="32"/>
          <w:szCs w:val="32"/>
          <w:lang w:val="en-US" w:eastAsia="zh-CN"/>
        </w:rPr>
        <w:t>3.2</w:t>
      </w:r>
      <w:r>
        <w:rPr>
          <w:rFonts w:hint="eastAsia" w:ascii="仿宋" w:hAnsi="仿宋" w:eastAsia="仿宋" w:cs="仿宋"/>
          <w:spacing w:val="-2"/>
          <w:sz w:val="32"/>
          <w:szCs w:val="32"/>
        </w:rPr>
        <w:t>万元，公务接待费</w:t>
      </w:r>
      <w:r>
        <w:rPr>
          <w:rFonts w:hint="eastAsia" w:ascii="仿宋" w:hAnsi="仿宋" w:eastAsia="仿宋" w:cs="仿宋"/>
          <w:spacing w:val="-2"/>
          <w:sz w:val="32"/>
          <w:szCs w:val="32"/>
          <w:lang w:val="en-US" w:eastAsia="zh-CN"/>
        </w:rPr>
        <w:t>0.06</w:t>
      </w:r>
      <w:r>
        <w:rPr>
          <w:rFonts w:hint="eastAsia" w:ascii="仿宋" w:hAnsi="仿宋" w:eastAsia="仿宋" w:cs="仿宋"/>
          <w:spacing w:val="-2"/>
          <w:sz w:val="32"/>
          <w:szCs w:val="32"/>
        </w:rPr>
        <w:t>万元。本年</w:t>
      </w:r>
      <w:r>
        <w:rPr>
          <w:rFonts w:hint="eastAsia" w:ascii="仿宋" w:hAnsi="仿宋" w:eastAsia="仿宋" w:cs="仿宋"/>
          <w:spacing w:val="-2"/>
          <w:sz w:val="32"/>
          <w:szCs w:val="32"/>
          <w:lang w:val="en-US" w:eastAsia="zh-CN"/>
        </w:rPr>
        <w:t>度</w:t>
      </w:r>
      <w:r>
        <w:rPr>
          <w:rFonts w:hint="eastAsia" w:ascii="仿宋" w:hAnsi="仿宋" w:eastAsia="仿宋" w:cs="仿宋"/>
          <w:spacing w:val="-2"/>
          <w:sz w:val="32"/>
          <w:szCs w:val="32"/>
        </w:rPr>
        <w:t>“三公”经费总支出</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万元，其中</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因公出国(境)费0万元，公务用车购置费</w:t>
      </w:r>
      <w:r>
        <w:rPr>
          <w:rFonts w:hint="eastAsia" w:ascii="仿宋" w:hAnsi="仿宋" w:eastAsia="仿宋" w:cs="仿宋"/>
          <w:spacing w:val="-2"/>
          <w:sz w:val="32"/>
          <w:szCs w:val="32"/>
          <w:lang w:val="en-US" w:eastAsia="zh-CN"/>
        </w:rPr>
        <w:t>0万元，</w:t>
      </w:r>
      <w:r>
        <w:rPr>
          <w:rFonts w:hint="eastAsia" w:ascii="仿宋" w:hAnsi="仿宋" w:eastAsia="仿宋" w:cs="仿宋"/>
          <w:spacing w:val="-2"/>
          <w:sz w:val="32"/>
          <w:szCs w:val="32"/>
        </w:rPr>
        <w:t>公务用车运行维护费</w:t>
      </w:r>
      <w:r>
        <w:rPr>
          <w:rFonts w:hint="eastAsia" w:ascii="仿宋" w:hAnsi="仿宋" w:eastAsia="仿宋" w:cs="仿宋"/>
          <w:spacing w:val="-2"/>
          <w:sz w:val="32"/>
          <w:szCs w:val="32"/>
          <w:lang w:val="en-US" w:eastAsia="zh-CN"/>
        </w:rPr>
        <w:t>1</w:t>
      </w:r>
      <w:r>
        <w:rPr>
          <w:rFonts w:hint="eastAsia" w:ascii="仿宋" w:hAnsi="仿宋" w:eastAsia="仿宋" w:cs="仿宋"/>
          <w:spacing w:val="-2"/>
          <w:sz w:val="32"/>
          <w:szCs w:val="32"/>
        </w:rPr>
        <w:t>万元，公务接待费</w:t>
      </w:r>
      <w:r>
        <w:rPr>
          <w:rFonts w:hint="eastAsia" w:ascii="仿宋" w:hAnsi="仿宋" w:eastAsia="仿宋" w:cs="仿宋"/>
          <w:spacing w:val="-2"/>
          <w:sz w:val="32"/>
          <w:szCs w:val="32"/>
          <w:lang w:val="en-US" w:eastAsia="zh-CN"/>
        </w:rPr>
        <w:t>0</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完成预算的30.67%，决算数小于预算数的主要原因是严格控制安排“三公”经费，确保“三公”经费不超预算。</w:t>
      </w:r>
      <w:r>
        <w:rPr>
          <w:rFonts w:hint="eastAsia" w:ascii="仿宋" w:hAnsi="仿宋" w:eastAsia="仿宋" w:cs="仿宋"/>
          <w:spacing w:val="-2"/>
          <w:sz w:val="32"/>
          <w:szCs w:val="32"/>
        </w:rPr>
        <w:t>本年</w:t>
      </w:r>
      <w:r>
        <w:rPr>
          <w:rFonts w:hint="eastAsia" w:ascii="仿宋" w:hAnsi="仿宋" w:eastAsia="仿宋" w:cs="仿宋"/>
          <w:spacing w:val="-2"/>
          <w:sz w:val="32"/>
          <w:szCs w:val="32"/>
          <w:lang w:val="en-US" w:eastAsia="zh-CN"/>
        </w:rPr>
        <w:t>度</w:t>
      </w:r>
      <w:r>
        <w:rPr>
          <w:rFonts w:hint="eastAsia" w:ascii="仿宋" w:hAnsi="仿宋" w:eastAsia="仿宋" w:cs="仿宋"/>
          <w:spacing w:val="-2"/>
          <w:sz w:val="32"/>
          <w:szCs w:val="32"/>
        </w:rPr>
        <w:t>“三公”经费总支出较上年</w:t>
      </w:r>
      <w:r>
        <w:rPr>
          <w:rFonts w:hint="eastAsia" w:ascii="仿宋" w:hAnsi="仿宋" w:eastAsia="仿宋" w:cs="仿宋"/>
          <w:spacing w:val="-2"/>
          <w:sz w:val="32"/>
          <w:szCs w:val="32"/>
          <w:lang w:val="en-US" w:eastAsia="zh-CN"/>
        </w:rPr>
        <w:t>减少2.3</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减少69.7</w:t>
      </w:r>
      <w:r>
        <w:rPr>
          <w:rFonts w:hint="eastAsia" w:ascii="仿宋" w:hAnsi="仿宋" w:eastAsia="仿宋" w:cs="仿宋"/>
          <w:spacing w:val="-2"/>
          <w:sz w:val="32"/>
          <w:szCs w:val="32"/>
        </w:rPr>
        <w:t>%</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rPr>
        <w:t>其中公务用车运行费比上年</w:t>
      </w:r>
      <w:r>
        <w:rPr>
          <w:rFonts w:hint="eastAsia" w:ascii="仿宋" w:hAnsi="仿宋" w:eastAsia="仿宋" w:cs="仿宋"/>
          <w:spacing w:val="-2"/>
          <w:sz w:val="32"/>
          <w:szCs w:val="32"/>
          <w:lang w:val="en-US" w:eastAsia="zh-CN"/>
        </w:rPr>
        <w:t>减少2.3</w:t>
      </w:r>
      <w:r>
        <w:rPr>
          <w:rFonts w:hint="eastAsia" w:ascii="仿宋" w:hAnsi="仿宋" w:eastAsia="仿宋" w:cs="仿宋"/>
          <w:spacing w:val="-2"/>
          <w:sz w:val="32"/>
          <w:szCs w:val="32"/>
        </w:rPr>
        <w:t>万元</w:t>
      </w:r>
      <w:r>
        <w:rPr>
          <w:rFonts w:hint="eastAsia" w:ascii="仿宋" w:hAnsi="仿宋" w:eastAsia="仿宋" w:cs="仿宋"/>
          <w:spacing w:val="-2"/>
          <w:sz w:val="32"/>
          <w:szCs w:val="32"/>
          <w:lang w:eastAsia="zh-CN"/>
        </w:rPr>
        <w:t>，</w:t>
      </w:r>
      <w:r>
        <w:rPr>
          <w:rFonts w:hint="eastAsia" w:ascii="仿宋" w:hAnsi="仿宋" w:eastAsia="仿宋" w:cs="仿宋"/>
          <w:spacing w:val="-2"/>
          <w:sz w:val="32"/>
          <w:szCs w:val="32"/>
          <w:lang w:val="en-US" w:eastAsia="zh-CN"/>
        </w:rPr>
        <w:t>主要原因是压缩公务用车维修费和油费。</w:t>
      </w:r>
    </w:p>
    <w:p w14:paraId="7780127E">
      <w:pPr>
        <w:keepNext w:val="0"/>
        <w:keepLines w:val="0"/>
        <w:pageBreakBefore w:val="0"/>
        <w:widowControl/>
        <w:shd w:val="clear" w:color="auto" w:fill="FFFFFF"/>
        <w:kinsoku/>
        <w:wordWrap/>
        <w:overflowPunct/>
        <w:topLinePunct w:val="0"/>
        <w:autoSpaceDE/>
        <w:autoSpaceDN/>
        <w:bidi w:val="0"/>
        <w:adjustRightInd/>
        <w:spacing w:line="520" w:lineRule="exact"/>
        <w:ind w:right="0" w:firstLine="632" w:firstLineChars="200"/>
        <w:textAlignment w:val="auto"/>
        <w:rPr>
          <w:rFonts w:hint="default" w:ascii="仿宋" w:hAnsi="仿宋" w:eastAsia="仿宋" w:cs="仿宋"/>
          <w:spacing w:val="-2"/>
          <w:sz w:val="32"/>
          <w:szCs w:val="32"/>
          <w:highlight w:val="none"/>
          <w:lang w:val="en-US" w:eastAsia="zh-CN"/>
        </w:rPr>
      </w:pPr>
      <w:r>
        <w:rPr>
          <w:rFonts w:hint="default" w:ascii="仿宋" w:hAnsi="仿宋" w:eastAsia="仿宋" w:cs="仿宋"/>
          <w:spacing w:val="-2"/>
          <w:sz w:val="32"/>
          <w:szCs w:val="32"/>
          <w:highlight w:val="none"/>
          <w:lang w:val="en-US" w:eastAsia="zh-CN"/>
        </w:rPr>
        <w:t>我</w:t>
      </w:r>
      <w:r>
        <w:rPr>
          <w:rFonts w:hint="eastAsia" w:ascii="仿宋" w:hAnsi="仿宋" w:eastAsia="仿宋" w:cs="仿宋"/>
          <w:spacing w:val="-2"/>
          <w:sz w:val="32"/>
          <w:szCs w:val="32"/>
          <w:highlight w:val="none"/>
          <w:lang w:val="en-US" w:eastAsia="zh-CN"/>
        </w:rPr>
        <w:t>中心</w:t>
      </w:r>
      <w:r>
        <w:rPr>
          <w:rFonts w:hint="default" w:ascii="仿宋" w:hAnsi="仿宋" w:eastAsia="仿宋" w:cs="仿宋"/>
          <w:spacing w:val="-2"/>
          <w:sz w:val="32"/>
          <w:szCs w:val="32"/>
          <w:highlight w:val="none"/>
          <w:lang w:val="en-US" w:eastAsia="zh-CN"/>
        </w:rPr>
        <w:t>认真贯彻落实中央八项规定和厉行节约要求</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严格控制“三公”经费开支</w:t>
      </w:r>
      <w:r>
        <w:rPr>
          <w:rFonts w:hint="eastAsia" w:ascii="仿宋" w:hAnsi="仿宋" w:eastAsia="仿宋" w:cs="仿宋"/>
          <w:spacing w:val="-2"/>
          <w:sz w:val="32"/>
          <w:szCs w:val="32"/>
          <w:highlight w:val="none"/>
          <w:lang w:val="en-US" w:eastAsia="zh-CN"/>
        </w:rPr>
        <w:t>，一</w:t>
      </w:r>
      <w:r>
        <w:rPr>
          <w:rFonts w:hint="default" w:ascii="仿宋" w:hAnsi="仿宋" w:eastAsia="仿宋" w:cs="仿宋"/>
          <w:spacing w:val="-2"/>
          <w:sz w:val="32"/>
          <w:szCs w:val="32"/>
          <w:highlight w:val="none"/>
          <w:lang w:val="en-US" w:eastAsia="zh-CN"/>
        </w:rPr>
        <w:t>是加强对公务车辆的管理。规范用车程序，从严安排出车，控制用车成本，提高车辆使用效率</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规范部门(单位)因公用车管理，从严控制用车费用</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严禁公车私用</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严禁酒后驾车</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严禁非专业司机驾驶公车。</w:t>
      </w:r>
      <w:r>
        <w:rPr>
          <w:rFonts w:hint="eastAsia" w:ascii="仿宋" w:hAnsi="仿宋" w:eastAsia="仿宋" w:cs="仿宋"/>
          <w:spacing w:val="-2"/>
          <w:sz w:val="32"/>
          <w:szCs w:val="32"/>
          <w:highlight w:val="none"/>
          <w:lang w:val="en-US" w:eastAsia="zh-CN"/>
        </w:rPr>
        <w:t>二是</w:t>
      </w:r>
      <w:r>
        <w:rPr>
          <w:rFonts w:hint="default" w:ascii="仿宋" w:hAnsi="仿宋" w:eastAsia="仿宋" w:cs="仿宋"/>
          <w:spacing w:val="-2"/>
          <w:sz w:val="32"/>
          <w:szCs w:val="32"/>
          <w:highlight w:val="none"/>
          <w:lang w:val="en-US" w:eastAsia="zh-CN"/>
        </w:rPr>
        <w:t>控制公务接待费用。简化公务接待，严格控制宴请、接待规模和规格</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严禁用公款大吃大喝</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公务消费严格按照市政府要求接待，且做到三不，即不上高档菜，不上烟，不上酒</w:t>
      </w:r>
      <w:r>
        <w:rPr>
          <w:rFonts w:hint="eastAsia" w:ascii="仿宋" w:hAnsi="仿宋" w:eastAsia="仿宋" w:cs="仿宋"/>
          <w:spacing w:val="-2"/>
          <w:sz w:val="32"/>
          <w:szCs w:val="32"/>
          <w:highlight w:val="none"/>
          <w:lang w:val="en-US" w:eastAsia="zh-CN"/>
        </w:rPr>
        <w:t>；</w:t>
      </w:r>
      <w:r>
        <w:rPr>
          <w:rFonts w:hint="default" w:ascii="仿宋" w:hAnsi="仿宋" w:eastAsia="仿宋" w:cs="仿宋"/>
          <w:spacing w:val="-2"/>
          <w:sz w:val="32"/>
          <w:szCs w:val="32"/>
          <w:highlight w:val="none"/>
          <w:lang w:val="en-US" w:eastAsia="zh-CN"/>
        </w:rPr>
        <w:t>严禁公款私请。</w:t>
      </w:r>
    </w:p>
    <w:p w14:paraId="67638621">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（二）项目支出</w:t>
      </w:r>
    </w:p>
    <w:p w14:paraId="1324F4DE">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default" w:ascii="Times New Roman Regular" w:hAnsi="Times New Roman Regular" w:eastAsia="仿宋_GB2312" w:cs="Times New Roman Regular"/>
          <w:color w:val="auto"/>
          <w:sz w:val="32"/>
          <w:szCs w:val="32"/>
          <w:highlight w:val="none"/>
          <w:lang w:val="en-US" w:eastAsia="zh-CN"/>
        </w:rPr>
        <w:t>1、项目资金（包括财政资金、自筹资金等）安排落实、总投入等情况分析。</w:t>
      </w:r>
    </w:p>
    <w:p w14:paraId="2E19ACBF">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根据《怀化市财政局关于批复下达2025年市直部门预算的通知》，2025年项目支出预算安排197万元，预算资金来源为非税收入，其中不动产登记责任保险10万元、档案整理服务费23.4万元、聘任法律顾问经费14万元、三级等保复评项目和安全防护8.6万元、市本级技术支撑服务费30万元、土地承包经营权确权发证工作经费30万元、优化营商环境工作经费81万元。本年度一般公共预算项目支出年初预算数197万元，全年预算执行数58.11万元，实际到位</w:t>
      </w:r>
      <w:r>
        <w:rPr>
          <w:rFonts w:hint="eastAsia" w:ascii="仿宋" w:hAnsi="仿宋" w:eastAsia="仿宋" w:cs="仿宋"/>
          <w:color w:val="auto"/>
          <w:spacing w:val="-2"/>
          <w:kern w:val="2"/>
          <w:sz w:val="32"/>
          <w:szCs w:val="32"/>
          <w:lang w:val="en-US" w:eastAsia="zh-CN" w:bidi="ar-SA"/>
        </w:rPr>
        <w:t>58.11</w:t>
      </w:r>
      <w:r>
        <w:rPr>
          <w:rFonts w:hint="eastAsia" w:ascii="仿宋" w:hAnsi="仿宋" w:eastAsia="仿宋" w:cs="仿宋"/>
          <w:color w:val="auto"/>
          <w:sz w:val="32"/>
          <w:szCs w:val="32"/>
          <w:highlight w:val="none"/>
          <w:lang w:val="en-US" w:eastAsia="zh-CN"/>
        </w:rPr>
        <w:t>万元，到位率100%。</w:t>
      </w:r>
    </w:p>
    <w:p w14:paraId="40BF84FB">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2.项目资金（主要指财政资金）实际使用情况分析</w:t>
      </w:r>
    </w:p>
    <w:p w14:paraId="75043314">
      <w:pPr>
        <w:keepNext w:val="0"/>
        <w:keepLines w:val="0"/>
        <w:pageBreakBefore w:val="0"/>
        <w:widowControl/>
        <w:shd w:val="clear" w:color="auto" w:fill="FFFFFF"/>
        <w:kinsoku/>
        <w:wordWrap/>
        <w:overflowPunct/>
        <w:topLinePunct w:val="0"/>
        <w:autoSpaceDE/>
        <w:autoSpaceDN/>
        <w:bidi w:val="0"/>
        <w:adjustRightInd/>
        <w:spacing w:line="520" w:lineRule="exact"/>
        <w:ind w:firstLine="632"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spacing w:val="-2"/>
          <w:sz w:val="32"/>
          <w:szCs w:val="32"/>
        </w:rPr>
        <w:t>项目支出系我</w:t>
      </w:r>
      <w:r>
        <w:rPr>
          <w:rFonts w:hint="eastAsia" w:ascii="仿宋" w:hAnsi="仿宋" w:eastAsia="仿宋" w:cs="仿宋"/>
          <w:spacing w:val="-2"/>
          <w:sz w:val="32"/>
          <w:szCs w:val="32"/>
          <w:lang w:val="en-US" w:eastAsia="zh-CN"/>
        </w:rPr>
        <w:t>中心</w:t>
      </w:r>
      <w:r>
        <w:rPr>
          <w:rFonts w:hint="eastAsia" w:ascii="仿宋" w:hAnsi="仿宋" w:eastAsia="仿宋" w:cs="仿宋"/>
          <w:spacing w:val="-2"/>
          <w:sz w:val="32"/>
          <w:szCs w:val="32"/>
        </w:rPr>
        <w:t>为完成事业发展目标而发生的支出，</w:t>
      </w:r>
      <w:r>
        <w:rPr>
          <w:rFonts w:hint="eastAsia" w:ascii="仿宋" w:hAnsi="仿宋" w:eastAsia="仿宋" w:cs="仿宋"/>
          <w:spacing w:val="-2"/>
          <w:sz w:val="32"/>
          <w:szCs w:val="32"/>
          <w:lang w:val="en-US" w:eastAsia="zh-CN"/>
        </w:rPr>
        <w:t>主要为</w:t>
      </w:r>
      <w:r>
        <w:rPr>
          <w:rFonts w:hint="eastAsia" w:ascii="仿宋" w:hAnsi="仿宋" w:eastAsia="仿宋" w:cs="仿宋"/>
          <w:spacing w:val="-2"/>
          <w:sz w:val="32"/>
          <w:szCs w:val="32"/>
          <w:highlight w:val="none"/>
          <w:lang w:val="en-US" w:eastAsia="zh-CN"/>
        </w:rPr>
        <w:t>专项资金</w:t>
      </w:r>
      <w:r>
        <w:rPr>
          <w:rFonts w:hint="eastAsia" w:ascii="仿宋" w:hAnsi="仿宋" w:eastAsia="仿宋" w:cs="仿宋"/>
          <w:spacing w:val="-2"/>
          <w:sz w:val="32"/>
          <w:szCs w:val="32"/>
          <w:highlight w:val="none"/>
        </w:rPr>
        <w:t>。20</w:t>
      </w:r>
      <w:r>
        <w:rPr>
          <w:rFonts w:hint="eastAsia" w:ascii="仿宋" w:hAnsi="仿宋" w:eastAsia="仿宋" w:cs="仿宋"/>
          <w:spacing w:val="-2"/>
          <w:sz w:val="32"/>
          <w:szCs w:val="32"/>
          <w:highlight w:val="none"/>
          <w:lang w:val="en-US" w:eastAsia="zh-CN"/>
        </w:rPr>
        <w:t>25</w:t>
      </w:r>
      <w:r>
        <w:rPr>
          <w:rFonts w:hint="eastAsia" w:ascii="仿宋" w:hAnsi="仿宋" w:eastAsia="仿宋" w:cs="仿宋"/>
          <w:spacing w:val="-2"/>
          <w:sz w:val="32"/>
          <w:szCs w:val="32"/>
          <w:highlight w:val="none"/>
        </w:rPr>
        <w:t>年</w:t>
      </w:r>
      <w:r>
        <w:rPr>
          <w:rFonts w:hint="eastAsia" w:ascii="仿宋" w:hAnsi="仿宋" w:eastAsia="仿宋" w:cs="仿宋"/>
          <w:spacing w:val="-2"/>
          <w:sz w:val="32"/>
          <w:szCs w:val="32"/>
          <w:highlight w:val="none"/>
          <w:lang w:val="en-US" w:eastAsia="zh-CN"/>
        </w:rPr>
        <w:t>一般公共预算</w:t>
      </w:r>
      <w:r>
        <w:rPr>
          <w:rFonts w:hint="eastAsia" w:ascii="仿宋" w:hAnsi="仿宋" w:eastAsia="仿宋" w:cs="仿宋"/>
          <w:spacing w:val="-2"/>
          <w:sz w:val="32"/>
          <w:szCs w:val="32"/>
          <w:highlight w:val="none"/>
        </w:rPr>
        <w:t>项目支出</w:t>
      </w:r>
      <w:r>
        <w:rPr>
          <w:rFonts w:hint="eastAsia" w:ascii="仿宋" w:hAnsi="仿宋" w:eastAsia="仿宋" w:cs="仿宋"/>
          <w:spacing w:val="-2"/>
          <w:sz w:val="32"/>
          <w:szCs w:val="32"/>
          <w:highlight w:val="none"/>
          <w:lang w:val="en-US" w:eastAsia="zh-CN"/>
        </w:rPr>
        <w:t>决算数</w:t>
      </w:r>
      <w:r>
        <w:rPr>
          <w:rFonts w:hint="eastAsia" w:ascii="仿宋" w:hAnsi="仿宋" w:eastAsia="仿宋" w:cs="仿宋"/>
          <w:color w:val="auto"/>
          <w:spacing w:val="-2"/>
          <w:kern w:val="2"/>
          <w:sz w:val="32"/>
          <w:szCs w:val="32"/>
          <w:lang w:val="en-US" w:eastAsia="zh-CN" w:bidi="ar-SA"/>
        </w:rPr>
        <w:t>58.11</w:t>
      </w:r>
      <w:r>
        <w:rPr>
          <w:rFonts w:hint="eastAsia" w:ascii="仿宋" w:hAnsi="仿宋" w:eastAsia="仿宋" w:cs="仿宋"/>
          <w:spacing w:val="-2"/>
          <w:sz w:val="32"/>
          <w:szCs w:val="32"/>
          <w:highlight w:val="none"/>
        </w:rPr>
        <w:t>万元，</w:t>
      </w:r>
      <w:r>
        <w:rPr>
          <w:rFonts w:hint="eastAsia" w:ascii="仿宋" w:hAnsi="仿宋" w:eastAsia="仿宋" w:cs="仿宋"/>
          <w:spacing w:val="-2"/>
          <w:sz w:val="32"/>
          <w:szCs w:val="32"/>
          <w:highlight w:val="none"/>
          <w:lang w:val="en-US" w:eastAsia="zh-CN"/>
        </w:rPr>
        <w:t>其中不动产登记责任保险8.6万元、档案整理服务费9.86万元、市本级信息技术支撑服务费19.6万元、优化营商环境工作经费2.67万元、不动产权证书17.38万元。2025年一般公共预算项目支出</w:t>
      </w:r>
      <w:r>
        <w:rPr>
          <w:rFonts w:hint="eastAsia" w:ascii="仿宋" w:hAnsi="仿宋" w:eastAsia="仿宋" w:cs="仿宋"/>
          <w:spacing w:val="-2"/>
          <w:sz w:val="32"/>
          <w:szCs w:val="32"/>
          <w:highlight w:val="none"/>
          <w:lang w:eastAsia="zh-CN"/>
        </w:rPr>
        <w:t>较</w:t>
      </w:r>
      <w:r>
        <w:rPr>
          <w:rFonts w:hint="eastAsia" w:ascii="仿宋" w:hAnsi="仿宋" w:eastAsia="仿宋" w:cs="仿宋"/>
          <w:spacing w:val="-2"/>
          <w:sz w:val="32"/>
          <w:szCs w:val="32"/>
          <w:highlight w:val="none"/>
        </w:rPr>
        <w:t>上年</w:t>
      </w:r>
      <w:r>
        <w:rPr>
          <w:rFonts w:hint="eastAsia" w:ascii="仿宋" w:hAnsi="仿宋" w:eastAsia="仿宋" w:cs="仿宋"/>
          <w:spacing w:val="-2"/>
          <w:sz w:val="32"/>
          <w:szCs w:val="32"/>
          <w:highlight w:val="none"/>
          <w:lang w:val="en-US" w:eastAsia="zh-CN"/>
        </w:rPr>
        <w:t>数减少115.6万元</w:t>
      </w:r>
      <w:r>
        <w:rPr>
          <w:rFonts w:hint="eastAsia" w:ascii="仿宋" w:hAnsi="仿宋" w:eastAsia="仿宋" w:cs="仿宋"/>
          <w:spacing w:val="-2"/>
          <w:sz w:val="32"/>
          <w:szCs w:val="32"/>
          <w:highlight w:val="none"/>
          <w:lang w:eastAsia="zh-CN"/>
        </w:rPr>
        <w:t>，</w:t>
      </w:r>
      <w:r>
        <w:rPr>
          <w:rFonts w:hint="eastAsia" w:ascii="仿宋" w:hAnsi="仿宋" w:eastAsia="仿宋" w:cs="仿宋"/>
          <w:spacing w:val="-2"/>
          <w:sz w:val="32"/>
          <w:szCs w:val="32"/>
          <w:highlight w:val="none"/>
          <w:lang w:val="en-US" w:eastAsia="zh-CN"/>
        </w:rPr>
        <w:t>降低66.55%</w:t>
      </w:r>
      <w:r>
        <w:rPr>
          <w:rFonts w:hint="eastAsia" w:ascii="仿宋" w:hAnsi="仿宋" w:eastAsia="仿宋" w:cs="仿宋"/>
          <w:spacing w:val="-2"/>
          <w:sz w:val="32"/>
          <w:szCs w:val="32"/>
          <w:highlight w:val="none"/>
        </w:rPr>
        <w:t>，</w:t>
      </w:r>
      <w:r>
        <w:rPr>
          <w:rFonts w:hint="eastAsia" w:ascii="仿宋" w:hAnsi="仿宋" w:eastAsia="仿宋" w:cs="仿宋"/>
          <w:spacing w:val="-2"/>
          <w:sz w:val="32"/>
          <w:szCs w:val="32"/>
          <w:highlight w:val="none"/>
          <w:lang w:val="en-US" w:eastAsia="zh-CN"/>
        </w:rPr>
        <w:t>主要是</w:t>
      </w:r>
      <w:r>
        <w:rPr>
          <w:rFonts w:hint="eastAsia" w:ascii="仿宋" w:hAnsi="仿宋" w:eastAsia="仿宋" w:cs="仿宋"/>
          <w:color w:val="auto"/>
          <w:sz w:val="32"/>
          <w:szCs w:val="32"/>
          <w:highlight w:val="none"/>
          <w:lang w:val="en-US" w:eastAsia="zh-CN"/>
        </w:rPr>
        <w:t>优化营商环境工作经费</w:t>
      </w:r>
      <w:r>
        <w:rPr>
          <w:rFonts w:hint="eastAsia" w:ascii="仿宋" w:hAnsi="仿宋" w:eastAsia="仿宋" w:cs="仿宋"/>
          <w:spacing w:val="-2"/>
          <w:sz w:val="32"/>
          <w:szCs w:val="32"/>
          <w:highlight w:val="none"/>
          <w:lang w:val="en-US" w:eastAsia="zh-CN"/>
        </w:rPr>
        <w:t>支出较上年有所减少。</w:t>
      </w:r>
    </w:p>
    <w:p w14:paraId="064BB092">
      <w:pPr>
        <w:keepNext w:val="0"/>
        <w:keepLines w:val="0"/>
        <w:pageBreakBefore w:val="0"/>
        <w:widowControl/>
        <w:shd w:val="clear" w:color="auto" w:fill="FFFFFF"/>
        <w:kinsoku/>
        <w:wordWrap/>
        <w:overflowPunct/>
        <w:topLinePunct w:val="0"/>
        <w:autoSpaceDE/>
        <w:autoSpaceDN/>
        <w:bidi w:val="0"/>
        <w:adjustRightInd/>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3.项目资金管理情况分析</w:t>
      </w:r>
    </w:p>
    <w:p w14:paraId="6E6F65A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规范项目资金的使用，提高资金使用效益，加强资金管理，根据国家政府采购法和怀化市政府采购目录及标准，严格按照政府采购规定签订合同。依照财务管理制度和项目实施进度实行收支，做到项目资金专款专用。</w:t>
      </w:r>
    </w:p>
    <w:p w14:paraId="47AF94BA">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三、项目组织实施情况</w:t>
      </w:r>
    </w:p>
    <w:p w14:paraId="529DC7AC">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（一）项目组织情况分析</w:t>
      </w:r>
    </w:p>
    <w:p w14:paraId="5FB0395D">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eastAsia" w:ascii="仿宋" w:hAnsi="仿宋" w:eastAsia="仿宋" w:cs="Times New Roman"/>
          <w:spacing w:val="-2"/>
          <w:sz w:val="32"/>
          <w:szCs w:val="32"/>
          <w:lang w:val="en-US" w:eastAsia="zh-CN"/>
        </w:rPr>
      </w:pPr>
      <w:r>
        <w:rPr>
          <w:rFonts w:hint="eastAsia" w:ascii="仿宋" w:hAnsi="仿宋" w:eastAsia="仿宋" w:cs="Times New Roman"/>
          <w:spacing w:val="-2"/>
          <w:sz w:val="32"/>
          <w:szCs w:val="32"/>
          <w:lang w:val="en-US" w:eastAsia="zh-CN"/>
        </w:rPr>
        <w:t>根据政府采购内部控制管理制度规定我中心成立政府采购领导小组，主任陈静任组长，副主任李俊为纪检监察员，副主任杨向华、舒凡，各科室科长为成员。采购小组集体决议会议是政府采购的决策机构，采购管理我中心采购预算编制、采购组织形式及采购方式、采购执行、验收、备案、监督检查等环节的全面管控。负责项目实施过程中的重大事件的决策；根据项目的进度、质量、技术、资源、风险等实行宏观监控；负责组建验收小组，主持验收工作。</w:t>
      </w:r>
    </w:p>
    <w:p w14:paraId="502C982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（二）项目管理情况分析</w:t>
      </w:r>
    </w:p>
    <w:p w14:paraId="5988CDC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在实施项目过程中，我中心严格按照项目管理制度及相关文件要求开展工作，建立健全管理制度，严格履行审批手续，</w:t>
      </w:r>
      <w:r>
        <w:rPr>
          <w:rFonts w:hint="eastAsia" w:ascii="仿宋" w:hAnsi="仿宋" w:eastAsia="仿宋" w:cs="仿宋"/>
          <w:bCs w:val="0"/>
          <w:i w:val="0"/>
          <w:iCs w:val="0"/>
          <w:caps w:val="0"/>
          <w:snapToGrid w:val="0"/>
          <w:color w:val="000000"/>
          <w:spacing w:val="0"/>
          <w:kern w:val="0"/>
          <w:sz w:val="32"/>
          <w:szCs w:val="32"/>
          <w:shd w:val="clear" w:fill="FFFFFF"/>
          <w:lang w:val="en-US" w:eastAsia="zh-CN" w:bidi="ar"/>
        </w:rPr>
        <w:t>保障项目顺利实施</w:t>
      </w:r>
      <w:r>
        <w:rPr>
          <w:rFonts w:hint="eastAsia" w:ascii="仿宋" w:hAnsi="仿宋" w:eastAsia="仿宋" w:cs="仿宋"/>
          <w:color w:val="auto"/>
          <w:sz w:val="32"/>
          <w:szCs w:val="32"/>
          <w:highlight w:val="none"/>
          <w:lang w:val="en-US" w:eastAsia="zh-CN"/>
        </w:rPr>
        <w:t>。项目实施遵守相关法律法规和相关管理规定，合同书、验收资料齐全并及时归档。</w:t>
      </w:r>
    </w:p>
    <w:p w14:paraId="6681E12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四、资产管理情况</w:t>
      </w:r>
    </w:p>
    <w:p w14:paraId="1D620102">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强化国有资产管理的责任意识，明确在申购、采购、使用、处置等环节的权责。</w:t>
      </w:r>
    </w:p>
    <w:p w14:paraId="7E8FC5B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严格执行《怀化市财政局 怀化市机关事务管理局关于印发&lt;怀化市市直行政事业单位国有资产配置管理暂行办法&gt;&lt;怀化市市直行政事业单位国有资产处置管理暂行办法&gt;的通知》（怀财资〔2022〕136号）有关规定，规范资产配置和处置管理，一是严格按照预算管理规定和市财政局批复的预算配置资产，资产配置符合履行工作职能的需求。二是严格执行资产处置管理的有关规定，履行审批手续，未经批准，不得自行处置。</w:t>
      </w:r>
    </w:p>
    <w:p w14:paraId="74C1129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扎实开展资产清查、盘点等日常资产管理工作，确保账实相符、账账相符。</w:t>
      </w:r>
    </w:p>
    <w:p w14:paraId="7C2AACF1">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五、</w:t>
      </w:r>
      <w:r>
        <w:rPr>
          <w:rFonts w:hint="default" w:ascii="方正黑体_GBK" w:hAnsi="方正黑体_GBK" w:eastAsia="方正黑体_GBK" w:cs="方正黑体_GBK"/>
          <w:b/>
          <w:bCs/>
          <w:color w:val="auto"/>
          <w:sz w:val="32"/>
          <w:szCs w:val="32"/>
          <w:highlight w:val="none"/>
          <w:lang w:val="en-US" w:eastAsia="zh-CN"/>
        </w:rPr>
        <w:t>政府性基金预算支出情况</w:t>
      </w:r>
    </w:p>
    <w:p w14:paraId="32D8A94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sz w:val="32"/>
          <w:szCs w:val="32"/>
          <w:highlight w:val="none"/>
          <w:lang w:val="en-US" w:eastAsia="zh-CN"/>
        </w:rPr>
        <w:t>2025年度政府性基金预算财政拨款收入176.15万元；年初结转和结余0万元；支出176.15万元，其中基本支出146.69万元，项目支出29.46万元；年末结转和结余0万元。</w:t>
      </w:r>
    </w:p>
    <w:p w14:paraId="3488626E">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六、</w:t>
      </w:r>
      <w:r>
        <w:rPr>
          <w:rFonts w:hint="default" w:ascii="方正黑体_GBK" w:hAnsi="方正黑体_GBK" w:eastAsia="方正黑体_GBK" w:cs="方正黑体_GBK"/>
          <w:b/>
          <w:bCs/>
          <w:color w:val="auto"/>
          <w:sz w:val="32"/>
          <w:szCs w:val="32"/>
          <w:highlight w:val="none"/>
          <w:lang w:val="en-US" w:eastAsia="zh-CN"/>
        </w:rPr>
        <w:t>国有资本经营预算支出情况</w:t>
      </w:r>
    </w:p>
    <w:p w14:paraId="0FABDDEB">
      <w:pPr>
        <w:keepNext w:val="0"/>
        <w:keepLines w:val="0"/>
        <w:pageBreakBefore w:val="0"/>
        <w:widowControl w:val="0"/>
        <w:kinsoku/>
        <w:wordWrap/>
        <w:overflowPunct/>
        <w:topLinePunct w:val="0"/>
        <w:autoSpaceDE/>
        <w:autoSpaceDN/>
        <w:bidi w:val="0"/>
        <w:adjustRightInd/>
        <w:snapToGrid w:val="0"/>
        <w:spacing w:line="520" w:lineRule="exact"/>
        <w:ind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Times New Roman"/>
          <w:spacing w:val="-2"/>
          <w:kern w:val="2"/>
          <w:sz w:val="32"/>
          <w:szCs w:val="32"/>
          <w:lang w:val="en-US" w:eastAsia="zh-CN" w:bidi="ar-SA"/>
        </w:rPr>
        <w:t>202</w:t>
      </w:r>
      <w:r>
        <w:rPr>
          <w:rFonts w:hint="eastAsia" w:ascii="仿宋" w:hAnsi="仿宋" w:eastAsia="仿宋" w:cs="Times New Roman"/>
          <w:spacing w:val="-2"/>
          <w:kern w:val="2"/>
          <w:sz w:val="32"/>
          <w:szCs w:val="32"/>
          <w:lang w:val="en-US" w:eastAsia="zh-CN" w:bidi="ar-SA"/>
        </w:rPr>
        <w:t>5年我中心无国有资本经营预算支出。</w:t>
      </w:r>
    </w:p>
    <w:p w14:paraId="3844A895">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七、</w:t>
      </w:r>
      <w:r>
        <w:rPr>
          <w:rFonts w:hint="default" w:ascii="方正黑体_GBK" w:hAnsi="方正黑体_GBK" w:eastAsia="方正黑体_GBK" w:cs="方正黑体_GBK"/>
          <w:b/>
          <w:bCs/>
          <w:color w:val="auto"/>
          <w:sz w:val="32"/>
          <w:szCs w:val="32"/>
          <w:highlight w:val="none"/>
          <w:lang w:val="en-US" w:eastAsia="zh-CN"/>
        </w:rPr>
        <w:t>社会保险基金预算支出情况</w:t>
      </w:r>
    </w:p>
    <w:p w14:paraId="5E933EB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32"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Times New Roman"/>
          <w:spacing w:val="-2"/>
          <w:kern w:val="2"/>
          <w:sz w:val="32"/>
          <w:szCs w:val="32"/>
          <w:lang w:val="en-US" w:eastAsia="zh-CN" w:bidi="ar-SA"/>
        </w:rPr>
        <w:t>202</w:t>
      </w:r>
      <w:r>
        <w:rPr>
          <w:rFonts w:hint="eastAsia" w:ascii="仿宋" w:hAnsi="仿宋" w:eastAsia="仿宋" w:cs="Times New Roman"/>
          <w:spacing w:val="-2"/>
          <w:kern w:val="2"/>
          <w:sz w:val="32"/>
          <w:szCs w:val="32"/>
          <w:lang w:val="en-US" w:eastAsia="zh-CN" w:bidi="ar-SA"/>
        </w:rPr>
        <w:t>5年我中心无社会保险基金预算支出。</w:t>
      </w:r>
    </w:p>
    <w:p w14:paraId="387ACBF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八、部门整体支出绩效情况</w:t>
      </w:r>
    </w:p>
    <w:p w14:paraId="4233E8C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（一）综合评价结论</w:t>
      </w:r>
    </w:p>
    <w:p w14:paraId="57A0E0B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按照怀财绩〔2026〕36号要求，我中心从部门整体运行成本、管理效率和履职效能三个维度进行自评，通过对本部门在预算编制、预算执行、信息公开、绩效管理、政府采购、资产管理等方面以及工作任务完成情况进行分析，2025年整体支出绩效自评得分98.13分。</w:t>
      </w:r>
    </w:p>
    <w:p w14:paraId="594C9A4C">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从自评情况看，怀化市不动产登记中心2025年度部门履职整体完成情况良好，部门总体预算绩效目标任务与部门履职、年度工作任务相符；年度绩效目标设置合理、明确，绩效指标清晰、细化、可衡量；预算编制较为完整规范；年度工作计划安排合理，人员合理控制，“三公经费”得以压减控制，政府采购合法合规，预算管理制度健全，资金使用合规，预决算信息按规定进行公开。</w:t>
      </w:r>
    </w:p>
    <w:p w14:paraId="56D27D3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w:t>
      </w:r>
      <w:r>
        <w:rPr>
          <w:rFonts w:hint="default" w:ascii="仿宋" w:hAnsi="仿宋" w:eastAsia="仿宋" w:cs="仿宋"/>
          <w:color w:val="auto"/>
          <w:kern w:val="2"/>
          <w:sz w:val="32"/>
          <w:szCs w:val="32"/>
          <w:highlight w:val="none"/>
          <w:lang w:val="en-US" w:eastAsia="zh-CN" w:bidi="ar-SA"/>
        </w:rPr>
        <w:t>运行成本</w:t>
      </w:r>
    </w:p>
    <w:p w14:paraId="2163045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从运行成本来看，我中心2025年在职人员、公用经费及“</w:t>
      </w:r>
      <w:r>
        <w:rPr>
          <w:rFonts w:hint="default" w:ascii="仿宋" w:hAnsi="仿宋" w:eastAsia="仿宋" w:cs="仿宋"/>
          <w:color w:val="auto"/>
          <w:kern w:val="2"/>
          <w:sz w:val="32"/>
          <w:szCs w:val="32"/>
          <w:highlight w:val="none"/>
          <w:lang w:val="en-US" w:eastAsia="zh-CN" w:bidi="ar-SA"/>
        </w:rPr>
        <w:t>三公经费</w:t>
      </w:r>
      <w:r>
        <w:rPr>
          <w:rFonts w:hint="eastAsia" w:ascii="仿宋" w:hAnsi="仿宋" w:eastAsia="仿宋" w:cs="仿宋"/>
          <w:color w:val="auto"/>
          <w:kern w:val="2"/>
          <w:sz w:val="32"/>
          <w:szCs w:val="32"/>
          <w:highlight w:val="none"/>
          <w:lang w:val="en-US" w:eastAsia="zh-CN" w:bidi="ar-SA"/>
        </w:rPr>
        <w:t>”控制情况较好，具体情况如下：</w:t>
      </w:r>
    </w:p>
    <w:p w14:paraId="3238FEEB">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1.财政供养人员控制率。2025年我中心编制数117人，实际在职人员数104人，在职人员控制率为88.89%。</w:t>
      </w:r>
    </w:p>
    <w:p w14:paraId="2E13DD7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w:t>
      </w:r>
      <w:r>
        <w:rPr>
          <w:rFonts w:hint="default" w:ascii="仿宋" w:hAnsi="仿宋" w:eastAsia="仿宋" w:cs="仿宋"/>
          <w:color w:val="auto"/>
          <w:kern w:val="2"/>
          <w:sz w:val="32"/>
          <w:szCs w:val="32"/>
          <w:highlight w:val="none"/>
          <w:lang w:val="en-US" w:eastAsia="zh-CN" w:bidi="ar-SA"/>
        </w:rPr>
        <w:t>公用经费控制率。202</w:t>
      </w: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年实际支出公用经费总额</w:t>
      </w:r>
      <w:r>
        <w:rPr>
          <w:rFonts w:hint="eastAsia" w:ascii="仿宋" w:hAnsi="仿宋" w:eastAsia="仿宋" w:cs="仿宋"/>
          <w:color w:val="auto"/>
          <w:kern w:val="2"/>
          <w:sz w:val="32"/>
          <w:szCs w:val="32"/>
          <w:highlight w:val="none"/>
          <w:lang w:val="en-US" w:eastAsia="zh-CN" w:bidi="ar-SA"/>
        </w:rPr>
        <w:t>253.4</w:t>
      </w:r>
      <w:r>
        <w:rPr>
          <w:rFonts w:hint="default" w:ascii="仿宋" w:hAnsi="仿宋" w:eastAsia="仿宋" w:cs="仿宋"/>
          <w:color w:val="auto"/>
          <w:kern w:val="2"/>
          <w:sz w:val="32"/>
          <w:szCs w:val="32"/>
          <w:highlight w:val="none"/>
          <w:lang w:val="en-US" w:eastAsia="zh-CN" w:bidi="ar-SA"/>
        </w:rPr>
        <w:t>万元，预算安排公用经费总额</w:t>
      </w:r>
      <w:r>
        <w:rPr>
          <w:rFonts w:hint="eastAsia" w:ascii="仿宋" w:hAnsi="仿宋" w:eastAsia="仿宋" w:cs="仿宋"/>
          <w:color w:val="auto"/>
          <w:kern w:val="2"/>
          <w:sz w:val="32"/>
          <w:szCs w:val="32"/>
          <w:highlight w:val="none"/>
          <w:lang w:val="en-US" w:eastAsia="zh-CN" w:bidi="ar-SA"/>
        </w:rPr>
        <w:t>194.77</w:t>
      </w:r>
      <w:r>
        <w:rPr>
          <w:rFonts w:hint="default" w:ascii="仿宋" w:hAnsi="仿宋" w:eastAsia="仿宋" w:cs="仿宋"/>
          <w:color w:val="auto"/>
          <w:kern w:val="2"/>
          <w:sz w:val="32"/>
          <w:szCs w:val="32"/>
          <w:highlight w:val="none"/>
          <w:lang w:val="en-US" w:eastAsia="zh-CN" w:bidi="ar-SA"/>
        </w:rPr>
        <w:t>万元，公用经费控制率</w:t>
      </w:r>
      <w:r>
        <w:rPr>
          <w:rFonts w:hint="eastAsia" w:ascii="仿宋" w:hAnsi="仿宋" w:eastAsia="仿宋" w:cs="仿宋"/>
          <w:color w:val="auto"/>
          <w:kern w:val="2"/>
          <w:sz w:val="32"/>
          <w:szCs w:val="32"/>
          <w:highlight w:val="none"/>
          <w:lang w:val="en-US" w:eastAsia="zh-CN" w:bidi="ar-SA"/>
        </w:rPr>
        <w:t>130.1</w:t>
      </w:r>
      <w:r>
        <w:rPr>
          <w:rFonts w:hint="default" w:ascii="仿宋" w:hAnsi="仿宋" w:eastAsia="仿宋" w:cs="仿宋"/>
          <w:color w:val="auto"/>
          <w:kern w:val="2"/>
          <w:sz w:val="32"/>
          <w:szCs w:val="32"/>
          <w:highlight w:val="none"/>
          <w:lang w:val="en-US" w:eastAsia="zh-CN" w:bidi="ar-SA"/>
        </w:rPr>
        <w:t>%。</w:t>
      </w:r>
      <w:r>
        <w:rPr>
          <w:rFonts w:hint="default" w:ascii="仿宋" w:hAnsi="仿宋" w:eastAsia="仿宋" w:cs="仿宋"/>
          <w:color w:val="auto"/>
          <w:kern w:val="2"/>
          <w:sz w:val="32"/>
          <w:szCs w:val="32"/>
          <w:highlight w:val="none"/>
          <w:lang w:val="en-US" w:eastAsia="zh-CN" w:bidi="ar-SA"/>
        </w:rPr>
        <w:tab/>
      </w:r>
      <w:r>
        <w:rPr>
          <w:rFonts w:hint="default" w:ascii="仿宋" w:hAnsi="仿宋" w:eastAsia="仿宋" w:cs="仿宋"/>
          <w:color w:val="auto"/>
          <w:kern w:val="2"/>
          <w:sz w:val="32"/>
          <w:szCs w:val="32"/>
          <w:highlight w:val="none"/>
          <w:lang w:val="en-US" w:eastAsia="zh-CN" w:bidi="ar-SA"/>
        </w:rPr>
        <w:t>　</w:t>
      </w:r>
    </w:p>
    <w:p w14:paraId="3FD5646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“三公经费”控制率。</w:t>
      </w:r>
      <w:r>
        <w:rPr>
          <w:rFonts w:hint="eastAsia" w:ascii="仿宋" w:hAnsi="仿宋" w:eastAsia="仿宋" w:cs="仿宋"/>
          <w:color w:val="auto"/>
          <w:kern w:val="2"/>
          <w:sz w:val="32"/>
          <w:szCs w:val="32"/>
          <w:highlight w:val="none"/>
          <w:lang w:val="en-US" w:eastAsia="zh-CN" w:bidi="ar-SA"/>
        </w:rPr>
        <w:t>本年度</w:t>
      </w:r>
      <w:r>
        <w:rPr>
          <w:rFonts w:hint="default" w:ascii="仿宋" w:hAnsi="仿宋" w:eastAsia="仿宋" w:cs="仿宋"/>
          <w:color w:val="auto"/>
          <w:kern w:val="2"/>
          <w:sz w:val="32"/>
          <w:szCs w:val="32"/>
          <w:highlight w:val="none"/>
          <w:lang w:val="en-US" w:eastAsia="zh-CN" w:bidi="ar-SA"/>
        </w:rPr>
        <w:t>“三公经费”实际支出数为</w:t>
      </w:r>
      <w:r>
        <w:rPr>
          <w:rFonts w:hint="eastAsia" w:ascii="仿宋" w:hAnsi="仿宋" w:eastAsia="仿宋" w:cs="仿宋"/>
          <w:color w:val="auto"/>
          <w:kern w:val="2"/>
          <w:sz w:val="32"/>
          <w:szCs w:val="32"/>
          <w:highlight w:val="none"/>
          <w:lang w:val="en-US" w:eastAsia="zh-CN" w:bidi="ar-SA"/>
        </w:rPr>
        <w:t>1</w:t>
      </w:r>
      <w:r>
        <w:rPr>
          <w:rFonts w:hint="default" w:ascii="仿宋" w:hAnsi="仿宋" w:eastAsia="仿宋" w:cs="仿宋"/>
          <w:color w:val="auto"/>
          <w:kern w:val="2"/>
          <w:sz w:val="32"/>
          <w:szCs w:val="32"/>
          <w:highlight w:val="none"/>
          <w:lang w:val="en-US" w:eastAsia="zh-CN" w:bidi="ar-SA"/>
        </w:rPr>
        <w:t>万元，“三公经费”预算控制数为</w:t>
      </w:r>
      <w:r>
        <w:rPr>
          <w:rFonts w:hint="eastAsia" w:ascii="仿宋" w:hAnsi="仿宋" w:eastAsia="仿宋" w:cs="仿宋"/>
          <w:color w:val="auto"/>
          <w:kern w:val="2"/>
          <w:sz w:val="32"/>
          <w:szCs w:val="32"/>
          <w:highlight w:val="none"/>
          <w:lang w:val="en-US" w:eastAsia="zh-CN" w:bidi="ar-SA"/>
        </w:rPr>
        <w:t>3.2</w:t>
      </w:r>
      <w:r>
        <w:rPr>
          <w:rFonts w:hint="default" w:ascii="仿宋" w:hAnsi="仿宋" w:eastAsia="仿宋" w:cs="仿宋"/>
          <w:color w:val="auto"/>
          <w:kern w:val="2"/>
          <w:sz w:val="32"/>
          <w:szCs w:val="32"/>
          <w:highlight w:val="none"/>
          <w:lang w:val="en-US" w:eastAsia="zh-CN" w:bidi="ar-SA"/>
        </w:rPr>
        <w:t>万元，“三公经费”控制率为</w:t>
      </w:r>
      <w:r>
        <w:rPr>
          <w:rFonts w:hint="eastAsia" w:ascii="仿宋" w:hAnsi="仿宋" w:eastAsia="仿宋" w:cs="仿宋"/>
          <w:color w:val="auto"/>
          <w:kern w:val="2"/>
          <w:sz w:val="32"/>
          <w:szCs w:val="32"/>
          <w:highlight w:val="none"/>
          <w:lang w:val="en-US" w:eastAsia="zh-CN" w:bidi="ar-SA"/>
        </w:rPr>
        <w:t>31.25</w:t>
      </w:r>
      <w:r>
        <w:rPr>
          <w:rFonts w:hint="default" w:ascii="仿宋" w:hAnsi="仿宋" w:eastAsia="仿宋" w:cs="仿宋"/>
          <w:color w:val="auto"/>
          <w:kern w:val="2"/>
          <w:sz w:val="32"/>
          <w:szCs w:val="32"/>
          <w:highlight w:val="none"/>
          <w:lang w:val="en-US" w:eastAsia="zh-CN" w:bidi="ar-SA"/>
        </w:rPr>
        <w:t>%。</w:t>
      </w:r>
    </w:p>
    <w:p w14:paraId="280BC2DF">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4.“三公经费”变动率。本年度“三公经费”预算数3.2万元，上年度“三公经费”预算数3.3万元，“三公经费”变动率为-3.03%。</w:t>
      </w:r>
    </w:p>
    <w:p w14:paraId="7CFD2E12">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（三）</w:t>
      </w:r>
      <w:r>
        <w:rPr>
          <w:rFonts w:hint="default" w:ascii="仿宋" w:hAnsi="仿宋" w:eastAsia="仿宋" w:cs="仿宋"/>
          <w:color w:val="auto"/>
          <w:kern w:val="2"/>
          <w:sz w:val="32"/>
          <w:szCs w:val="32"/>
          <w:highlight w:val="none"/>
          <w:lang w:val="en-US" w:eastAsia="zh-CN" w:bidi="ar-SA"/>
        </w:rPr>
        <w:t>管理效率</w:t>
      </w:r>
    </w:p>
    <w:p w14:paraId="3EDDFE1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1.预算编制</w:t>
      </w:r>
    </w:p>
    <w:p w14:paraId="290FF21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我中心坚持围绕部门职责和管理需要，科学谋划预算资金安排，依据规定程序和要求，及时完成部门预算编制申报，同时合理设定入库项目绩效指标、年度目标值，科学构建部门整体支出绩效指标体系，提高财政资金配置效益。</w:t>
      </w:r>
    </w:p>
    <w:p w14:paraId="402C46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p>
    <w:p w14:paraId="6A7D815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2.预算执行</w:t>
      </w:r>
    </w:p>
    <w:p w14:paraId="3EF1AB2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部门预算经批复后，跟踪预算执行进度，及时组织收入，科学合理安排支出；严格执行项目支出预算，积极组织项目实施；加强对预算执行过程的控制和结果的反馈，对预算执行差异及时分析成因和影响，并及时向领导和相关科室进行反馈，以采取措施纠正执行偏差，促进预算目标的全面完成。2025年年初预算数1990.41万元，实际支出2153.4万元，预算执行率108.19%。</w:t>
      </w:r>
    </w:p>
    <w:p w14:paraId="7632EE4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3.预决算信息公开性</w:t>
      </w:r>
    </w:p>
    <w:p w14:paraId="00B3319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严格按照市财政局对预算和决算公开的有关要求，认真做好财政预决算信息公开工作，进一步提升部门预算执行透明度。我</w:t>
      </w:r>
      <w:r>
        <w:rPr>
          <w:rFonts w:hint="eastAsia" w:ascii="仿宋" w:hAnsi="仿宋" w:eastAsia="仿宋" w:cs="仿宋"/>
          <w:color w:val="auto"/>
          <w:kern w:val="2"/>
          <w:sz w:val="32"/>
          <w:szCs w:val="32"/>
          <w:highlight w:val="none"/>
          <w:lang w:val="en-US" w:eastAsia="zh-CN" w:bidi="ar-SA"/>
        </w:rPr>
        <w:t>中心</w:t>
      </w:r>
      <w:r>
        <w:rPr>
          <w:rFonts w:hint="default" w:ascii="仿宋" w:hAnsi="仿宋" w:eastAsia="仿宋" w:cs="仿宋"/>
          <w:color w:val="auto"/>
          <w:kern w:val="2"/>
          <w:sz w:val="32"/>
          <w:szCs w:val="32"/>
          <w:highlight w:val="none"/>
          <w:lang w:val="en-US" w:eastAsia="zh-CN" w:bidi="ar-SA"/>
        </w:rPr>
        <w:t>已按要求于202</w:t>
      </w: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年</w:t>
      </w:r>
      <w:r>
        <w:rPr>
          <w:rFonts w:hint="eastAsia" w:ascii="仿宋" w:hAnsi="仿宋" w:eastAsia="仿宋" w:cs="仿宋"/>
          <w:color w:val="auto"/>
          <w:kern w:val="2"/>
          <w:sz w:val="32"/>
          <w:szCs w:val="32"/>
          <w:highlight w:val="none"/>
          <w:lang w:val="en-US" w:eastAsia="zh-CN" w:bidi="ar-SA"/>
        </w:rPr>
        <w:t>2</w:t>
      </w:r>
      <w:r>
        <w:rPr>
          <w:rFonts w:hint="default" w:ascii="仿宋" w:hAnsi="仿宋" w:eastAsia="仿宋" w:cs="仿宋"/>
          <w:color w:val="auto"/>
          <w:kern w:val="2"/>
          <w:sz w:val="32"/>
          <w:szCs w:val="32"/>
          <w:highlight w:val="none"/>
          <w:lang w:val="en-US" w:eastAsia="zh-CN" w:bidi="ar-SA"/>
        </w:rPr>
        <w:t>月</w:t>
      </w:r>
      <w:r>
        <w:rPr>
          <w:rFonts w:hint="eastAsia" w:ascii="仿宋" w:hAnsi="仿宋" w:eastAsia="仿宋" w:cs="仿宋"/>
          <w:color w:val="auto"/>
          <w:kern w:val="2"/>
          <w:sz w:val="32"/>
          <w:szCs w:val="32"/>
          <w:highlight w:val="none"/>
          <w:lang w:val="en-US" w:eastAsia="zh-CN" w:bidi="ar-SA"/>
        </w:rPr>
        <w:t>3</w:t>
      </w:r>
      <w:r>
        <w:rPr>
          <w:rFonts w:hint="default" w:ascii="仿宋" w:hAnsi="仿宋" w:eastAsia="仿宋" w:cs="仿宋"/>
          <w:color w:val="auto"/>
          <w:kern w:val="2"/>
          <w:sz w:val="32"/>
          <w:szCs w:val="32"/>
          <w:highlight w:val="none"/>
          <w:lang w:val="en-US" w:eastAsia="zh-CN" w:bidi="ar-SA"/>
        </w:rPr>
        <w:t>日在</w:t>
      </w:r>
      <w:r>
        <w:rPr>
          <w:rFonts w:hint="eastAsia" w:ascii="仿宋" w:hAnsi="仿宋" w:eastAsia="仿宋" w:cs="仿宋"/>
          <w:color w:val="auto"/>
          <w:kern w:val="2"/>
          <w:sz w:val="32"/>
          <w:szCs w:val="32"/>
          <w:highlight w:val="none"/>
          <w:lang w:val="en-US" w:eastAsia="zh-CN" w:bidi="ar-SA"/>
        </w:rPr>
        <w:t>财政</w:t>
      </w:r>
      <w:r>
        <w:rPr>
          <w:rFonts w:hint="default" w:ascii="仿宋" w:hAnsi="仿宋" w:eastAsia="仿宋" w:cs="仿宋"/>
          <w:color w:val="auto"/>
          <w:kern w:val="2"/>
          <w:sz w:val="32"/>
          <w:szCs w:val="32"/>
          <w:highlight w:val="none"/>
          <w:lang w:val="en-US" w:eastAsia="zh-CN" w:bidi="ar-SA"/>
        </w:rPr>
        <w:t>网站公开部门预算信息</w:t>
      </w:r>
      <w:r>
        <w:rPr>
          <w:rFonts w:hint="eastAsia" w:ascii="仿宋" w:hAnsi="仿宋" w:eastAsia="仿宋" w:cs="仿宋"/>
          <w:color w:val="auto"/>
          <w:kern w:val="2"/>
          <w:sz w:val="32"/>
          <w:szCs w:val="32"/>
          <w:highlight w:val="none"/>
          <w:lang w:val="en-US" w:eastAsia="zh-CN" w:bidi="ar-SA"/>
        </w:rPr>
        <w:t>，于</w:t>
      </w:r>
      <w:r>
        <w:rPr>
          <w:rFonts w:hint="default" w:ascii="仿宋" w:hAnsi="仿宋" w:eastAsia="仿宋" w:cs="仿宋"/>
          <w:color w:val="auto"/>
          <w:kern w:val="2"/>
          <w:sz w:val="32"/>
          <w:szCs w:val="32"/>
          <w:highlight w:val="none"/>
          <w:lang w:val="en-US" w:eastAsia="zh-CN" w:bidi="ar-SA"/>
        </w:rPr>
        <w:t>202</w:t>
      </w: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年</w:t>
      </w:r>
      <w:r>
        <w:rPr>
          <w:rFonts w:hint="eastAsia" w:ascii="仿宋" w:hAnsi="仿宋" w:eastAsia="仿宋" w:cs="仿宋"/>
          <w:color w:val="auto"/>
          <w:kern w:val="2"/>
          <w:sz w:val="32"/>
          <w:szCs w:val="32"/>
          <w:highlight w:val="none"/>
          <w:lang w:val="en-US" w:eastAsia="zh-CN" w:bidi="ar-SA"/>
        </w:rPr>
        <w:t>10</w:t>
      </w:r>
      <w:r>
        <w:rPr>
          <w:rFonts w:hint="default" w:ascii="仿宋" w:hAnsi="仿宋" w:eastAsia="仿宋" w:cs="仿宋"/>
          <w:color w:val="auto"/>
          <w:kern w:val="2"/>
          <w:sz w:val="32"/>
          <w:szCs w:val="32"/>
          <w:highlight w:val="none"/>
          <w:lang w:val="en-US" w:eastAsia="zh-CN" w:bidi="ar-SA"/>
        </w:rPr>
        <w:t>月</w:t>
      </w:r>
      <w:r>
        <w:rPr>
          <w:rFonts w:hint="eastAsia" w:ascii="仿宋" w:hAnsi="仿宋" w:eastAsia="仿宋" w:cs="仿宋"/>
          <w:color w:val="auto"/>
          <w:kern w:val="2"/>
          <w:sz w:val="32"/>
          <w:szCs w:val="32"/>
          <w:highlight w:val="none"/>
          <w:lang w:val="en-US" w:eastAsia="zh-CN" w:bidi="ar-SA"/>
        </w:rPr>
        <w:t>9</w:t>
      </w:r>
      <w:r>
        <w:rPr>
          <w:rFonts w:hint="default" w:ascii="仿宋" w:hAnsi="仿宋" w:eastAsia="仿宋" w:cs="仿宋"/>
          <w:color w:val="auto"/>
          <w:kern w:val="2"/>
          <w:sz w:val="32"/>
          <w:szCs w:val="32"/>
          <w:highlight w:val="none"/>
          <w:lang w:val="en-US" w:eastAsia="zh-CN" w:bidi="ar-SA"/>
        </w:rPr>
        <w:t>日在</w:t>
      </w:r>
      <w:r>
        <w:rPr>
          <w:rFonts w:hint="eastAsia" w:ascii="仿宋" w:hAnsi="仿宋" w:eastAsia="仿宋" w:cs="仿宋"/>
          <w:color w:val="auto"/>
          <w:kern w:val="2"/>
          <w:sz w:val="32"/>
          <w:szCs w:val="32"/>
          <w:highlight w:val="none"/>
          <w:lang w:val="en-US" w:eastAsia="zh-CN" w:bidi="ar-SA"/>
        </w:rPr>
        <w:t>财政</w:t>
      </w:r>
      <w:r>
        <w:rPr>
          <w:rFonts w:hint="default" w:ascii="仿宋" w:hAnsi="仿宋" w:eastAsia="仿宋" w:cs="仿宋"/>
          <w:color w:val="auto"/>
          <w:kern w:val="2"/>
          <w:sz w:val="32"/>
          <w:szCs w:val="32"/>
          <w:highlight w:val="none"/>
          <w:lang w:val="en-US" w:eastAsia="zh-CN" w:bidi="ar-SA"/>
        </w:rPr>
        <w:t>网站公开部门决算信息。</w:t>
      </w:r>
    </w:p>
    <w:p w14:paraId="59A6EBA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4.绩效管理</w:t>
      </w:r>
    </w:p>
    <w:p w14:paraId="778AC04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2025年年初，我中心认真梳理2025年部门整体绩效目标和项目入库绩效目标、绩效指标，按照要求完成了怀化市财政局2025年度预算绩效目标审核工作。</w:t>
      </w:r>
    </w:p>
    <w:p w14:paraId="29CAB93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9月，根据《怀化市财政局关于开展2025年度市级财政资金绩效运行监控工作的通知》有关规定，我中心高度重视，组织开展了2025年1-7月份部门整体支出和项目支出绩效运行监控工作，及时反馈项目支出实施情况，提高资金使用绩效。</w:t>
      </w:r>
    </w:p>
    <w:p w14:paraId="7B9A5EB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管理制度健全性</w:t>
      </w:r>
    </w:p>
    <w:p w14:paraId="66B0828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我中心严格执行怀化市直单位有关差旅费、会议费、培训费、公务接待管理有关规定的要求，规范各项支出。做好内控体系建设，对预算管理、收支业务、政府采购、资产管理和合同管理五大方面经济业务的业务流程、风险点、管理制度进行了全面梳理，构建了较为规范的内部控制体系。</w:t>
      </w:r>
    </w:p>
    <w:p w14:paraId="26AB8C06">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6.</w:t>
      </w:r>
      <w:r>
        <w:rPr>
          <w:rFonts w:hint="default" w:ascii="仿宋" w:hAnsi="仿宋" w:eastAsia="仿宋" w:cs="仿宋"/>
          <w:color w:val="auto"/>
          <w:kern w:val="2"/>
          <w:sz w:val="32"/>
          <w:szCs w:val="32"/>
          <w:highlight w:val="none"/>
          <w:lang w:val="en-US" w:eastAsia="zh-CN" w:bidi="ar-SA"/>
        </w:rPr>
        <w:t>资金使用合规性</w:t>
      </w:r>
    </w:p>
    <w:p w14:paraId="32004F1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严格按照国家财经法规和财务管理制度及有关专项资金管理办法的规定进行支出。加强经费合法合规性审核和预算控制，资金使用合规</w:t>
      </w:r>
      <w:r>
        <w:rPr>
          <w:rFonts w:hint="eastAsia" w:ascii="仿宋" w:hAnsi="仿宋" w:eastAsia="仿宋" w:cs="仿宋"/>
          <w:color w:val="auto"/>
          <w:kern w:val="2"/>
          <w:sz w:val="32"/>
          <w:szCs w:val="32"/>
          <w:highlight w:val="none"/>
          <w:lang w:val="en-US" w:eastAsia="zh-CN" w:bidi="ar-SA"/>
        </w:rPr>
        <w:t>性较好</w:t>
      </w:r>
      <w:r>
        <w:rPr>
          <w:rFonts w:hint="default" w:ascii="仿宋" w:hAnsi="仿宋" w:eastAsia="仿宋" w:cs="仿宋"/>
          <w:color w:val="auto"/>
          <w:kern w:val="2"/>
          <w:sz w:val="32"/>
          <w:szCs w:val="32"/>
          <w:highlight w:val="none"/>
          <w:lang w:val="en-US" w:eastAsia="zh-CN" w:bidi="ar-SA"/>
        </w:rPr>
        <w:t>，支出手续齐全，程序到位。</w:t>
      </w:r>
    </w:p>
    <w:p w14:paraId="7893F38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7.政府采购管理</w:t>
      </w:r>
    </w:p>
    <w:p w14:paraId="0F07F20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202</w:t>
      </w:r>
      <w:r>
        <w:rPr>
          <w:rFonts w:hint="eastAsia" w:ascii="仿宋" w:hAnsi="仿宋" w:eastAsia="仿宋" w:cs="仿宋"/>
          <w:color w:val="auto"/>
          <w:kern w:val="2"/>
          <w:sz w:val="32"/>
          <w:szCs w:val="32"/>
          <w:highlight w:val="none"/>
          <w:lang w:val="en-US" w:eastAsia="zh-CN" w:bidi="ar-SA"/>
        </w:rPr>
        <w:t>5</w:t>
      </w:r>
      <w:r>
        <w:rPr>
          <w:rFonts w:hint="default" w:ascii="仿宋" w:hAnsi="仿宋" w:eastAsia="仿宋" w:cs="仿宋"/>
          <w:color w:val="auto"/>
          <w:kern w:val="2"/>
          <w:sz w:val="32"/>
          <w:szCs w:val="32"/>
          <w:highlight w:val="none"/>
          <w:lang w:val="en-US" w:eastAsia="zh-CN" w:bidi="ar-SA"/>
        </w:rPr>
        <w:t>年我</w:t>
      </w:r>
      <w:r>
        <w:rPr>
          <w:rFonts w:hint="eastAsia" w:ascii="仿宋" w:hAnsi="仿宋" w:eastAsia="仿宋" w:cs="仿宋"/>
          <w:color w:val="auto"/>
          <w:kern w:val="2"/>
          <w:sz w:val="32"/>
          <w:szCs w:val="32"/>
          <w:highlight w:val="none"/>
          <w:lang w:val="en-US" w:eastAsia="zh-CN" w:bidi="ar-SA"/>
        </w:rPr>
        <w:t>中心按工作实际需求、配置标准编制采购预算，严格按照政府采购程序和相关政策要求进行政府采购</w:t>
      </w:r>
      <w:r>
        <w:rPr>
          <w:rFonts w:hint="default" w:ascii="仿宋" w:hAnsi="仿宋" w:eastAsia="仿宋" w:cs="仿宋"/>
          <w:color w:val="auto"/>
          <w:kern w:val="2"/>
          <w:sz w:val="32"/>
          <w:szCs w:val="32"/>
          <w:highlight w:val="none"/>
          <w:lang w:val="en-US" w:eastAsia="zh-CN" w:bidi="ar-SA"/>
        </w:rPr>
        <w:t>，及时公开项目采购意向，做好合同备案及信息公开工作</w:t>
      </w:r>
      <w:r>
        <w:rPr>
          <w:rFonts w:hint="eastAsia" w:ascii="仿宋" w:hAnsi="仿宋" w:eastAsia="仿宋" w:cs="仿宋"/>
          <w:color w:val="auto"/>
          <w:kern w:val="2"/>
          <w:sz w:val="32"/>
          <w:szCs w:val="32"/>
          <w:highlight w:val="none"/>
          <w:lang w:val="en-US" w:eastAsia="zh-CN" w:bidi="ar-SA"/>
        </w:rPr>
        <w:t>。</w:t>
      </w:r>
    </w:p>
    <w:p w14:paraId="5CFB02A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8.</w:t>
      </w:r>
      <w:r>
        <w:rPr>
          <w:rFonts w:hint="default" w:ascii="仿宋" w:hAnsi="仿宋" w:eastAsia="仿宋" w:cs="仿宋"/>
          <w:color w:val="auto"/>
          <w:kern w:val="2"/>
          <w:sz w:val="32"/>
          <w:szCs w:val="32"/>
          <w:highlight w:val="none"/>
          <w:lang w:val="en-US" w:eastAsia="zh-CN" w:bidi="ar-SA"/>
        </w:rPr>
        <w:t>资产管理</w:t>
      </w:r>
    </w:p>
    <w:p w14:paraId="17379F39">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合理配置资产。严格按照市财政局、市机关事务管理局相关文件规定，坚持科学合理、优化资产，勤俭节约，从严控制的原则，根据履行工作职能的需求合理配置资产。</w:t>
      </w:r>
    </w:p>
    <w:p w14:paraId="65124655">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加强日常维护。固定资产使用人负责资产的日常维护保养，保证资产安全完整，提高资产使用效率。</w:t>
      </w:r>
    </w:p>
    <w:p w14:paraId="75BA8DD3">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按程序处置资产。按要求填写《怀化市行政事业单位国有资产处置审批表》及附表，资产处置金额5万元以下由市机关事务管理局审批，5万元（含）以上由市机关事务管理局审核，市财政局审批。</w:t>
      </w:r>
    </w:p>
    <w:p w14:paraId="71C08BAA">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每年定期组织资产清查，对资产进行账实核对，做到账实相符、账账相符。</w:t>
      </w:r>
    </w:p>
    <w:p w14:paraId="60A0C66D">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（四）</w:t>
      </w:r>
      <w:r>
        <w:rPr>
          <w:rFonts w:hint="default" w:ascii="仿宋" w:hAnsi="仿宋" w:eastAsia="仿宋" w:cs="仿宋"/>
          <w:color w:val="auto"/>
          <w:kern w:val="2"/>
          <w:sz w:val="32"/>
          <w:szCs w:val="32"/>
          <w:highlight w:val="none"/>
          <w:lang w:val="en-US" w:eastAsia="zh-CN" w:bidi="ar-SA"/>
        </w:rPr>
        <w:t>履职效能</w:t>
      </w:r>
    </w:p>
    <w:p w14:paraId="1305226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1.年度总体目标完成情况</w:t>
      </w:r>
    </w:p>
    <w:p w14:paraId="2EE49B8B">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在省厅、市政府以及局党组的正确领导下，我市不动产登记工作严格对照年初提出的目标任务及要求，加强党建与业务融合、持续优化财产登记营商环境、加大房地产处遗力度、加快权证办理和资产处置、稳步推进房“交房即交证”、“交地即交证”“竣工即交证”改革，大力推进清廉大厅建设，不断提升登记服务水平。截至目前，市本级发放各类不动产权证书、证明约10万本；处理回复各类信访件400余件，收取登记费540万元。</w:t>
      </w:r>
    </w:p>
    <w:p w14:paraId="52DF623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求真务实，促使财产登记领域营商环境更优化。</w:t>
      </w:r>
      <w:r>
        <w:rPr>
          <w:rFonts w:hint="eastAsia" w:ascii="仿宋" w:hAnsi="仿宋" w:eastAsia="仿宋" w:cs="仿宋"/>
          <w:color w:val="auto"/>
          <w:kern w:val="2"/>
          <w:sz w:val="32"/>
          <w:szCs w:val="32"/>
          <w:highlight w:val="none"/>
          <w:lang w:val="en-US" w:eastAsia="zh-CN" w:bidi="ar-SA"/>
        </w:rPr>
        <w:t>按照市委市政府关于营商环境指标要求，我中心主要领导高度重视，率先垂范，组织专班，指派专人，坚持“以人民为中心”的出发点，切实解决“急、需、盼、难”的问题，坚持高位推动，抽调专人，成立专班，严格按照指标要求结合实际推行落实营商环境工作四条措施即“推行优质服务”“提升作风建设”、“整治窗口腐败”，“树立清廉典型”，打通便民利企服务“快车道”。优化流程、精简提速，营商环境更加优化，群众满意度明显上升，学廉崇廉守廉氛围更加浓厚。</w:t>
      </w:r>
    </w:p>
    <w:p w14:paraId="67AF3CD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主动服务，助力中小微企业登记更便民。</w:t>
      </w:r>
      <w:r>
        <w:rPr>
          <w:rFonts w:hint="eastAsia" w:ascii="仿宋" w:hAnsi="仿宋" w:eastAsia="仿宋" w:cs="仿宋"/>
          <w:color w:val="auto"/>
          <w:kern w:val="2"/>
          <w:sz w:val="32"/>
          <w:szCs w:val="32"/>
          <w:highlight w:val="none"/>
          <w:lang w:val="en-US" w:eastAsia="zh-CN" w:bidi="ar-SA"/>
        </w:rPr>
        <w:t>为贯彻“放管服”改革精神，落实免收小微企业不动产登记费政策，优化营商环境工作，我中心通过实地走访的方式先后到刘霖房地产开发公司、怀化黔锦置业有限公司、怀化华盛麓峰房地产开发公司等</w:t>
      </w:r>
      <w:bookmarkStart w:id="0" w:name="_GoBack"/>
      <w:bookmarkEnd w:id="0"/>
      <w:r>
        <w:rPr>
          <w:rFonts w:hint="eastAsia" w:ascii="仿宋" w:hAnsi="仿宋" w:eastAsia="仿宋" w:cs="仿宋"/>
          <w:color w:val="auto"/>
          <w:kern w:val="2"/>
          <w:sz w:val="32"/>
          <w:szCs w:val="32"/>
          <w:highlight w:val="none"/>
          <w:lang w:val="en-US" w:eastAsia="zh-CN" w:bidi="ar-SA"/>
        </w:rPr>
        <w:t>3家企业召开现场座谈会面对面与企业代表进行沟通、互动。并就我中心下一步围绕惠企、助企，如何全力践行助企纾困为企业提供优质高效服务进行了深入交流。通过听取建议，结合自身，我中心决定以此次活动为载体，设身处地地为企业排忧解难，行之有效地去帮助企业化解难题。要坚持问题导向，把服务企业发展成效作为检验工作能力和水平的重要标尺，一站式梳理问题清单一站式抓好落实整改。要秉承依法依规、实事求是的原则，妥善处理历史遗留问题，做到“发现一个解决一个”的实际效果。切实转变工作作风，强化优质服务力度以企业需求为导向持续优化营商环境，不断提升我市不动产登记服务效能。截至目前，共为我市小微企业减免登记费约99.632万元。</w:t>
      </w:r>
    </w:p>
    <w:p w14:paraId="5C158EB4">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房地一体确权登记工作更加深入民心。</w:t>
      </w:r>
      <w:r>
        <w:rPr>
          <w:rFonts w:hint="eastAsia" w:ascii="仿宋" w:hAnsi="仿宋" w:eastAsia="仿宋" w:cs="仿宋"/>
          <w:color w:val="auto"/>
          <w:kern w:val="2"/>
          <w:sz w:val="32"/>
          <w:szCs w:val="32"/>
          <w:highlight w:val="none"/>
          <w:lang w:val="en-US" w:eastAsia="zh-CN" w:bidi="ar-SA"/>
        </w:rPr>
        <w:t>我市农村宅基地和集体建设用地确权登记发证工作在市政府统一领导下进行，市政府各有关部门和各级乡、镇人民政府通力协作、密切配合。（1）今年市本级鹤城区集体所有权登记发证率达95%，调查覆盖率100%，集体土地所有权登记成果全面汇交入库。</w:t>
      </w:r>
    </w:p>
    <w:p w14:paraId="7B2058C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b/>
          <w:bCs/>
          <w:color w:val="auto"/>
          <w:kern w:val="2"/>
          <w:sz w:val="32"/>
          <w:szCs w:val="32"/>
          <w:highlight w:val="none"/>
          <w:lang w:val="en-US" w:eastAsia="zh-CN" w:bidi="ar-SA"/>
        </w:rPr>
        <w:t>创新举措、化解“登记难”问题，让群众收获满满幸福感。</w:t>
      </w:r>
      <w:r>
        <w:rPr>
          <w:rFonts w:hint="eastAsia" w:ascii="仿宋" w:hAnsi="仿宋" w:eastAsia="仿宋" w:cs="仿宋"/>
          <w:color w:val="auto"/>
          <w:kern w:val="2"/>
          <w:sz w:val="32"/>
          <w:szCs w:val="32"/>
          <w:highlight w:val="none"/>
          <w:lang w:val="en-US" w:eastAsia="zh-CN" w:bidi="ar-SA"/>
        </w:rPr>
        <w:t>解决我市房地产办证历史遗留问题，事关广大群众切身利益，我中心充分认识到做好该项工作的重要性，在不突破法律底线前提下，大胆改革创新，优先为群众办好证。为了解决遗留问题项目中购房业主在无过错并实际入住情况下因房地产企业或有关单位拒不配合履行办证义务造成的登记难情况，我中心报经局领导同意后，坚持以保障人民群众合法权益为己任，开阔思路，获得了广大群众一致好评。与此同时我中心还将继续聚焦“历史遗留问题”项目的“急、难、愁、盼”问题，开放性地创新思路，针对性地借鉴经验，在坚守政策法规的前提下，以灵活的“政策身法”，多变的“服务走位”、优质的“便民举措”为化解我市历史遗留问题再出新招。截至目前，市本级遗留问题项目共启动办证227个项目。累计办总证98972本，已发证86697本。</w:t>
      </w:r>
    </w:p>
    <w:p w14:paraId="5621E9C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2.绩效目标指标完成情况</w:t>
      </w:r>
    </w:p>
    <w:p w14:paraId="09F8C71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2025年度我中心设置了三级成本指标2个、产出指标7个、效益指标3个、满意度指标1个，指标完成情况如下：</w:t>
      </w:r>
    </w:p>
    <w:p w14:paraId="5AAD8A1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（1）成本指标分析</w:t>
      </w:r>
    </w:p>
    <w:p w14:paraId="7F95B99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0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default" w:ascii="仿宋" w:hAnsi="仿宋" w:eastAsia="仿宋" w:cs="仿宋"/>
          <w:color w:val="auto"/>
          <w:kern w:val="2"/>
          <w:sz w:val="32"/>
          <w:szCs w:val="32"/>
          <w:highlight w:val="none"/>
          <w:lang w:val="en-US" w:eastAsia="zh-CN" w:bidi="ar-SA"/>
        </w:rPr>
        <w:t>部门整体支出成本</w:t>
      </w:r>
      <w:r>
        <w:rPr>
          <w:rFonts w:hint="eastAsia" w:ascii="仿宋" w:hAnsi="仿宋" w:eastAsia="仿宋" w:cs="仿宋"/>
          <w:color w:val="auto"/>
          <w:kern w:val="2"/>
          <w:sz w:val="32"/>
          <w:szCs w:val="32"/>
          <w:highlight w:val="none"/>
          <w:lang w:val="en-US" w:eastAsia="zh-CN" w:bidi="ar-SA"/>
        </w:rPr>
        <w:t>2153.4</w:t>
      </w:r>
      <w:r>
        <w:rPr>
          <w:rFonts w:hint="default" w:ascii="仿宋" w:hAnsi="仿宋" w:eastAsia="仿宋" w:cs="仿宋"/>
          <w:color w:val="auto"/>
          <w:kern w:val="2"/>
          <w:sz w:val="32"/>
          <w:szCs w:val="32"/>
          <w:highlight w:val="none"/>
          <w:lang w:val="en-US" w:eastAsia="zh-CN" w:bidi="ar-SA"/>
        </w:rPr>
        <w:t>万元</w:t>
      </w:r>
      <w:r>
        <w:rPr>
          <w:rFonts w:hint="eastAsia" w:ascii="仿宋" w:hAnsi="仿宋" w:eastAsia="仿宋" w:cs="仿宋"/>
          <w:color w:val="auto"/>
          <w:kern w:val="2"/>
          <w:sz w:val="32"/>
          <w:szCs w:val="32"/>
          <w:highlight w:val="none"/>
          <w:lang w:val="en-US" w:eastAsia="zh-CN" w:bidi="ar-SA"/>
        </w:rPr>
        <w:t>，完成年初目标。</w:t>
      </w:r>
    </w:p>
    <w:p w14:paraId="27D66A6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（2）产出指标分析</w:t>
      </w:r>
    </w:p>
    <w:p w14:paraId="3A2530E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themeFill="background1"/>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w w:val="100"/>
          <w:kern w:val="2"/>
          <w:sz w:val="32"/>
          <w:szCs w:val="32"/>
          <w:highlight w:val="none"/>
          <w:lang w:val="en-US" w:eastAsia="zh-CN" w:bidi="ar-SA"/>
        </w:rPr>
      </w:pPr>
      <w:r>
        <w:rPr>
          <w:rFonts w:hint="eastAsia" w:ascii="仿宋" w:hAnsi="仿宋" w:eastAsia="仿宋" w:cs="仿宋"/>
          <w:color w:val="auto"/>
          <w:w w:val="100"/>
          <w:kern w:val="2"/>
          <w:sz w:val="32"/>
          <w:szCs w:val="32"/>
          <w:highlight w:val="none"/>
          <w:lang w:val="en-US" w:eastAsia="zh-CN" w:bidi="ar-SA"/>
        </w:rPr>
        <w:t>数量指标：受理不动产权登记57173件，发放不动产登记证书41256本，发放不动产登记证明15917本，不动产登记资料整理、归档完成率90%，完成年初目标。</w:t>
      </w:r>
    </w:p>
    <w:p w14:paraId="5DFB2D4F">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w w:val="100"/>
          <w:kern w:val="2"/>
          <w:sz w:val="32"/>
          <w:szCs w:val="32"/>
          <w:highlight w:val="none"/>
          <w:lang w:val="en-US" w:eastAsia="zh-CN" w:bidi="ar-SA"/>
        </w:rPr>
      </w:pPr>
      <w:r>
        <w:rPr>
          <w:rFonts w:hint="eastAsia" w:ascii="仿宋" w:hAnsi="仿宋" w:eastAsia="仿宋" w:cs="仿宋"/>
          <w:color w:val="auto"/>
          <w:w w:val="100"/>
          <w:kern w:val="2"/>
          <w:sz w:val="32"/>
          <w:szCs w:val="32"/>
          <w:highlight w:val="none"/>
          <w:lang w:val="en-US" w:eastAsia="zh-CN" w:bidi="ar-SA"/>
        </w:rPr>
        <w:t>质量指标：不动产登记平台维护率100%，整理归档合规率100%，完成年初目标。</w:t>
      </w:r>
    </w:p>
    <w:p w14:paraId="5D76135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w w:val="100"/>
          <w:kern w:val="2"/>
          <w:sz w:val="32"/>
          <w:szCs w:val="32"/>
          <w:highlight w:val="none"/>
          <w:lang w:val="en-US" w:eastAsia="zh-CN" w:bidi="ar-SA"/>
        </w:rPr>
      </w:pPr>
      <w:r>
        <w:rPr>
          <w:rFonts w:hint="eastAsia" w:ascii="仿宋" w:hAnsi="仿宋" w:eastAsia="仿宋" w:cs="仿宋"/>
          <w:color w:val="auto"/>
          <w:w w:val="100"/>
          <w:kern w:val="2"/>
          <w:sz w:val="32"/>
          <w:szCs w:val="32"/>
          <w:highlight w:val="none"/>
          <w:lang w:val="en-US" w:eastAsia="zh-CN" w:bidi="ar-SA"/>
        </w:rPr>
        <w:t>时效指标：2025年12月31日前完成。</w:t>
      </w:r>
    </w:p>
    <w:p w14:paraId="0292B50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（3）效益指标分析</w:t>
      </w:r>
    </w:p>
    <w:p w14:paraId="06814F0E">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发挥专项资金使用效益，服务当地经济发展；完善办事效率，提高群众满意度；持续促进企业健康发展，解决办事群众困难。完成年初目标。</w:t>
      </w:r>
    </w:p>
    <w:p w14:paraId="7938E91E">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（4）</w:t>
      </w:r>
      <w:r>
        <w:rPr>
          <w:rFonts w:hint="default" w:ascii="仿宋" w:hAnsi="仿宋" w:eastAsia="仿宋" w:cs="仿宋"/>
          <w:color w:val="auto"/>
          <w:kern w:val="2"/>
          <w:sz w:val="32"/>
          <w:szCs w:val="32"/>
          <w:highlight w:val="none"/>
          <w:lang w:val="en-US" w:eastAsia="zh-CN" w:bidi="ar-SA"/>
        </w:rPr>
        <w:t>满意度</w:t>
      </w:r>
      <w:r>
        <w:rPr>
          <w:rFonts w:hint="eastAsia" w:ascii="仿宋" w:hAnsi="仿宋" w:eastAsia="仿宋" w:cs="仿宋"/>
          <w:color w:val="auto"/>
          <w:kern w:val="2"/>
          <w:sz w:val="32"/>
          <w:szCs w:val="32"/>
          <w:highlight w:val="none"/>
          <w:lang w:val="en-US" w:eastAsia="zh-CN" w:bidi="ar-SA"/>
        </w:rPr>
        <w:t>指标分析</w:t>
      </w:r>
    </w:p>
    <w:p w14:paraId="4059CDCD">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firstLine="640" w:firstLineChars="200"/>
        <w:textAlignment w:val="auto"/>
        <w:rPr>
          <w:rFonts w:hint="default"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社会公众满意度达95%，完成年初目标。</w:t>
      </w:r>
    </w:p>
    <w:p w14:paraId="7943E2D7">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九、存在的问题及原因分析</w:t>
      </w:r>
    </w:p>
    <w:p w14:paraId="1FECA500">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（一）预算编制工作还有待细化，预算编制还不够明确和细化。</w:t>
      </w:r>
    </w:p>
    <w:p w14:paraId="09A01E1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（二）中心全额编制人员少，主要是差额拨款，收入少导致经费不足，日常公用经费不足、与实际支出相差甚远，目前收入维持运转较困难。</w:t>
      </w:r>
    </w:p>
    <w:p w14:paraId="026EDAB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Times New Roman Regular" w:hAnsi="Times New Roman Regular" w:eastAsia="仿宋_GB2312" w:cs="Times New Roman Regular"/>
          <w:color w:val="auto"/>
          <w:sz w:val="32"/>
          <w:szCs w:val="32"/>
          <w:highlight w:val="none"/>
          <w:lang w:val="en-US" w:eastAsia="zh-CN"/>
        </w:rPr>
      </w:pPr>
      <w:r>
        <w:rPr>
          <w:rFonts w:hint="eastAsia" w:ascii="仿宋" w:hAnsi="仿宋" w:eastAsia="仿宋" w:cs="仿宋"/>
          <w:color w:val="auto"/>
          <w:kern w:val="2"/>
          <w:sz w:val="32"/>
          <w:szCs w:val="32"/>
          <w:highlight w:val="none"/>
          <w:lang w:val="en-US" w:eastAsia="zh-CN" w:bidi="ar-SA"/>
        </w:rPr>
        <w:t>（三）中心项目经费没有保障，由于经费形式是差额拨款，收入不足导致部门预算资金有缺口。</w:t>
      </w:r>
    </w:p>
    <w:p w14:paraId="4F0F7806">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十、下一步改进措施</w:t>
      </w:r>
    </w:p>
    <w:p w14:paraId="257F8A1D">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针对存在的问题，拟实施改进的措施如下：</w:t>
      </w:r>
    </w:p>
    <w:p w14:paraId="45520E54">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一）加强预算编制工作，严格按照预算编制的相关制度和要求进行预算编制，优先保障固定性的、相对刚性的费用支出项目，尽量压缩变动性的，有控制空间的费用项目，进一步提高预算编制的科学性、严谨性和可控性。</w:t>
      </w:r>
    </w:p>
    <w:p w14:paraId="1F419CE3">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仿宋" w:hAnsi="仿宋" w:eastAsia="仿宋" w:cs="仿宋"/>
          <w:color w:val="auto"/>
          <w:kern w:val="2"/>
          <w:sz w:val="32"/>
          <w:szCs w:val="32"/>
          <w:highlight w:val="none"/>
          <w:lang w:val="en-US" w:eastAsia="zh-CN" w:bidi="ar-SA"/>
        </w:rPr>
        <w:t>（二）加强财务管理，严格财务审核，健全中心财务管理制度体系，规范中心财务行为，抓好“三公”经费控制。在费用报账支付时，按照预算规定的费用项目和用途进行资金使用审核、列支支付、财务核算，杜绝超支现象发生。加强收入执行力度，减少资金缺口。</w:t>
      </w:r>
    </w:p>
    <w:p w14:paraId="6A2EBD79">
      <w:pPr>
        <w:keepNext w:val="0"/>
        <w:keepLines w:val="0"/>
        <w:pageBreakBefore w:val="0"/>
        <w:widowControl w:val="0"/>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十一、绩效自评结果拟应用和公开情况</w:t>
      </w:r>
    </w:p>
    <w:p w14:paraId="69EAFC87">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20" w:lineRule="exact"/>
        <w:ind w:right="0" w:rightChars="0"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仿宋" w:hAnsi="仿宋" w:eastAsia="仿宋" w:cs="仿宋"/>
          <w:color w:val="auto"/>
          <w:kern w:val="2"/>
          <w:sz w:val="32"/>
          <w:szCs w:val="32"/>
          <w:highlight w:val="none"/>
          <w:lang w:val="en-US" w:eastAsia="zh-CN" w:bidi="ar-SA"/>
        </w:rPr>
        <w:t>绩效自评结果可以进一步规范财政资金管理，强化部门绩效和责任意识，切实提高财政资金使用效益，同时编制下一年的部门预算可以参考绩效自评结果，以提高预算编制的精准性。</w:t>
      </w:r>
      <w:r>
        <w:rPr>
          <w:rFonts w:hint="eastAsia" w:ascii="仿宋" w:hAnsi="仿宋" w:eastAsia="仿宋" w:cs="仿宋"/>
          <w:color w:val="auto"/>
          <w:kern w:val="2"/>
          <w:sz w:val="32"/>
          <w:szCs w:val="32"/>
          <w:highlight w:val="none"/>
          <w:lang w:val="en-US" w:eastAsia="zh-CN" w:bidi="ar-SA"/>
        </w:rPr>
        <w:t>绩效自评</w:t>
      </w:r>
      <w:r>
        <w:rPr>
          <w:rFonts w:hint="default" w:ascii="仿宋" w:hAnsi="仿宋" w:eastAsia="仿宋" w:cs="仿宋"/>
          <w:color w:val="auto"/>
          <w:kern w:val="2"/>
          <w:sz w:val="32"/>
          <w:szCs w:val="32"/>
          <w:highlight w:val="none"/>
          <w:lang w:val="en-US" w:eastAsia="zh-CN" w:bidi="ar-SA"/>
        </w:rPr>
        <w:t>结果</w:t>
      </w:r>
      <w:r>
        <w:rPr>
          <w:rFonts w:hint="eastAsia" w:ascii="仿宋" w:hAnsi="仿宋" w:eastAsia="仿宋" w:cs="仿宋"/>
          <w:color w:val="auto"/>
          <w:kern w:val="2"/>
          <w:sz w:val="32"/>
          <w:szCs w:val="32"/>
          <w:highlight w:val="none"/>
          <w:lang w:val="en-US" w:eastAsia="zh-CN" w:bidi="ar-SA"/>
        </w:rPr>
        <w:t>按照</w:t>
      </w:r>
      <w:r>
        <w:rPr>
          <w:rFonts w:hint="default" w:ascii="仿宋" w:hAnsi="仿宋" w:eastAsia="仿宋" w:cs="仿宋"/>
          <w:color w:val="auto"/>
          <w:kern w:val="2"/>
          <w:sz w:val="32"/>
          <w:szCs w:val="32"/>
          <w:highlight w:val="none"/>
          <w:lang w:val="en-US" w:eastAsia="zh-CN" w:bidi="ar-SA"/>
        </w:rPr>
        <w:t>财政要求及时公开。</w:t>
      </w:r>
    </w:p>
    <w:p w14:paraId="0D944C4B">
      <w:pPr>
        <w:keepNext w:val="0"/>
        <w:keepLines w:val="0"/>
        <w:pageBreakBefore w:val="0"/>
        <w:widowControl w:val="0"/>
        <w:numPr>
          <w:ilvl w:val="0"/>
          <w:numId w:val="4"/>
        </w:numPr>
        <w:kinsoku/>
        <w:wordWrap/>
        <w:overflowPunct/>
        <w:topLinePunct w:val="0"/>
        <w:autoSpaceDE/>
        <w:autoSpaceDN/>
        <w:bidi w:val="0"/>
        <w:adjustRightInd/>
        <w:snapToGrid w:val="0"/>
        <w:spacing w:line="520" w:lineRule="exact"/>
        <w:ind w:firstLine="640" w:firstLineChars="200"/>
        <w:textAlignment w:val="auto"/>
        <w:rPr>
          <w:rFonts w:hint="default" w:ascii="方正黑体_GBK" w:hAnsi="方正黑体_GBK" w:eastAsia="方正黑体_GBK" w:cs="方正黑体_GBK"/>
          <w:b/>
          <w:bCs/>
          <w:color w:val="auto"/>
          <w:sz w:val="32"/>
          <w:szCs w:val="32"/>
          <w:highlight w:val="none"/>
          <w:lang w:val="en-US" w:eastAsia="zh-CN"/>
        </w:rPr>
      </w:pPr>
      <w:r>
        <w:rPr>
          <w:rFonts w:hint="default" w:ascii="方正黑体_GBK" w:hAnsi="方正黑体_GBK" w:eastAsia="方正黑体_GBK" w:cs="方正黑体_GBK"/>
          <w:b/>
          <w:bCs/>
          <w:color w:val="auto"/>
          <w:sz w:val="32"/>
          <w:szCs w:val="32"/>
          <w:highlight w:val="none"/>
          <w:lang w:val="en-US" w:eastAsia="zh-CN"/>
        </w:rPr>
        <w:t>其他需要说明的情况</w:t>
      </w:r>
    </w:p>
    <w:p w14:paraId="74B61F53">
      <w:pPr>
        <w:keepNext w:val="0"/>
        <w:keepLines w:val="0"/>
        <w:pageBreakBefore w:val="0"/>
        <w:widowControl w:val="0"/>
        <w:numPr>
          <w:ilvl w:val="0"/>
          <w:numId w:val="0"/>
        </w:numPr>
        <w:kinsoku/>
        <w:wordWrap/>
        <w:overflowPunct/>
        <w:topLinePunct w:val="0"/>
        <w:autoSpaceDE/>
        <w:autoSpaceDN/>
        <w:bidi w:val="0"/>
        <w:adjustRightInd/>
        <w:snapToGrid w:val="0"/>
        <w:spacing w:line="520" w:lineRule="exact"/>
        <w:textAlignment w:val="auto"/>
        <w:rPr>
          <w:rFonts w:hint="default" w:ascii="方正黑体_GBK" w:hAnsi="方正黑体_GBK" w:eastAsia="方正黑体_GBK" w:cs="方正黑体_GBK"/>
          <w:b/>
          <w:bCs/>
          <w:color w:val="auto"/>
          <w:sz w:val="32"/>
          <w:szCs w:val="32"/>
          <w:highlight w:val="none"/>
          <w:lang w:val="en-US" w:eastAsia="zh-CN"/>
        </w:rPr>
      </w:pPr>
      <w:r>
        <w:rPr>
          <w:rFonts w:hint="eastAsia" w:ascii="方正黑体_GBK" w:hAnsi="方正黑体_GBK" w:eastAsia="方正黑体_GBK" w:cs="方正黑体_GBK"/>
          <w:b/>
          <w:bCs/>
          <w:color w:val="auto"/>
          <w:sz w:val="32"/>
          <w:szCs w:val="32"/>
          <w:highlight w:val="none"/>
          <w:lang w:val="en-US" w:eastAsia="zh-CN"/>
        </w:rPr>
        <w:t xml:space="preserve"> </w:t>
      </w:r>
      <w:r>
        <w:rPr>
          <w:rFonts w:hint="eastAsia" w:ascii="方正黑体_GBK" w:hAnsi="方正黑体_GBK" w:eastAsia="方正黑体_GBK" w:cs="方正黑体_GBK"/>
          <w:b w:val="0"/>
          <w:bCs w:val="0"/>
          <w:color w:val="auto"/>
          <w:sz w:val="32"/>
          <w:szCs w:val="32"/>
          <w:highlight w:val="none"/>
          <w:lang w:val="en-US" w:eastAsia="zh-CN"/>
        </w:rPr>
        <w:t xml:space="preserve">   无</w:t>
      </w:r>
    </w:p>
    <w:p w14:paraId="73C391C5">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049F1B4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00C593A3">
      <w:pPr>
        <w:keepNext w:val="0"/>
        <w:keepLines w:val="0"/>
        <w:pageBreakBefore w:val="0"/>
        <w:widowControl w:val="0"/>
        <w:kinsoku/>
        <w:wordWrap/>
        <w:overflowPunct/>
        <w:topLinePunct w:val="0"/>
        <w:autoSpaceDE/>
        <w:autoSpaceDN/>
        <w:bidi w:val="0"/>
        <w:adjustRightInd/>
        <w:snapToGrid w:val="0"/>
        <w:spacing w:line="520" w:lineRule="exact"/>
        <w:textAlignment w:val="auto"/>
        <w:rPr>
          <w:rFonts w:hint="default" w:ascii="方正小标宋_GBK" w:hAnsi="方正小标宋_GBK" w:eastAsia="方正小标宋_GBK" w:cs="方正小标宋_GBK"/>
          <w:i w:val="0"/>
          <w:iCs w:val="0"/>
          <w:caps w:val="0"/>
          <w:color w:val="000000"/>
          <w:spacing w:val="0"/>
          <w:kern w:val="0"/>
          <w:sz w:val="24"/>
          <w:szCs w:val="24"/>
          <w:shd w:val="clear" w:fill="FFFFFF"/>
          <w:lang w:val="en-US" w:eastAsia="zh-CN" w:bidi="ar"/>
        </w:rPr>
      </w:pPr>
    </w:p>
    <w:p w14:paraId="2FADEA6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FC2876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1566195">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8E923B0">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1682237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25AD67D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6E71B99">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31B1533">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5DBF319A">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023E51F2">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6B2149C">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4D79768">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57BF9A7">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67F65771">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480" w:lineRule="exact"/>
        <w:ind w:left="0" w:right="0" w:firstLine="0"/>
        <w:jc w:val="both"/>
        <w:textAlignment w:val="auto"/>
        <w:rPr>
          <w:rFonts w:hint="eastAsia" w:ascii="方正小标宋_GBK" w:hAnsi="方正小标宋_GBK" w:eastAsia="方正小标宋_GBK" w:cs="方正小标宋_GBK"/>
          <w:i w:val="0"/>
          <w:iCs w:val="0"/>
          <w:caps w:val="0"/>
          <w:color w:val="000000"/>
          <w:spacing w:val="0"/>
          <w:sz w:val="24"/>
          <w:szCs w:val="24"/>
          <w:shd w:val="clear" w:fill="FFFFFF"/>
          <w:lang w:val="en-US" w:eastAsia="zh-CN"/>
        </w:rPr>
      </w:pPr>
    </w:p>
    <w:p w14:paraId="74A9A785"/>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Times New Roman Regular">
    <w:altName w:val="Times New Roman"/>
    <w:panose1 w:val="02020603050405020304"/>
    <w:charset w:val="00"/>
    <w:family w:val="auto"/>
    <w:pitch w:val="default"/>
    <w:sig w:usb0="00000000" w:usb1="00000000" w:usb2="00000009" w:usb3="00000000" w:csb0="400001FF" w:csb1="FFFF0000"/>
  </w:font>
  <w:font w:name="Noto Music">
    <w:panose1 w:val="020B0502040504020204"/>
    <w:charset w:val="00"/>
    <w:family w:val="auto"/>
    <w:pitch w:val="default"/>
    <w:sig w:usb0="00000003" w:usb1="02006000" w:usb2="01000000" w:usb3="00000000" w:csb0="0000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A4243">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67446">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7F7D92">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CDFA46">
    <w:pPr>
      <w:pStyle w:val="4"/>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CF3A4">
    <w:pPr>
      <w:pStyle w:val="4"/>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869D7">
    <w:pPr>
      <w:pStyle w:val="4"/>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B547C">
    <w:pPr>
      <w:pStyle w:val="4"/>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K9j2DAsAgAAVQQAAA4AAAAAAAAAAQAgAAAANQEAAGRy&#10;cy9lMm9Eb2MueG1sUEsFBgAAAAAGAAYAWQEAANMFAAAAAA==&#10;">
          <v:path/>
          <v:fill on="f" focussize="0,0"/>
          <v:stroke on="f" weight="0.5pt" joinstyle="miter"/>
          <v:imagedata o:title=""/>
          <o:lock v:ext="edit"/>
          <v:textbox inset="0mm,0mm,0mm,0mm" style="mso-fit-shape-to-text:t;">
            <w:txbxContent>
              <w:p w14:paraId="3124E304">
                <w:pPr>
                  <w:pStyle w:val="4"/>
                </w:pPr>
                <w:r>
                  <w:fldChar w:fldCharType="begin"/>
                </w:r>
                <w:r>
                  <w:instrText xml:space="preserve"> PAGE  \* MERGEFORMAT </w:instrText>
                </w:r>
                <w:r>
                  <w:fldChar w:fldCharType="separate"/>
                </w:r>
                <w:r>
                  <w:t>25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470D4B">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D6D78">
    <w:pPr>
      <w:pStyle w:val="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4020E0">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E967D6"/>
    <w:multiLevelType w:val="singleLevel"/>
    <w:tmpl w:val="AFE967D6"/>
    <w:lvl w:ilvl="0" w:tentative="0">
      <w:start w:val="7"/>
      <w:numFmt w:val="decimal"/>
      <w:suff w:val="nothing"/>
      <w:lvlText w:val="%1、"/>
      <w:lvlJc w:val="left"/>
    </w:lvl>
  </w:abstractNum>
  <w:abstractNum w:abstractNumId="1">
    <w:nsid w:val="C9AD1584"/>
    <w:multiLevelType w:val="singleLevel"/>
    <w:tmpl w:val="C9AD1584"/>
    <w:lvl w:ilvl="0" w:tentative="0">
      <w:start w:val="3"/>
      <w:numFmt w:val="decimal"/>
      <w:suff w:val="nothing"/>
      <w:lvlText w:val="%1、"/>
      <w:lvlJc w:val="left"/>
    </w:lvl>
  </w:abstractNum>
  <w:abstractNum w:abstractNumId="2">
    <w:nsid w:val="1595D56D"/>
    <w:multiLevelType w:val="singleLevel"/>
    <w:tmpl w:val="1595D56D"/>
    <w:lvl w:ilvl="0" w:tentative="0">
      <w:start w:val="2"/>
      <w:numFmt w:val="chineseCounting"/>
      <w:suff w:val="nothing"/>
      <w:lvlText w:val="（%1）"/>
      <w:lvlJc w:val="left"/>
      <w:rPr>
        <w:rFonts w:hint="eastAsia"/>
      </w:rPr>
    </w:lvl>
  </w:abstractNum>
  <w:abstractNum w:abstractNumId="3">
    <w:nsid w:val="6B93949A"/>
    <w:multiLevelType w:val="singleLevel"/>
    <w:tmpl w:val="6B93949A"/>
    <w:lvl w:ilvl="0" w:tentative="0">
      <w:start w:val="12"/>
      <w:numFmt w:val="chineseCounting"/>
      <w:suff w:val="nothing"/>
      <w:lvlText w:val="%1、"/>
      <w:lvlJc w:val="left"/>
      <w:rPr>
        <w:rFonts w:hint="eastAsia"/>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70D86"/>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17BA4"/>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85625"/>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842B5"/>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13A92"/>
    <w:rsid w:val="00E37D6C"/>
    <w:rsid w:val="00E55B68"/>
    <w:rsid w:val="00E561AE"/>
    <w:rsid w:val="00E67BE6"/>
    <w:rsid w:val="00E8683C"/>
    <w:rsid w:val="00EA2B72"/>
    <w:rsid w:val="00F74360"/>
    <w:rsid w:val="00FB462F"/>
    <w:rsid w:val="00FE16FA"/>
    <w:rsid w:val="00FE328A"/>
    <w:rsid w:val="00FE6269"/>
    <w:rsid w:val="00FF5CD6"/>
    <w:rsid w:val="01717075"/>
    <w:rsid w:val="02D2188B"/>
    <w:rsid w:val="03BA7438"/>
    <w:rsid w:val="043969A6"/>
    <w:rsid w:val="04F216B3"/>
    <w:rsid w:val="069B602A"/>
    <w:rsid w:val="06BF49EC"/>
    <w:rsid w:val="0D056E3D"/>
    <w:rsid w:val="1116500A"/>
    <w:rsid w:val="1193412C"/>
    <w:rsid w:val="121C256F"/>
    <w:rsid w:val="132F7DA0"/>
    <w:rsid w:val="13C21C06"/>
    <w:rsid w:val="144E5DA2"/>
    <w:rsid w:val="146E56F1"/>
    <w:rsid w:val="16900E36"/>
    <w:rsid w:val="182A0E16"/>
    <w:rsid w:val="1A312930"/>
    <w:rsid w:val="1C0507E4"/>
    <w:rsid w:val="1D596426"/>
    <w:rsid w:val="1D97DEFF"/>
    <w:rsid w:val="1DFF72E5"/>
    <w:rsid w:val="1E642EAE"/>
    <w:rsid w:val="1EFC6F07"/>
    <w:rsid w:val="217355DC"/>
    <w:rsid w:val="27C7632C"/>
    <w:rsid w:val="28706D19"/>
    <w:rsid w:val="2EBA2682"/>
    <w:rsid w:val="2F486E88"/>
    <w:rsid w:val="2FDF85B8"/>
    <w:rsid w:val="2FFFEE04"/>
    <w:rsid w:val="31B91865"/>
    <w:rsid w:val="344623E5"/>
    <w:rsid w:val="344F012B"/>
    <w:rsid w:val="34DF85B0"/>
    <w:rsid w:val="357F234A"/>
    <w:rsid w:val="3783605E"/>
    <w:rsid w:val="39BA153D"/>
    <w:rsid w:val="3A315254"/>
    <w:rsid w:val="3B8F36BC"/>
    <w:rsid w:val="4012098A"/>
    <w:rsid w:val="44EC107E"/>
    <w:rsid w:val="45053741"/>
    <w:rsid w:val="45F428E0"/>
    <w:rsid w:val="491FF225"/>
    <w:rsid w:val="499A6426"/>
    <w:rsid w:val="4BC12E9C"/>
    <w:rsid w:val="4C303F46"/>
    <w:rsid w:val="4FFD214C"/>
    <w:rsid w:val="51A543CB"/>
    <w:rsid w:val="52CF368D"/>
    <w:rsid w:val="533E519B"/>
    <w:rsid w:val="553C2F67"/>
    <w:rsid w:val="55945546"/>
    <w:rsid w:val="55BB6F76"/>
    <w:rsid w:val="56150A21"/>
    <w:rsid w:val="56D7393C"/>
    <w:rsid w:val="5777D4F5"/>
    <w:rsid w:val="59DD8326"/>
    <w:rsid w:val="5C31415E"/>
    <w:rsid w:val="5DEF592A"/>
    <w:rsid w:val="5E7B72A3"/>
    <w:rsid w:val="5EE61080"/>
    <w:rsid w:val="5F1E38EE"/>
    <w:rsid w:val="5FC6BB1E"/>
    <w:rsid w:val="5FF720F1"/>
    <w:rsid w:val="611413BC"/>
    <w:rsid w:val="628A03FC"/>
    <w:rsid w:val="63EF7AD2"/>
    <w:rsid w:val="65102E3B"/>
    <w:rsid w:val="65F972F1"/>
    <w:rsid w:val="67FF5C0B"/>
    <w:rsid w:val="68EF4B15"/>
    <w:rsid w:val="6C520768"/>
    <w:rsid w:val="6CEF77DA"/>
    <w:rsid w:val="6D7E504C"/>
    <w:rsid w:val="6E6B2E90"/>
    <w:rsid w:val="6EDD18B4"/>
    <w:rsid w:val="6EFC0924"/>
    <w:rsid w:val="6FB74722"/>
    <w:rsid w:val="6FEF8B7E"/>
    <w:rsid w:val="6FF3138F"/>
    <w:rsid w:val="70FE448F"/>
    <w:rsid w:val="71A6591B"/>
    <w:rsid w:val="72084E9A"/>
    <w:rsid w:val="737D59BA"/>
    <w:rsid w:val="73B2330F"/>
    <w:rsid w:val="73D94D40"/>
    <w:rsid w:val="74836A59"/>
    <w:rsid w:val="74D57326"/>
    <w:rsid w:val="77C37683"/>
    <w:rsid w:val="77D95F06"/>
    <w:rsid w:val="78B96EEE"/>
    <w:rsid w:val="79D19834"/>
    <w:rsid w:val="79FF515B"/>
    <w:rsid w:val="7BF549BF"/>
    <w:rsid w:val="7C821F38"/>
    <w:rsid w:val="7E9E1962"/>
    <w:rsid w:val="7E9F11B4"/>
    <w:rsid w:val="7F320661"/>
    <w:rsid w:val="7F37EC1E"/>
    <w:rsid w:val="7F7DCD9D"/>
    <w:rsid w:val="7F970A6F"/>
    <w:rsid w:val="7FC1FFF3"/>
    <w:rsid w:val="7FC69637"/>
    <w:rsid w:val="7FDF8620"/>
    <w:rsid w:val="7FE8C8F7"/>
    <w:rsid w:val="7FEE1B73"/>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EF7A7947"/>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unhideWhenUsed/>
    <w:qFormat/>
    <w:uiPriority w:val="99"/>
    <w:pPr>
      <w:widowControl/>
      <w:spacing w:after="120"/>
      <w:ind w:left="420" w:leftChars="200"/>
      <w:jc w:val="left"/>
    </w:pPr>
    <w:rPr>
      <w:rFonts w:ascii="宋体" w:hAnsi="宋体" w:eastAsia="宋体" w:cs="宋体"/>
      <w:kern w:val="0"/>
      <w:sz w:val="24"/>
    </w:rPr>
  </w:style>
  <w:style w:type="paragraph" w:styleId="3">
    <w:name w:val="Balloon Text"/>
    <w:basedOn w:val="1"/>
    <w:link w:val="16"/>
    <w:semiHidden/>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footnote text"/>
    <w:basedOn w:val="1"/>
    <w:next w:val="7"/>
    <w:semiHidden/>
    <w:qFormat/>
    <w:uiPriority w:val="0"/>
    <w:pPr>
      <w:snapToGrid w:val="0"/>
      <w:jc w:val="left"/>
    </w:pPr>
    <w:rPr>
      <w:sz w:val="18"/>
      <w:szCs w:val="18"/>
    </w:rPr>
  </w:style>
  <w:style w:type="paragraph" w:styleId="7">
    <w:name w:val="Body Text First Indent 2"/>
    <w:basedOn w:val="2"/>
    <w:next w:val="1"/>
    <w:unhideWhenUsed/>
    <w:qFormat/>
    <w:uiPriority w:val="99"/>
    <w:pPr>
      <w:ind w:firstLine="420" w:firstLineChars="200"/>
    </w:p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5"/>
    <w:qFormat/>
    <w:uiPriority w:val="99"/>
    <w:rPr>
      <w:sz w:val="18"/>
      <w:szCs w:val="18"/>
    </w:rPr>
  </w:style>
  <w:style w:type="character" w:customStyle="1" w:styleId="13">
    <w:name w:val="页脚 Char"/>
    <w:basedOn w:val="11"/>
    <w:link w:val="4"/>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3"/>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 w:type="paragraph" w:customStyle="1" w:styleId="20">
    <w:name w:val="Body Text First Indent 21"/>
    <w:basedOn w:val="2"/>
    <w:qFormat/>
    <w:uiPriority w:val="0"/>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36</Pages>
  <Words>3929</Words>
  <Characters>4407</Characters>
  <Lines>72</Lines>
  <Paragraphs>20</Paragraphs>
  <TotalTime>10</TotalTime>
  <ScaleCrop>false</ScaleCrop>
  <LinksUpToDate>false</LinksUpToDate>
  <CharactersWithSpaces>4414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2026-09-11T11:11:00Z</dcterms:created>
  <dc:creator>李航 null</dc:creator>
  <cp:lastModifiedBy>A梦</cp:lastModifiedBy>
  <cp:lastPrinted>2026-09-15T10:28:00Z</cp:lastPrinted>
  <dcterms:modified xsi:type="dcterms:W3CDTF">2026-10-12T10:57:12Z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eyJoZGlkIjoiNzQ3YjAxMmE5MjM2MTg1NjM5MjZkZmViMTJkZWY3Y2UiLCJ1c2VySWQiOiI0MTAyODY3OTIifQ==</vt:lpwstr>
  </property>
</Properties>
</file>