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3EC46">
      <w:pPr>
        <w:pStyle w:val="15"/>
        <w:jc w:val="both"/>
        <w:rPr>
          <w:rFonts w:hAnsi="黑体"/>
          <w:sz w:val="36"/>
          <w:szCs w:val="36"/>
        </w:rPr>
      </w:pPr>
      <w:r>
        <w:rPr>
          <w:rFonts w:hint="eastAsia" w:hAnsi="黑体"/>
          <w:sz w:val="36"/>
          <w:szCs w:val="36"/>
        </w:rPr>
        <w:t>附件1</w:t>
      </w:r>
    </w:p>
    <w:p w14:paraId="39664455">
      <w:pPr>
        <w:pStyle w:val="15"/>
        <w:jc w:val="center"/>
        <w:rPr>
          <w:rFonts w:ascii="Times New Roman" w:hAnsi="Times New Roman" w:cs="Times New Roman"/>
          <w:sz w:val="56"/>
          <w:szCs w:val="56"/>
        </w:rPr>
      </w:pPr>
    </w:p>
    <w:p w14:paraId="7A084B5E">
      <w:pPr>
        <w:pStyle w:val="15"/>
        <w:jc w:val="center"/>
        <w:rPr>
          <w:rFonts w:ascii="Times New Roman" w:hAnsi="Times New Roman" w:cs="Times New Roman"/>
          <w:sz w:val="84"/>
          <w:szCs w:val="84"/>
        </w:rPr>
      </w:pPr>
    </w:p>
    <w:p w14:paraId="76E3691A">
      <w:pPr>
        <w:pStyle w:val="15"/>
        <w:jc w:val="center"/>
        <w:rPr>
          <w:rFonts w:ascii="Times New Roman" w:hAnsi="Times New Roman" w:cs="Times New Roman"/>
          <w:sz w:val="84"/>
          <w:szCs w:val="84"/>
        </w:rPr>
      </w:pPr>
    </w:p>
    <w:p w14:paraId="297BF11A">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6055A61">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怀化市不动产登记中心</w:t>
      </w:r>
      <w:r>
        <w:rPr>
          <w:rFonts w:ascii="Times New Roman" w:hAnsi="Times New Roman" w:eastAsia="方正小标宋简体" w:cs="Times New Roman"/>
          <w:sz w:val="72"/>
          <w:szCs w:val="72"/>
        </w:rPr>
        <w:t>部门决算</w:t>
      </w:r>
    </w:p>
    <w:p w14:paraId="06AD9982">
      <w:pPr>
        <w:pStyle w:val="15"/>
        <w:jc w:val="center"/>
        <w:rPr>
          <w:rFonts w:ascii="Times New Roman" w:hAnsi="Times New Roman" w:eastAsia="方正小标宋_GBK" w:cs="Times New Roman"/>
          <w:sz w:val="56"/>
          <w:szCs w:val="56"/>
        </w:rPr>
      </w:pPr>
    </w:p>
    <w:p w14:paraId="376734E2">
      <w:pPr>
        <w:pStyle w:val="15"/>
        <w:jc w:val="center"/>
        <w:rPr>
          <w:rFonts w:ascii="Times New Roman" w:hAnsi="Times New Roman" w:cs="Times New Roman"/>
          <w:sz w:val="56"/>
          <w:szCs w:val="56"/>
        </w:rPr>
      </w:pPr>
    </w:p>
    <w:p w14:paraId="6EE34486">
      <w:pPr>
        <w:pStyle w:val="15"/>
        <w:rPr>
          <w:rFonts w:ascii="Times New Roman" w:hAnsi="Times New Roman" w:cs="Times New Roman"/>
          <w:sz w:val="56"/>
          <w:szCs w:val="56"/>
        </w:rPr>
      </w:pPr>
    </w:p>
    <w:p w14:paraId="552F3CD7">
      <w:pPr>
        <w:pStyle w:val="15"/>
        <w:jc w:val="center"/>
        <w:rPr>
          <w:rFonts w:ascii="Times New Roman" w:hAnsi="Times New Roman" w:cs="Times New Roman"/>
          <w:sz w:val="32"/>
          <w:szCs w:val="32"/>
        </w:rPr>
      </w:pPr>
    </w:p>
    <w:p w14:paraId="423D0294">
      <w:pPr>
        <w:pStyle w:val="15"/>
        <w:jc w:val="center"/>
        <w:rPr>
          <w:rFonts w:ascii="Times New Roman" w:hAnsi="Times New Roman" w:cs="Times New Roman"/>
          <w:sz w:val="32"/>
          <w:szCs w:val="32"/>
        </w:rPr>
      </w:pPr>
    </w:p>
    <w:p w14:paraId="3F5DBC98">
      <w:pPr>
        <w:pStyle w:val="15"/>
        <w:jc w:val="center"/>
        <w:rPr>
          <w:rFonts w:ascii="Times New Roman" w:hAnsi="Times New Roman" w:cs="Times New Roman"/>
          <w:sz w:val="32"/>
          <w:szCs w:val="32"/>
        </w:rPr>
      </w:pPr>
    </w:p>
    <w:p w14:paraId="62D05879">
      <w:pPr>
        <w:pStyle w:val="15"/>
        <w:jc w:val="center"/>
        <w:rPr>
          <w:rFonts w:ascii="Times New Roman" w:hAnsi="Times New Roman" w:cs="Times New Roman"/>
          <w:sz w:val="32"/>
          <w:szCs w:val="32"/>
        </w:rPr>
      </w:pPr>
    </w:p>
    <w:p w14:paraId="25112518">
      <w:pPr>
        <w:pStyle w:val="15"/>
        <w:jc w:val="center"/>
        <w:rPr>
          <w:rFonts w:ascii="Times New Roman" w:hAnsi="Times New Roman" w:cs="Times New Roman"/>
          <w:sz w:val="32"/>
          <w:szCs w:val="32"/>
        </w:rPr>
      </w:pPr>
    </w:p>
    <w:p w14:paraId="407C2069">
      <w:pPr>
        <w:pStyle w:val="15"/>
        <w:jc w:val="center"/>
        <w:rPr>
          <w:rFonts w:ascii="Times New Roman" w:hAnsi="Times New Roman" w:cs="Times New Roman"/>
          <w:sz w:val="32"/>
          <w:szCs w:val="32"/>
        </w:rPr>
      </w:pPr>
    </w:p>
    <w:p w14:paraId="4BFED840">
      <w:pPr>
        <w:pStyle w:val="15"/>
        <w:spacing w:line="540" w:lineRule="exact"/>
        <w:jc w:val="center"/>
        <w:rPr>
          <w:rFonts w:ascii="Times New Roman" w:hAnsi="Times New Roman" w:cs="Times New Roman"/>
          <w:sz w:val="56"/>
          <w:szCs w:val="56"/>
        </w:rPr>
      </w:pPr>
    </w:p>
    <w:p w14:paraId="611A938E">
      <w:pPr>
        <w:rPr>
          <w:rFonts w:ascii="Times New Roman" w:hAnsi="Times New Roman" w:cs="Times New Roman"/>
          <w:b/>
          <w:sz w:val="36"/>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7" w:right="1588" w:bottom="1417" w:left="1588" w:header="851" w:footer="992" w:gutter="0"/>
          <w:cols w:space="425" w:num="1"/>
          <w:docGrid w:type="lines" w:linePitch="312" w:charSpace="0"/>
        </w:sectPr>
      </w:pPr>
    </w:p>
    <w:p w14:paraId="59F87668">
      <w:pPr>
        <w:pStyle w:val="15"/>
        <w:spacing w:line="600" w:lineRule="exact"/>
        <w:jc w:val="both"/>
        <w:rPr>
          <w:rFonts w:ascii="Times New Roman" w:hAnsi="Times New Roman" w:cs="Times New Roman"/>
          <w:b/>
          <w:sz w:val="36"/>
          <w:szCs w:val="28"/>
        </w:rPr>
        <w:sectPr>
          <w:footerReference r:id="rId9" w:type="default"/>
          <w:pgSz w:w="11906" w:h="16838"/>
          <w:pgMar w:top="1417" w:right="1588" w:bottom="1417" w:left="1588" w:header="851" w:footer="992" w:gutter="0"/>
          <w:pgNumType w:start="1"/>
          <w:cols w:space="425" w:num="1"/>
          <w:docGrid w:type="lines" w:linePitch="312" w:charSpace="0"/>
        </w:sectPr>
      </w:pPr>
    </w:p>
    <w:p w14:paraId="2DBA0624">
      <w:pPr>
        <w:pStyle w:val="15"/>
        <w:spacing w:line="600" w:lineRule="exact"/>
        <w:jc w:val="both"/>
        <w:rPr>
          <w:rFonts w:ascii="Times New Roman" w:hAnsi="Times New Roman" w:cs="Times New Roman"/>
          <w:b/>
          <w:sz w:val="36"/>
          <w:szCs w:val="28"/>
        </w:rPr>
      </w:pPr>
    </w:p>
    <w:p w14:paraId="4370BD1E">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B6438A1">
      <w:pPr>
        <w:pStyle w:val="15"/>
        <w:spacing w:line="600" w:lineRule="exact"/>
        <w:jc w:val="center"/>
        <w:rPr>
          <w:rFonts w:ascii="Times New Roman" w:hAnsi="Times New Roman" w:cs="Times New Roman"/>
          <w:b/>
          <w:sz w:val="36"/>
          <w:szCs w:val="28"/>
        </w:rPr>
      </w:pPr>
    </w:p>
    <w:p w14:paraId="390A61DE">
      <w:pPr>
        <w:pStyle w:val="15"/>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怀化市不动产登记中心</w:t>
      </w:r>
      <w:r>
        <w:rPr>
          <w:rFonts w:ascii="Times New Roman" w:hAnsi="Times New Roman" w:cs="Times New Roman"/>
          <w:bCs/>
          <w:sz w:val="32"/>
          <w:szCs w:val="32"/>
        </w:rPr>
        <w:t>概况</w:t>
      </w:r>
    </w:p>
    <w:p w14:paraId="0BD4769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7EE7A8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B1DBD11">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A299FE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00C066A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DC9AE9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A4455C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A7D5C5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021211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C6C8C1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CE4F21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1DAC55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97E81CA">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83927F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16E9A2E">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458EBE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0FA18F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DF48D4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5DF7AF3">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10" w:type="default"/>
          <w:pgSz w:w="11906" w:h="16838"/>
          <w:pgMar w:top="1417" w:right="1588" w:bottom="1417" w:left="1588" w:header="851" w:footer="992" w:gutter="0"/>
          <w:pgNumType w:start="1"/>
          <w:cols w:space="425" w:num="1"/>
          <w:docGrid w:type="lines" w:linePitch="312" w:charSpace="0"/>
        </w:sectPr>
      </w:pPr>
    </w:p>
    <w:p w14:paraId="145667E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F45363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37B1C1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E2B3B8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545198C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0EF1FA0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785FAAC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782682F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8FE05AC">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4731632">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CE99647">
      <w:pPr>
        <w:pStyle w:val="15"/>
        <w:spacing w:line="600" w:lineRule="exact"/>
        <w:rPr>
          <w:rFonts w:ascii="Times New Roman" w:hAnsi="Times New Roman" w:cs="Times New Roman"/>
          <w:bCs/>
          <w:sz w:val="28"/>
          <w:szCs w:val="28"/>
        </w:rPr>
      </w:pPr>
    </w:p>
    <w:p w14:paraId="487DEA44">
      <w:pPr>
        <w:jc w:val="center"/>
        <w:rPr>
          <w:rFonts w:ascii="Times New Roman" w:hAnsi="Times New Roman" w:cs="Times New Roman"/>
          <w:sz w:val="72"/>
          <w:szCs w:val="72"/>
        </w:rPr>
      </w:pPr>
    </w:p>
    <w:p w14:paraId="21D97DD2">
      <w:pPr>
        <w:jc w:val="center"/>
        <w:rPr>
          <w:rFonts w:ascii="Times New Roman" w:hAnsi="Times New Roman" w:cs="Times New Roman"/>
          <w:sz w:val="72"/>
          <w:szCs w:val="72"/>
        </w:rPr>
      </w:pPr>
    </w:p>
    <w:p w14:paraId="2340B28A">
      <w:pPr>
        <w:jc w:val="center"/>
        <w:rPr>
          <w:rFonts w:ascii="Times New Roman" w:hAnsi="Times New Roman" w:cs="Times New Roman"/>
          <w:sz w:val="72"/>
          <w:szCs w:val="72"/>
        </w:rPr>
      </w:pPr>
    </w:p>
    <w:p w14:paraId="5469B00A">
      <w:pPr>
        <w:pStyle w:val="7"/>
        <w:rPr>
          <w:rFonts w:ascii="Times New Roman" w:hAnsi="Times New Roman" w:cs="Times New Roman"/>
        </w:rPr>
        <w:sectPr>
          <w:footerReference r:id="rId11" w:type="default"/>
          <w:pgSz w:w="11906" w:h="16838"/>
          <w:pgMar w:top="1417" w:right="1588" w:bottom="1417" w:left="1588" w:header="851" w:footer="992" w:gutter="0"/>
          <w:pgNumType w:start="1"/>
          <w:cols w:space="425" w:num="1"/>
          <w:docGrid w:type="lines" w:linePitch="312" w:charSpace="0"/>
        </w:sectPr>
      </w:pPr>
    </w:p>
    <w:p w14:paraId="305F8136">
      <w:pPr>
        <w:rPr>
          <w:rFonts w:ascii="Times New Roman" w:hAnsi="Times New Roman" w:eastAsia="方正小标宋_GBK" w:cs="Times New Roman"/>
          <w:sz w:val="72"/>
          <w:szCs w:val="72"/>
        </w:rPr>
      </w:pPr>
    </w:p>
    <w:p w14:paraId="4C9F669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C24D2AF">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怀化市不动产登记中心</w:t>
      </w:r>
      <w:r>
        <w:rPr>
          <w:rFonts w:ascii="Times New Roman" w:hAnsi="Times New Roman" w:eastAsia="方正小标宋_GBK" w:cs="Times New Roman"/>
          <w:sz w:val="52"/>
          <w:szCs w:val="52"/>
        </w:rPr>
        <w:t>概况</w:t>
      </w:r>
    </w:p>
    <w:p w14:paraId="54A0571C">
      <w:pPr>
        <w:pStyle w:val="8"/>
        <w:ind w:left="0" w:leftChars="0" w:firstLine="0" w:firstLineChars="0"/>
        <w:rPr>
          <w:rFonts w:ascii="Times New Roman" w:hAnsi="Times New Roman" w:cs="Times New Roman"/>
        </w:rPr>
      </w:pPr>
    </w:p>
    <w:p w14:paraId="41010D7A">
      <w:pPr>
        <w:pStyle w:val="16"/>
        <w:numPr>
          <w:ilvl w:val="0"/>
          <w:numId w:val="1"/>
        </w:numPr>
        <w:spacing w:line="600" w:lineRule="exact"/>
        <w:ind w:firstLine="0"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t>部门职责</w:t>
      </w:r>
    </w:p>
    <w:p w14:paraId="38229ED9">
      <w:pPr>
        <w:ind w:firstLine="640" w:firstLineChars="200"/>
        <w:rPr>
          <w:rFonts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根据湖南省机构编制委员会办公室《关于怀化市不动产登记中心机构编制事项的批复》（湘编办复字{2016}32号）和《怀化市机构编制委员会关于明确怀化市不动产登记中心机构规格的通知》（怀编{2016}29号）精神，怀化市不动产登记中心为市自然资源和规划局管理的副处级公益一类事业单位。</w:t>
      </w:r>
    </w:p>
    <w:p w14:paraId="50B5B803">
      <w:pPr>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主要职责包括：</w:t>
      </w:r>
    </w:p>
    <w:p w14:paraId="044B1AC9">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1、依法统一受理和办理鹤城区行政区划范围内不动产权利登记事务。</w:t>
      </w:r>
    </w:p>
    <w:p w14:paraId="5DF28538">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2、承担有关不动产登记权籍调查、统计分析、监测利用工作；协助市自然资源和规划局做好不动产权籍管理和因不动产登记引起的不动产权属争议、纠纷调处工作。</w:t>
      </w:r>
    </w:p>
    <w:p w14:paraId="7B22E952">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3、负责有关不动产登记档案的归档、管理工作；依法提供不动产登记资料社会查询、咨询服务；协助市自然资源和规划局建立统一的不动产登记管理信息平台，推进不动产登记有关信息互通共享。</w:t>
      </w:r>
    </w:p>
    <w:p w14:paraId="28F7D20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4、承担市自然资源和规划局交办的其他事项。</w:t>
      </w:r>
    </w:p>
    <w:p w14:paraId="1FBADA82">
      <w:pPr>
        <w:pStyle w:val="16"/>
        <w:numPr>
          <w:ilvl w:val="0"/>
          <w:numId w:val="0"/>
        </w:numPr>
        <w:spacing w:line="600" w:lineRule="exact"/>
        <w:jc w:val="left"/>
        <w:rPr>
          <w:rFonts w:ascii="Times New Roman" w:hAnsi="Times New Roman" w:eastAsia="黑体" w:cs="Times New Roman"/>
          <w:sz w:val="32"/>
          <w:szCs w:val="32"/>
        </w:rPr>
      </w:pPr>
    </w:p>
    <w:p w14:paraId="300F4C94">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D1A751B">
      <w:pPr>
        <w:spacing w:line="600" w:lineRule="exact"/>
        <w:ind w:firstLine="643" w:firstLineChars="200"/>
        <w:rPr>
          <w:rFonts w:ascii="仿宋" w:hAnsi="仿宋" w:eastAsia="仿宋" w:cs="仿宋"/>
          <w:b/>
          <w:sz w:val="32"/>
          <w:szCs w:val="32"/>
          <w:lang w:eastAsia="zh-CN"/>
        </w:rPr>
      </w:pPr>
      <w:r>
        <w:rPr>
          <w:rFonts w:hint="eastAsia" w:ascii="仿宋" w:hAnsi="仿宋" w:eastAsia="仿宋" w:cs="仿宋"/>
          <w:b/>
          <w:sz w:val="32"/>
          <w:szCs w:val="32"/>
          <w:lang w:eastAsia="zh-CN"/>
        </w:rPr>
        <w:t>（一）内设机构设置。</w:t>
      </w:r>
    </w:p>
    <w:p w14:paraId="4A6E008D">
      <w:pPr>
        <w:spacing w:line="600" w:lineRule="exact"/>
        <w:ind w:firstLine="640" w:firstLineChars="200"/>
        <w:rPr>
          <w:rFonts w:ascii="仿宋" w:hAnsi="仿宋" w:eastAsia="仿宋" w:cs="仿宋"/>
          <w:bCs/>
          <w:sz w:val="32"/>
          <w:szCs w:val="32"/>
          <w:lang w:eastAsia="zh-CN"/>
        </w:rPr>
      </w:pPr>
      <w:r>
        <w:rPr>
          <w:rFonts w:hint="eastAsia" w:ascii="仿宋" w:hAnsi="仿宋" w:eastAsia="仿宋" w:cs="仿宋"/>
          <w:bCs/>
          <w:sz w:val="32"/>
          <w:szCs w:val="32"/>
          <w:lang w:eastAsia="zh-CN"/>
        </w:rPr>
        <w:t>怀化市不动产登记中心内设科室为：办公室、财务室、法规室、权籍调查室（纠纷调处室）、测绘服务室、档案信息室。</w:t>
      </w:r>
    </w:p>
    <w:p w14:paraId="64421800">
      <w:pPr>
        <w:spacing w:line="600" w:lineRule="exact"/>
        <w:ind w:firstLine="643" w:firstLineChars="200"/>
        <w:rPr>
          <w:rFonts w:ascii="仿宋" w:hAnsi="仿宋" w:eastAsia="仿宋" w:cs="仿宋"/>
          <w:b/>
          <w:sz w:val="32"/>
          <w:szCs w:val="32"/>
          <w:lang w:eastAsia="zh-CN"/>
        </w:rPr>
      </w:pPr>
      <w:r>
        <w:rPr>
          <w:rFonts w:hint="eastAsia" w:ascii="仿宋" w:hAnsi="仿宋" w:eastAsia="仿宋" w:cs="仿宋"/>
          <w:b/>
          <w:sz w:val="32"/>
          <w:szCs w:val="32"/>
          <w:lang w:eastAsia="zh-CN"/>
        </w:rPr>
        <w:t>（二）决算单位构成。</w:t>
      </w:r>
    </w:p>
    <w:p w14:paraId="04F6C18D">
      <w:pPr>
        <w:spacing w:line="600" w:lineRule="exact"/>
        <w:ind w:firstLine="640" w:firstLineChars="200"/>
        <w:rPr>
          <w:rFonts w:ascii="仿宋" w:hAnsi="仿宋" w:eastAsia="仿宋" w:cs="仿宋"/>
          <w:bCs/>
          <w:sz w:val="32"/>
          <w:szCs w:val="32"/>
          <w:lang w:eastAsia="zh-CN"/>
        </w:rPr>
      </w:pPr>
      <w:r>
        <w:rPr>
          <w:rFonts w:hint="eastAsia" w:ascii="仿宋" w:hAnsi="仿宋" w:eastAsia="仿宋" w:cs="仿宋"/>
          <w:bCs/>
          <w:sz w:val="32"/>
          <w:szCs w:val="32"/>
          <w:lang w:eastAsia="zh-CN"/>
        </w:rPr>
        <w:t>怀化市不动产登记中心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仿宋" w:hAnsi="仿宋" w:eastAsia="仿宋" w:cs="仿宋"/>
          <w:bCs/>
          <w:sz w:val="32"/>
          <w:szCs w:val="32"/>
          <w:lang w:eastAsia="zh-CN"/>
        </w:rPr>
        <w:t>怀化市不动产登记中心本级。</w:t>
      </w:r>
    </w:p>
    <w:p w14:paraId="20AC5E76">
      <w:pPr>
        <w:jc w:val="left"/>
        <w:rPr>
          <w:rFonts w:ascii="Times New Roman" w:hAnsi="Times New Roman" w:eastAsia="仿宋_GB2312" w:cs="Times New Roman"/>
          <w:sz w:val="28"/>
          <w:szCs w:val="32"/>
        </w:rPr>
      </w:pPr>
    </w:p>
    <w:p w14:paraId="7F6BE35F">
      <w:pPr>
        <w:jc w:val="center"/>
        <w:rPr>
          <w:rFonts w:ascii="Times New Roman" w:hAnsi="Times New Roman" w:eastAsia="黑体" w:cs="Times New Roman"/>
          <w:sz w:val="28"/>
          <w:szCs w:val="28"/>
        </w:rPr>
      </w:pPr>
    </w:p>
    <w:p w14:paraId="1AEADCC0">
      <w:pPr>
        <w:jc w:val="center"/>
        <w:rPr>
          <w:rFonts w:ascii="Times New Roman" w:hAnsi="Times New Roman" w:eastAsia="黑体" w:cs="Times New Roman"/>
          <w:sz w:val="28"/>
          <w:szCs w:val="28"/>
        </w:rPr>
      </w:pPr>
    </w:p>
    <w:p w14:paraId="331F6D61">
      <w:pPr>
        <w:jc w:val="center"/>
        <w:rPr>
          <w:rFonts w:ascii="Times New Roman" w:hAnsi="Times New Roman" w:eastAsia="黑体" w:cs="Times New Roman"/>
          <w:sz w:val="28"/>
          <w:szCs w:val="28"/>
        </w:rPr>
      </w:pPr>
    </w:p>
    <w:p w14:paraId="3AE70421">
      <w:pPr>
        <w:jc w:val="center"/>
        <w:rPr>
          <w:rFonts w:ascii="Times New Roman" w:hAnsi="Times New Roman" w:eastAsia="黑体" w:cs="Times New Roman"/>
          <w:sz w:val="28"/>
          <w:szCs w:val="28"/>
        </w:rPr>
      </w:pPr>
    </w:p>
    <w:p w14:paraId="0005C74E">
      <w:pPr>
        <w:jc w:val="center"/>
        <w:rPr>
          <w:rFonts w:ascii="Times New Roman" w:hAnsi="Times New Roman" w:eastAsia="黑体" w:cs="Times New Roman"/>
          <w:sz w:val="28"/>
          <w:szCs w:val="28"/>
        </w:rPr>
      </w:pPr>
    </w:p>
    <w:p w14:paraId="5CBD56AB">
      <w:pPr>
        <w:pStyle w:val="7"/>
        <w:rPr>
          <w:rFonts w:ascii="Times New Roman" w:hAnsi="Times New Roman" w:cs="Times New Roman"/>
        </w:rPr>
        <w:sectPr>
          <w:footerReference r:id="rId12" w:type="default"/>
          <w:pgSz w:w="11906" w:h="16838"/>
          <w:pgMar w:top="1417" w:right="1588" w:bottom="1417" w:left="1588" w:header="851" w:footer="992" w:gutter="0"/>
          <w:pgNumType w:start="1"/>
          <w:cols w:space="425" w:num="1"/>
          <w:docGrid w:type="lines" w:linePitch="312" w:charSpace="0"/>
        </w:sectPr>
      </w:pPr>
    </w:p>
    <w:p w14:paraId="25BE79D5">
      <w:pPr>
        <w:pStyle w:val="15"/>
        <w:jc w:val="center"/>
        <w:rPr>
          <w:rFonts w:hint="eastAsia" w:ascii="方正小标宋_GBK" w:hAnsi="方正小标宋_GBK" w:eastAsia="方正小标宋_GBK" w:cs="方正小标宋_GBK"/>
          <w:sz w:val="84"/>
          <w:szCs w:val="84"/>
        </w:rPr>
      </w:pPr>
    </w:p>
    <w:p w14:paraId="5900851A">
      <w:pPr>
        <w:pStyle w:val="15"/>
        <w:jc w:val="center"/>
        <w:rPr>
          <w:rFonts w:hint="eastAsia" w:ascii="方正小标宋_GBK" w:hAnsi="方正小标宋_GBK" w:eastAsia="方正小标宋_GBK" w:cs="方正小标宋_GBK"/>
          <w:sz w:val="84"/>
          <w:szCs w:val="84"/>
        </w:rPr>
      </w:pPr>
    </w:p>
    <w:p w14:paraId="7157C060">
      <w:pPr>
        <w:pStyle w:val="15"/>
        <w:jc w:val="center"/>
        <w:rPr>
          <w:rFonts w:hint="eastAsia" w:ascii="方正小标宋_GBK" w:hAnsi="方正小标宋_GBK" w:eastAsia="方正小标宋_GBK" w:cs="方正小标宋_GBK"/>
          <w:sz w:val="84"/>
          <w:szCs w:val="84"/>
        </w:rPr>
      </w:pPr>
    </w:p>
    <w:p w14:paraId="1617286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CE64BDA">
      <w:pPr>
        <w:pStyle w:val="15"/>
        <w:jc w:val="center"/>
        <w:rPr>
          <w:rFonts w:hint="eastAsia" w:ascii="方正小标宋_GBK" w:hAnsi="方正小标宋_GBK" w:eastAsia="方正小标宋_GBK" w:cs="方正小标宋_GBK"/>
          <w:sz w:val="84"/>
          <w:szCs w:val="84"/>
        </w:rPr>
      </w:pPr>
    </w:p>
    <w:p w14:paraId="30A090B4">
      <w:pPr>
        <w:jc w:val="center"/>
        <w:rPr>
          <w:rFonts w:hint="eastAsia" w:eastAsiaTheme="minorEastAsia"/>
          <w:sz w:val="72"/>
          <w:szCs w:val="72"/>
          <w:lang w:eastAsia="zh-CN"/>
        </w:rPr>
      </w:pPr>
      <w:r>
        <w:rPr>
          <w:rFonts w:hint="eastAsia" w:ascii="宋体" w:hAnsi="宋体" w:eastAsia="宋体" w:cs="宋体"/>
          <w:sz w:val="48"/>
          <w:szCs w:val="48"/>
          <w:lang w:eastAsia="zh-CN"/>
        </w:rPr>
        <w:t>见附件</w:t>
      </w:r>
    </w:p>
    <w:p w14:paraId="03EA9261">
      <w:pPr>
        <w:jc w:val="center"/>
        <w:rPr>
          <w:sz w:val="72"/>
          <w:szCs w:val="72"/>
        </w:rPr>
      </w:pPr>
    </w:p>
    <w:p w14:paraId="3F151B37">
      <w:pPr>
        <w:jc w:val="center"/>
        <w:rPr>
          <w:sz w:val="72"/>
          <w:szCs w:val="72"/>
        </w:rPr>
      </w:pPr>
    </w:p>
    <w:p w14:paraId="35FAC8CA">
      <w:pPr>
        <w:pStyle w:val="15"/>
        <w:rPr>
          <w:rFonts w:ascii="Times New Roman" w:hAnsi="Times New Roman" w:cs="Times New Roman"/>
          <w:sz w:val="72"/>
          <w:szCs w:val="72"/>
        </w:rPr>
      </w:pPr>
    </w:p>
    <w:p w14:paraId="030AE146">
      <w:pPr>
        <w:pStyle w:val="15"/>
        <w:rPr>
          <w:rFonts w:ascii="Times New Roman" w:hAnsi="Times New Roman" w:cs="Times New Roman"/>
          <w:sz w:val="72"/>
          <w:szCs w:val="72"/>
        </w:rPr>
      </w:pPr>
    </w:p>
    <w:p w14:paraId="2950516F">
      <w:pPr>
        <w:pStyle w:val="15"/>
        <w:jc w:val="center"/>
        <w:rPr>
          <w:rFonts w:ascii="Times New Roman" w:hAnsi="Times New Roman" w:cs="Times New Roman"/>
          <w:sz w:val="72"/>
          <w:szCs w:val="72"/>
        </w:rPr>
      </w:pPr>
    </w:p>
    <w:p w14:paraId="38FF0956">
      <w:pPr>
        <w:pStyle w:val="15"/>
        <w:jc w:val="center"/>
        <w:rPr>
          <w:rFonts w:ascii="Times New Roman" w:hAnsi="Times New Roman" w:eastAsia="方正小标宋_GBK" w:cs="Times New Roman"/>
          <w:sz w:val="72"/>
          <w:szCs w:val="72"/>
        </w:rPr>
      </w:pPr>
    </w:p>
    <w:p w14:paraId="45D3537F">
      <w:pPr>
        <w:pStyle w:val="15"/>
        <w:spacing w:line="360" w:lineRule="auto"/>
        <w:jc w:val="center"/>
        <w:rPr>
          <w:rFonts w:ascii="Times New Roman" w:hAnsi="Times New Roman" w:eastAsia="方正小标宋_GBK" w:cs="Times New Roman"/>
          <w:sz w:val="52"/>
          <w:szCs w:val="52"/>
        </w:rPr>
      </w:pPr>
    </w:p>
    <w:p w14:paraId="1CED05D3">
      <w:pPr>
        <w:pStyle w:val="15"/>
        <w:spacing w:line="360" w:lineRule="auto"/>
        <w:jc w:val="center"/>
        <w:rPr>
          <w:rFonts w:ascii="Times New Roman" w:hAnsi="Times New Roman" w:eastAsia="方正小标宋_GBK" w:cs="Times New Roman"/>
          <w:sz w:val="52"/>
          <w:szCs w:val="52"/>
        </w:rPr>
      </w:pPr>
    </w:p>
    <w:p w14:paraId="6F2B0D07">
      <w:pPr>
        <w:pStyle w:val="15"/>
        <w:spacing w:line="360" w:lineRule="auto"/>
        <w:jc w:val="center"/>
        <w:rPr>
          <w:rFonts w:ascii="Times New Roman" w:hAnsi="Times New Roman" w:eastAsia="方正小标宋_GBK" w:cs="Times New Roman"/>
          <w:sz w:val="52"/>
          <w:szCs w:val="52"/>
        </w:rPr>
      </w:pPr>
    </w:p>
    <w:p w14:paraId="5012D3D1">
      <w:pPr>
        <w:pStyle w:val="15"/>
        <w:spacing w:line="360" w:lineRule="auto"/>
        <w:jc w:val="center"/>
        <w:rPr>
          <w:rFonts w:ascii="Times New Roman" w:hAnsi="Times New Roman" w:eastAsia="方正小标宋_GBK" w:cs="Times New Roman"/>
          <w:sz w:val="52"/>
          <w:szCs w:val="52"/>
        </w:rPr>
      </w:pPr>
    </w:p>
    <w:p w14:paraId="25FF4FDA">
      <w:pPr>
        <w:pStyle w:val="15"/>
        <w:spacing w:line="360" w:lineRule="auto"/>
        <w:jc w:val="center"/>
        <w:rPr>
          <w:rFonts w:ascii="Times New Roman" w:hAnsi="Times New Roman" w:eastAsia="方正小标宋_GBK" w:cs="Times New Roman"/>
          <w:sz w:val="52"/>
          <w:szCs w:val="52"/>
        </w:rPr>
      </w:pPr>
    </w:p>
    <w:p w14:paraId="54EEA118">
      <w:pPr>
        <w:pStyle w:val="15"/>
        <w:spacing w:line="360" w:lineRule="auto"/>
        <w:jc w:val="center"/>
        <w:rPr>
          <w:rFonts w:ascii="Times New Roman" w:hAnsi="Times New Roman" w:eastAsia="方正小标宋_GBK" w:cs="Times New Roman"/>
          <w:sz w:val="52"/>
          <w:szCs w:val="52"/>
        </w:rPr>
      </w:pPr>
    </w:p>
    <w:p w14:paraId="2EB74243">
      <w:pPr>
        <w:pStyle w:val="15"/>
        <w:spacing w:line="360" w:lineRule="auto"/>
        <w:jc w:val="center"/>
        <w:rPr>
          <w:rFonts w:ascii="Times New Roman" w:hAnsi="Times New Roman" w:eastAsia="方正小标宋_GBK" w:cs="Times New Roman"/>
          <w:sz w:val="52"/>
          <w:szCs w:val="52"/>
        </w:rPr>
      </w:pPr>
    </w:p>
    <w:p w14:paraId="1B89D916">
      <w:pPr>
        <w:pStyle w:val="15"/>
        <w:spacing w:line="360" w:lineRule="auto"/>
        <w:jc w:val="center"/>
        <w:rPr>
          <w:rFonts w:ascii="Times New Roman" w:hAnsi="Times New Roman" w:eastAsia="方正小标宋_GBK" w:cs="Times New Roman"/>
          <w:sz w:val="52"/>
          <w:szCs w:val="52"/>
        </w:rPr>
      </w:pPr>
    </w:p>
    <w:p w14:paraId="60569B1E">
      <w:pPr>
        <w:pStyle w:val="15"/>
        <w:spacing w:line="360" w:lineRule="auto"/>
        <w:ind w:firstLine="3640" w:firstLineChars="7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548AC6B">
      <w:pPr>
        <w:pStyle w:val="15"/>
        <w:spacing w:line="360" w:lineRule="auto"/>
        <w:jc w:val="center"/>
        <w:rPr>
          <w:rFonts w:ascii="Times New Roman" w:hAnsi="Times New Roman" w:eastAsia="方正小标宋_GBK" w:cs="Times New Roman"/>
          <w:sz w:val="52"/>
          <w:szCs w:val="52"/>
        </w:rPr>
      </w:pPr>
    </w:p>
    <w:p w14:paraId="670A7132">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04E6F50">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3CCCC8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4FC56C4">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2060.78</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55.26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严格执行开支标准，厉行节约。</w:t>
      </w:r>
    </w:p>
    <w:p w14:paraId="7115D33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E59404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2060.78</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1792.91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87</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267.88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49C63D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86F344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2060.78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1890.92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91.76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169.86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A2BD49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AE279FA">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1792.91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9.37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0.53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工资的调整。</w:t>
      </w:r>
    </w:p>
    <w:p w14:paraId="5C13EF1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385C4C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C242C6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1757.46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85.28</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203.72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13.11</w:t>
      </w:r>
      <w:r>
        <w:rPr>
          <w:rFonts w:ascii="Times New Roman" w:hAnsi="Times New Roman" w:eastAsia="仿宋_GB2312" w:cs="Times New Roman"/>
          <w:sz w:val="32"/>
          <w:szCs w:val="32"/>
        </w:rPr>
        <w:t>%，</w:t>
      </w:r>
      <w:r>
        <w:rPr>
          <w:rFonts w:hint="eastAsia" w:ascii="Times New Roman" w:hAnsi="Times New Roman" w:eastAsia="仿宋_GB2312"/>
          <w:sz w:val="32"/>
          <w:szCs w:val="32"/>
        </w:rPr>
        <w:t>主要是因为职工工资及五险一金正常调整</w:t>
      </w:r>
      <w:r>
        <w:rPr>
          <w:rFonts w:hint="eastAsia" w:ascii="Times New Roman" w:hAnsi="Times New Roman" w:eastAsia="仿宋_GB2312"/>
          <w:sz w:val="32"/>
          <w:szCs w:val="32"/>
          <w:lang w:eastAsia="zh-CN"/>
        </w:rPr>
        <w:t>。</w:t>
      </w:r>
    </w:p>
    <w:p w14:paraId="77147EF0">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86268BF">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1757.46</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406.48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23.13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26.42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卫生健康（类）支出</w:t>
      </w:r>
      <w:r>
        <w:rPr>
          <w:rFonts w:hint="eastAsia" w:ascii="Times New Roman" w:hAnsi="Times New Roman" w:eastAsia="仿宋_GB2312" w:cs="Times New Roman"/>
          <w:sz w:val="32"/>
          <w:szCs w:val="32"/>
          <w:lang w:val="en-US" w:eastAsia="zh-CN"/>
        </w:rPr>
        <w:t>15.2万元，占0.86%；其他城乡社区支出855.95万元，占48.7%；自然资源海洋气象等支出408.37万元，占23.24%；其他支出45.04万元，占2.56%。</w:t>
      </w:r>
    </w:p>
    <w:p w14:paraId="40215EA8">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6D8AED6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1792.43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1757.46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98.5</w:t>
      </w:r>
      <w:r>
        <w:rPr>
          <w:rFonts w:ascii="Times New Roman" w:hAnsi="Times New Roman" w:eastAsia="仿宋_GB2312" w:cs="Times New Roman"/>
          <w:sz w:val="32"/>
          <w:szCs w:val="32"/>
        </w:rPr>
        <w:t>%，其中：</w:t>
      </w:r>
    </w:p>
    <w:p w14:paraId="5B43F9B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lang w:eastAsia="zh-CN"/>
        </w:rPr>
        <w:t>人大事务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行政运行</w:t>
      </w:r>
      <w:r>
        <w:rPr>
          <w:rFonts w:ascii="Times New Roman" w:hAnsi="Times New Roman" w:eastAsia="仿宋_GB2312" w:cs="Times New Roman"/>
          <w:sz w:val="32"/>
          <w:szCs w:val="32"/>
        </w:rPr>
        <w:t>（项）。</w:t>
      </w:r>
    </w:p>
    <w:p w14:paraId="3E84DABA">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5.32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5.32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w:t>
      </w:r>
    </w:p>
    <w:p w14:paraId="5F2A0EC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lang w:eastAsia="zh-CN"/>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其他一般公共服务支出</w:t>
      </w:r>
      <w:r>
        <w:rPr>
          <w:rFonts w:ascii="Times New Roman" w:hAnsi="Times New Roman" w:eastAsia="仿宋_GB2312" w:cs="Times New Roman"/>
          <w:sz w:val="32"/>
          <w:szCs w:val="32"/>
        </w:rPr>
        <w:t>（项）。</w:t>
      </w:r>
    </w:p>
    <w:p w14:paraId="104A2782">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426.16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401.16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94.13</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严格按照财政支出标准，例行节约。</w:t>
      </w:r>
    </w:p>
    <w:p w14:paraId="34899398">
      <w:pPr>
        <w:pStyle w:val="15"/>
        <w:numPr>
          <w:ilvl w:val="0"/>
          <w:numId w:val="2"/>
        </w:numPr>
        <w:spacing w:line="600" w:lineRule="exact"/>
        <w:ind w:left="0" w:leftChars="0"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社会保障和就业支出（类）行政事业单位养老支出（款）机关事业单位基本养老保险缴费支出（项）。</w:t>
      </w:r>
    </w:p>
    <w:p w14:paraId="6A6E2DD9">
      <w:pPr>
        <w:pStyle w:val="15"/>
        <w:numPr>
          <w:ilvl w:val="0"/>
          <w:numId w:val="0"/>
        </w:numPr>
        <w:spacing w:line="600" w:lineRule="exact"/>
        <w:ind w:leftChars="250" w:firstLine="320" w:firstLineChars="1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年初预算22.78万元，支出决算22.77万元，完成年初预算的100%，决算数等于年初预算数</w:t>
      </w:r>
      <w:r>
        <w:rPr>
          <w:rFonts w:hint="eastAsia" w:ascii="Times New Roman" w:hAnsi="Times New Roman" w:eastAsia="仿宋_GB2312"/>
          <w:sz w:val="32"/>
          <w:szCs w:val="32"/>
          <w:lang w:eastAsia="zh-CN"/>
        </w:rPr>
        <w:t>。</w:t>
      </w:r>
    </w:p>
    <w:p w14:paraId="60DE1ABA">
      <w:pPr>
        <w:pStyle w:val="15"/>
        <w:numPr>
          <w:ilvl w:val="0"/>
          <w:numId w:val="2"/>
        </w:numPr>
        <w:spacing w:line="600" w:lineRule="exact"/>
        <w:ind w:left="0" w:leftChars="0"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w:t>
      </w:r>
      <w:r>
        <w:rPr>
          <w:rFonts w:hint="eastAsia" w:ascii="Times New Roman" w:hAnsi="Times New Roman" w:eastAsia="仿宋_GB2312"/>
          <w:sz w:val="32"/>
          <w:szCs w:val="32"/>
          <w:lang w:eastAsia="zh-CN"/>
        </w:rPr>
        <w:t>行政单位离退休</w:t>
      </w:r>
      <w:r>
        <w:rPr>
          <w:rFonts w:hint="eastAsia" w:ascii="Times New Roman" w:hAnsi="Times New Roman" w:eastAsia="仿宋_GB2312"/>
          <w:sz w:val="32"/>
          <w:szCs w:val="32"/>
        </w:rPr>
        <w:t>（项）。</w:t>
      </w:r>
    </w:p>
    <w:p w14:paraId="41C2D992">
      <w:pPr>
        <w:pStyle w:val="15"/>
        <w:numPr>
          <w:ilvl w:val="0"/>
          <w:numId w:val="0"/>
        </w:numPr>
        <w:spacing w:line="600" w:lineRule="exact"/>
        <w:ind w:leftChars="250" w:firstLine="320" w:firstLineChars="1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年初预算3.65万元，支出决算3.65万元，完成年初预算的100%，决算数等于年初预算数。</w:t>
      </w:r>
    </w:p>
    <w:p w14:paraId="5D4A3191">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卫生健康支出（类）行政事业单位医疗（款）行政单位医疗（项）。</w:t>
      </w:r>
    </w:p>
    <w:p w14:paraId="7500AB55">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万元，完成</w:t>
      </w:r>
      <w:r>
        <w:rPr>
          <w:rFonts w:hint="eastAsia" w:ascii="Times New Roman" w:hAnsi="Times New Roman" w:eastAsia="仿宋_GB2312"/>
          <w:sz w:val="32"/>
          <w:szCs w:val="32"/>
          <w:lang w:eastAsia="zh-CN"/>
        </w:rPr>
        <w:t>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14:paraId="5FDBF4EC">
      <w:pPr>
        <w:pStyle w:val="15"/>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城乡社区支出（类）城乡社区管理事务（款）</w:t>
      </w:r>
      <w:r>
        <w:rPr>
          <w:rFonts w:hint="eastAsia" w:ascii="Times New Roman" w:hAnsi="Times New Roman" w:eastAsia="仿宋_GB2312"/>
          <w:sz w:val="32"/>
          <w:szCs w:val="32"/>
          <w:lang w:eastAsia="zh-CN"/>
        </w:rPr>
        <w:t>其他城乡社区管理事务支出</w:t>
      </w:r>
      <w:r>
        <w:rPr>
          <w:rFonts w:hint="eastAsia" w:ascii="Times New Roman" w:hAnsi="Times New Roman" w:eastAsia="仿宋_GB2312"/>
          <w:sz w:val="32"/>
          <w:szCs w:val="32"/>
        </w:rPr>
        <w:t>（项）。</w:t>
      </w:r>
    </w:p>
    <w:p w14:paraId="3E42C756">
      <w:pPr>
        <w:pStyle w:val="15"/>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922.39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855.95</w:t>
      </w:r>
      <w:r>
        <w:rPr>
          <w:rFonts w:hint="eastAsia" w:ascii="Times New Roman" w:hAnsi="Times New Roman" w:eastAsia="仿宋_GB2312"/>
          <w:sz w:val="32"/>
          <w:szCs w:val="32"/>
        </w:rPr>
        <w:t>万元，完成</w:t>
      </w:r>
      <w:r>
        <w:rPr>
          <w:rFonts w:hint="eastAsia" w:ascii="Times New Roman" w:hAnsi="Times New Roman" w:eastAsia="仿宋_GB2312"/>
          <w:sz w:val="32"/>
          <w:szCs w:val="32"/>
          <w:lang w:eastAsia="zh-CN"/>
        </w:rPr>
        <w:t>年初预算的</w:t>
      </w:r>
      <w:r>
        <w:rPr>
          <w:rFonts w:hint="eastAsia" w:ascii="Times New Roman" w:hAnsi="Times New Roman" w:eastAsia="仿宋_GB2312"/>
          <w:sz w:val="32"/>
          <w:szCs w:val="32"/>
          <w:lang w:val="en-US" w:eastAsia="zh-CN"/>
        </w:rPr>
        <w:t>92.8%</w:t>
      </w:r>
      <w:r>
        <w:rPr>
          <w:rFonts w:hint="eastAsia" w:ascii="Times New Roman" w:hAnsi="Times New Roman" w:eastAsia="仿宋_GB2312"/>
          <w:sz w:val="32"/>
          <w:szCs w:val="32"/>
        </w:rPr>
        <w:t>，决算数小于年初预算的主要原因是：</w:t>
      </w:r>
      <w:r>
        <w:rPr>
          <w:rFonts w:hint="eastAsia" w:ascii="Times New Roman" w:hAnsi="Times New Roman" w:eastAsia="仿宋_GB2312" w:cs="Times New Roman"/>
          <w:sz w:val="32"/>
          <w:szCs w:val="32"/>
          <w:lang w:eastAsia="zh-CN"/>
        </w:rPr>
        <w:t>严格按照财政支出标准，例行节约</w:t>
      </w:r>
      <w:r>
        <w:rPr>
          <w:rFonts w:hint="eastAsia" w:ascii="Times New Roman" w:hAnsi="Times New Roman" w:eastAsia="仿宋_GB2312"/>
          <w:sz w:val="32"/>
          <w:szCs w:val="32"/>
        </w:rPr>
        <w:t>。</w:t>
      </w:r>
    </w:p>
    <w:p w14:paraId="55884824">
      <w:pPr>
        <w:pStyle w:val="15"/>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、自然资源海洋气象等支出（类）自然资源事务（款）</w:t>
      </w:r>
      <w:r>
        <w:rPr>
          <w:rFonts w:hint="eastAsia" w:ascii="Times New Roman" w:hAnsi="Times New Roman" w:eastAsia="仿宋_GB2312"/>
          <w:sz w:val="32"/>
          <w:szCs w:val="32"/>
          <w:lang w:eastAsia="zh-CN"/>
        </w:rPr>
        <w:t>行政</w:t>
      </w:r>
      <w:r>
        <w:rPr>
          <w:rFonts w:hint="eastAsia" w:ascii="Times New Roman" w:hAnsi="Times New Roman" w:eastAsia="仿宋_GB2312"/>
          <w:sz w:val="32"/>
          <w:szCs w:val="32"/>
        </w:rPr>
        <w:t>运行（项）</w:t>
      </w:r>
    </w:p>
    <w:p w14:paraId="4786D360">
      <w:pPr>
        <w:pStyle w:val="15"/>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290.94</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225.36</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77.46</w:t>
      </w:r>
      <w:r>
        <w:rPr>
          <w:rFonts w:hint="eastAsia" w:ascii="Times New Roman" w:hAnsi="Times New Roman" w:eastAsia="仿宋_GB2312"/>
          <w:sz w:val="32"/>
          <w:szCs w:val="32"/>
        </w:rPr>
        <w:t>%，决算数小于年初预算的主要原因是：</w:t>
      </w:r>
      <w:r>
        <w:rPr>
          <w:rFonts w:ascii="Times New Roman" w:hAnsi="Times New Roman" w:eastAsia="仿宋_GB2312"/>
          <w:sz w:val="32"/>
          <w:szCs w:val="32"/>
          <w:lang w:bidi="en-US"/>
        </w:rPr>
        <w:t>年初预算在此项的部分项目支出本年度实际未发生</w:t>
      </w:r>
      <w:r>
        <w:rPr>
          <w:rFonts w:hint="eastAsia" w:ascii="Times New Roman" w:hAnsi="Times New Roman" w:eastAsia="仿宋_GB2312"/>
          <w:sz w:val="32"/>
          <w:szCs w:val="32"/>
        </w:rPr>
        <w:t>。</w:t>
      </w:r>
    </w:p>
    <w:p w14:paraId="32640099">
      <w:pPr>
        <w:pStyle w:val="15"/>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自然资源海洋气象等支出（类）自然资源事务（款）</w:t>
      </w:r>
      <w:r>
        <w:rPr>
          <w:rFonts w:hint="eastAsia" w:ascii="Times New Roman" w:hAnsi="Times New Roman" w:eastAsia="仿宋_GB2312"/>
          <w:sz w:val="32"/>
          <w:szCs w:val="32"/>
          <w:lang w:eastAsia="zh-CN"/>
        </w:rPr>
        <w:t>其他自然资事务等支出</w:t>
      </w:r>
      <w:r>
        <w:rPr>
          <w:rFonts w:hint="eastAsia" w:ascii="Times New Roman" w:hAnsi="Times New Roman" w:eastAsia="仿宋_GB2312"/>
          <w:sz w:val="32"/>
          <w:szCs w:val="32"/>
        </w:rPr>
        <w:t>（项）</w:t>
      </w:r>
    </w:p>
    <w:p w14:paraId="359004C4">
      <w:pPr>
        <w:pStyle w:val="15"/>
        <w:numPr>
          <w:ilvl w:val="0"/>
          <w:numId w:val="0"/>
        </w:numPr>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年初预算为0，支出决算56.99万元，无法计算完成比例。决算数大于年初预算数的主要原因是：其他自然资源事务支出未列入年初预算，执行中增加预算。</w:t>
      </w:r>
    </w:p>
    <w:p w14:paraId="4EA8F72A">
      <w:pPr>
        <w:pStyle w:val="15"/>
        <w:numPr>
          <w:ilvl w:val="0"/>
          <w:numId w:val="0"/>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自然资源海洋气象等支出（类）自然资源事务（款）</w:t>
      </w:r>
      <w:r>
        <w:rPr>
          <w:rFonts w:hint="eastAsia" w:ascii="Times New Roman" w:hAnsi="Times New Roman" w:eastAsia="仿宋_GB2312"/>
          <w:sz w:val="32"/>
          <w:szCs w:val="32"/>
          <w:lang w:eastAsia="zh-CN"/>
        </w:rPr>
        <w:t>事业运行支出</w:t>
      </w:r>
      <w:r>
        <w:rPr>
          <w:rFonts w:hint="eastAsia" w:ascii="Times New Roman" w:hAnsi="Times New Roman" w:eastAsia="仿宋_GB2312"/>
          <w:sz w:val="32"/>
          <w:szCs w:val="32"/>
        </w:rPr>
        <w:t>（项）</w:t>
      </w:r>
    </w:p>
    <w:p w14:paraId="0CC89371">
      <w:pPr>
        <w:pStyle w:val="15"/>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106</w:t>
      </w:r>
      <w:r>
        <w:rPr>
          <w:rFonts w:hint="eastAsia" w:ascii="Times New Roman" w:hAnsi="Times New Roman" w:eastAsia="仿宋_GB2312"/>
          <w:sz w:val="32"/>
          <w:szCs w:val="32"/>
        </w:rPr>
        <w:t>万元，支出决算</w:t>
      </w:r>
      <w:r>
        <w:rPr>
          <w:rFonts w:hint="eastAsia" w:ascii="Times New Roman" w:hAnsi="Times New Roman" w:eastAsia="仿宋_GB2312"/>
          <w:sz w:val="32"/>
          <w:szCs w:val="32"/>
          <w:lang w:val="en-US" w:eastAsia="zh-CN"/>
        </w:rPr>
        <w:t>126.02</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118.89</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于年初预算的主要原因是：</w:t>
      </w:r>
      <w:r>
        <w:rPr>
          <w:rFonts w:hint="eastAsia" w:ascii="Times New Roman" w:hAnsi="Times New Roman" w:eastAsia="仿宋_GB2312"/>
          <w:sz w:val="32"/>
          <w:szCs w:val="32"/>
          <w:lang w:val="en-US" w:eastAsia="zh-CN"/>
        </w:rPr>
        <w:t>事业运行支出部分未列入年初预算，执行中增加预算。</w:t>
      </w:r>
    </w:p>
    <w:p w14:paraId="51767095">
      <w:pPr>
        <w:pStyle w:val="15"/>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10、其他支出（类）其他支出（款）其他支出（项）</w:t>
      </w:r>
    </w:p>
    <w:p w14:paraId="187903FB">
      <w:pPr>
        <w:pStyle w:val="15"/>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年初预算为0，支出决算45.04万元，无法计算完成比例，决算大于年初预算的主要原因是：其他支出未列入年初预算，执行中增加预算。</w:t>
      </w:r>
    </w:p>
    <w:p w14:paraId="1055476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86FFF7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1623.04</w:t>
      </w:r>
      <w:r>
        <w:rPr>
          <w:rFonts w:ascii="Times New Roman" w:hAnsi="Times New Roman" w:eastAsia="仿宋_GB2312" w:cs="Times New Roman"/>
          <w:sz w:val="32"/>
          <w:szCs w:val="32"/>
        </w:rPr>
        <w:t>万元，其中：</w:t>
      </w:r>
    </w:p>
    <w:p w14:paraId="2BF6BD05">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b/>
          <w:bCs/>
          <w:sz w:val="32"/>
          <w:szCs w:val="32"/>
          <w:lang w:val="en-US" w:eastAsia="zh-CN"/>
        </w:rPr>
        <w:t>1369.12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84.35</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主要包括基本工资、津贴补贴、奖金、伙食补助费、绩效工资、机关事业单位基本养老保险缴费、职工基本医疗保险缴费、对个人和家庭的补助、生活补助、医疗补助、其他</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rPr>
        <w:t>个</w:t>
      </w:r>
      <w:r>
        <w:rPr>
          <w:rFonts w:hint="eastAsia" w:ascii="Times New Roman" w:hAnsi="Times New Roman" w:eastAsia="仿宋_GB2312"/>
          <w:sz w:val="32"/>
          <w:szCs w:val="32"/>
          <w:lang w:eastAsia="zh-CN"/>
        </w:rPr>
        <w:t>人和家庭的补助。</w:t>
      </w:r>
    </w:p>
    <w:p w14:paraId="1730E1B1">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lang w:val="en-US" w:eastAsia="zh-CN"/>
        </w:rPr>
        <w:t>253.92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15.65</w:t>
      </w:r>
      <w:r>
        <w:rPr>
          <w:rFonts w:ascii="Times New Roman" w:hAnsi="Times New Roman" w:eastAsia="仿宋_GB2312" w:cs="Times New Roman"/>
          <w:sz w:val="32"/>
          <w:szCs w:val="32"/>
        </w:rPr>
        <w:t>%，</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印刷费、咨询费、</w:t>
      </w:r>
      <w:r>
        <w:rPr>
          <w:rFonts w:hint="eastAsia" w:ascii="Times New Roman" w:hAnsi="Times New Roman" w:eastAsia="仿宋_GB2312"/>
          <w:sz w:val="32"/>
          <w:szCs w:val="32"/>
        </w:rPr>
        <w:t>差旅费、邮电费、维修费、培训费、</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eastAsia="zh-CN"/>
        </w:rPr>
        <w:t>公务用车运行维护费</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资本性支出</w:t>
      </w:r>
      <w:r>
        <w:rPr>
          <w:rFonts w:hint="eastAsia" w:ascii="Times New Roman" w:hAnsi="Times New Roman" w:eastAsia="仿宋_GB2312"/>
          <w:sz w:val="32"/>
          <w:szCs w:val="32"/>
        </w:rPr>
        <w:t>、其他商品和服务支出</w:t>
      </w:r>
      <w:r>
        <w:rPr>
          <w:rFonts w:hint="eastAsia" w:ascii="Times New Roman" w:hAnsi="Times New Roman" w:eastAsia="仿宋_GB2312"/>
          <w:sz w:val="32"/>
          <w:szCs w:val="32"/>
          <w:lang w:eastAsia="zh-CN"/>
        </w:rPr>
        <w:t>。</w:t>
      </w:r>
    </w:p>
    <w:p w14:paraId="7A1EF6F6">
      <w:pPr>
        <w:pStyle w:val="15"/>
        <w:numPr>
          <w:ilvl w:val="0"/>
          <w:numId w:val="3"/>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3F11675A">
      <w:pPr>
        <w:pStyle w:val="15"/>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A0F84D7">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3.38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97.63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小于预算数</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落实过“紧日子”要求，严格执行开支标准，厉行节约</w:t>
      </w:r>
      <w:r>
        <w:rPr>
          <w:rFonts w:hint="eastAsia" w:ascii="Times New Roman" w:hAnsi="Times New Roman" w:eastAsia="仿宋_GB2312" w:cs="Times New Roman"/>
          <w:sz w:val="32"/>
          <w:szCs w:val="32"/>
          <w:lang w:eastAsia="zh-CN"/>
        </w:rPr>
        <w:t>。</w:t>
      </w:r>
    </w:p>
    <w:p w14:paraId="63EB4AF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EF57D43">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支出决算为0万元，</w:t>
      </w:r>
      <w:r>
        <w:rPr>
          <w:rFonts w:hint="eastAsia" w:ascii="Times New Roman" w:hAnsi="Times New Roman" w:eastAsia="仿宋_GB2312"/>
          <w:sz w:val="32"/>
          <w:szCs w:val="32"/>
          <w:lang w:eastAsia="zh-CN"/>
        </w:rPr>
        <w:t>预算决算金额均为</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lang w:bidi="en-US"/>
        </w:rPr>
        <w:t>，</w:t>
      </w:r>
      <w:r>
        <w:rPr>
          <w:rFonts w:hint="eastAsia" w:ascii="Times New Roman" w:hAnsi="Times New Roman" w:eastAsia="仿宋_GB2312"/>
          <w:sz w:val="32"/>
          <w:szCs w:val="32"/>
          <w:lang w:eastAsia="zh-CN" w:bidi="en-US"/>
        </w:rPr>
        <w:t>无法计算完成百分比</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等于预算数。</w:t>
      </w:r>
      <w:r>
        <w:rPr>
          <w:rFonts w:hint="eastAsia" w:ascii="Times New Roman" w:hAnsi="Times New Roman" w:eastAsia="仿宋_GB2312"/>
          <w:sz w:val="32"/>
          <w:szCs w:val="32"/>
          <w:lang w:val="en-US" w:eastAsia="zh-CN"/>
        </w:rPr>
        <w:t>主要原因是单位未因公出国(境）。</w:t>
      </w:r>
    </w:p>
    <w:p w14:paraId="3159DDE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sz w:val="32"/>
          <w:szCs w:val="32"/>
        </w:rPr>
        <w:t>公务用车购置费支出预算为0万元，支出决算为0万元，</w:t>
      </w:r>
      <w:r>
        <w:rPr>
          <w:rFonts w:hint="eastAsia" w:ascii="Times New Roman" w:hAnsi="Times New Roman" w:eastAsia="仿宋_GB2312"/>
          <w:sz w:val="32"/>
          <w:szCs w:val="32"/>
          <w:lang w:eastAsia="zh-CN"/>
        </w:rPr>
        <w:t>预算决算金额均为</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lang w:bidi="en-US"/>
        </w:rPr>
        <w:t>，</w:t>
      </w:r>
      <w:r>
        <w:rPr>
          <w:rFonts w:hint="eastAsia" w:ascii="Times New Roman" w:hAnsi="Times New Roman" w:eastAsia="仿宋_GB2312"/>
          <w:sz w:val="32"/>
          <w:szCs w:val="32"/>
          <w:lang w:eastAsia="zh-CN" w:bidi="en-US"/>
        </w:rPr>
        <w:t>无法计算完成百分比，主要原因是未购置公务用车。与上年相比持平均为</w:t>
      </w:r>
      <w:r>
        <w:rPr>
          <w:rFonts w:hint="eastAsia" w:ascii="Times New Roman" w:hAnsi="Times New Roman" w:eastAsia="仿宋_GB2312"/>
          <w:sz w:val="32"/>
          <w:szCs w:val="32"/>
          <w:lang w:val="en-US" w:eastAsia="zh-CN" w:bidi="en-US"/>
        </w:rPr>
        <w:t>0万元，无法计算完成百分比，</w:t>
      </w:r>
      <w:r>
        <w:rPr>
          <w:rFonts w:hint="eastAsia" w:ascii="Times New Roman" w:hAnsi="Times New Roman" w:eastAsia="仿宋_GB2312"/>
          <w:sz w:val="32"/>
          <w:szCs w:val="32"/>
          <w:lang w:bidi="en-US"/>
        </w:rPr>
        <w:t>主要原因</w:t>
      </w:r>
      <w:r>
        <w:rPr>
          <w:rFonts w:hint="eastAsia" w:ascii="Times New Roman" w:hAnsi="Times New Roman" w:eastAsia="仿宋_GB2312"/>
          <w:sz w:val="32"/>
          <w:szCs w:val="32"/>
          <w:lang w:eastAsia="zh-CN" w:bidi="en-US"/>
        </w:rPr>
        <w:t>是</w:t>
      </w:r>
      <w:r>
        <w:rPr>
          <w:rFonts w:hint="eastAsia" w:ascii="Times New Roman" w:hAnsi="Times New Roman" w:eastAsia="仿宋_GB2312"/>
          <w:sz w:val="32"/>
          <w:szCs w:val="32"/>
        </w:rPr>
        <w:t>本年度未购置公务用车。</w:t>
      </w:r>
    </w:p>
    <w:p w14:paraId="3B3F2939">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24E67CBE">
      <w:pPr>
        <w:pStyle w:val="15"/>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车辆维修保养和保险费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eastAsia="zh-CN"/>
        </w:rPr>
        <w:t>严格按照财政预算要求开支</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2E23F2E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w:t>
      </w:r>
      <w:r>
        <w:rPr>
          <w:rFonts w:hint="eastAsia" w:ascii="Times New Roman" w:hAnsi="Times New Roman" w:eastAsia="仿宋_GB2312"/>
          <w:sz w:val="32"/>
          <w:szCs w:val="32"/>
          <w:lang w:eastAsia="zh-CN"/>
        </w:rPr>
        <w:t>是落实过“紧日子”要求，严格执行公务接待开支标准。</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落实过“紧日子”要求，严格执行开支标准</w:t>
      </w:r>
      <w:r>
        <w:rPr>
          <w:rFonts w:hint="eastAsia" w:ascii="Times New Roman" w:hAnsi="Times New Roman" w:eastAsia="仿宋_GB2312"/>
          <w:sz w:val="32"/>
          <w:szCs w:val="32"/>
        </w:rPr>
        <w:t>。</w:t>
      </w:r>
    </w:p>
    <w:p w14:paraId="3776577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p>
    <w:p w14:paraId="321A209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8747E3E">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35.45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35.45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35.45</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5A45E54B">
      <w:pPr>
        <w:pStyle w:val="15"/>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城乡社区支出（类）国有土地使用权出让收入安排的支出（款）土地出让业务支出（项）。</w:t>
      </w:r>
    </w:p>
    <w:p w14:paraId="4940BC2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52.8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35.45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67.14</w:t>
      </w:r>
      <w:r>
        <w:rPr>
          <w:rFonts w:ascii="Times New Roman" w:hAnsi="Times New Roman" w:eastAsia="仿宋_GB2312" w:cs="Times New Roman"/>
          <w:sz w:val="32"/>
          <w:szCs w:val="32"/>
        </w:rPr>
        <w:t>%，决算数小于年初预算数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落实过“紧日子”要求，严格执行开支标准</w:t>
      </w:r>
      <w:r>
        <w:rPr>
          <w:rFonts w:hint="eastAsia" w:ascii="Times New Roman" w:hAnsi="Times New Roman" w:eastAsia="仿宋_GB2312" w:cs="Times New Roman"/>
          <w:sz w:val="32"/>
          <w:szCs w:val="32"/>
          <w:lang w:eastAsia="zh-CN"/>
        </w:rPr>
        <w:t>。</w:t>
      </w:r>
    </w:p>
    <w:p w14:paraId="4166F224">
      <w:pPr>
        <w:autoSpaceDE w:val="0"/>
        <w:autoSpaceDN w:val="0"/>
        <w:adjustRightInd w:val="0"/>
        <w:spacing w:line="500" w:lineRule="exact"/>
        <w:ind w:firstLine="640" w:firstLineChars="200"/>
        <w:rPr>
          <w:rFonts w:ascii="黑体" w:hAnsi="黑体" w:eastAsia="黑体" w:cs="仿宋"/>
          <w:color w:val="000000"/>
          <w:sz w:val="32"/>
          <w:szCs w:val="32"/>
          <w:lang w:eastAsia="zh-CN"/>
        </w:rPr>
      </w:pPr>
      <w:r>
        <w:rPr>
          <w:rFonts w:hint="eastAsia" w:ascii="黑体" w:hAnsi="黑体" w:eastAsia="黑体"/>
          <w:sz w:val="32"/>
          <w:szCs w:val="32"/>
          <w:lang w:eastAsia="zh-CN"/>
        </w:rPr>
        <w:t>九、</w:t>
      </w:r>
      <w:r>
        <w:rPr>
          <w:rFonts w:hint="eastAsia" w:ascii="黑体" w:hAnsi="黑体" w:eastAsia="黑体" w:cs="仿宋"/>
          <w:color w:val="000000"/>
          <w:sz w:val="32"/>
          <w:szCs w:val="32"/>
          <w:lang w:eastAsia="zh-CN"/>
        </w:rPr>
        <w:t>国有资本经营预算财政拨款支出决算情况说明</w:t>
      </w:r>
    </w:p>
    <w:p w14:paraId="78FA5CF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rPr>
        <w:t>本单位无国有资本经营预算</w:t>
      </w:r>
      <w:r>
        <w:rPr>
          <w:rFonts w:hint="eastAsia" w:ascii="Times New Roman" w:hAnsi="Times New Roman" w:eastAsia="仿宋_GB2312"/>
          <w:sz w:val="32"/>
          <w:szCs w:val="32"/>
          <w:lang w:eastAsia="zh-CN"/>
        </w:rPr>
        <w:t>财政拨款支出。</w:t>
      </w:r>
    </w:p>
    <w:p w14:paraId="66D180C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67A7BD87">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253.92</w:t>
      </w:r>
      <w:r>
        <w:rPr>
          <w:rFonts w:ascii="Times New Roman" w:hAnsi="Times New Roman" w:eastAsia="仿宋_GB2312" w:cs="Times New Roman"/>
          <w:sz w:val="32"/>
          <w:szCs w:val="32"/>
        </w:rPr>
        <w:t>万元，比年初预算数增加</w:t>
      </w:r>
      <w:r>
        <w:rPr>
          <w:rFonts w:hint="eastAsia" w:ascii="Times New Roman" w:hAnsi="Times New Roman" w:eastAsia="仿宋_GB2312" w:cs="Times New Roman"/>
          <w:sz w:val="32"/>
          <w:szCs w:val="32"/>
          <w:lang w:val="en-US" w:eastAsia="zh-CN"/>
        </w:rPr>
        <w:t>52.35</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lang w:val="en-US" w:eastAsia="zh-CN"/>
        </w:rPr>
        <w:t>25.97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人员的调整增加。其中：办公费</w:t>
      </w:r>
      <w:r>
        <w:rPr>
          <w:rFonts w:hint="eastAsia" w:ascii="Times New Roman" w:hAnsi="Times New Roman" w:eastAsia="仿宋_GB2312" w:cs="Times New Roman"/>
          <w:sz w:val="32"/>
          <w:szCs w:val="32"/>
          <w:lang w:val="en-US" w:eastAsia="zh-CN"/>
        </w:rPr>
        <w:t>19.84万元；</w:t>
      </w:r>
      <w:r>
        <w:rPr>
          <w:rFonts w:hint="eastAsia" w:ascii="Times New Roman" w:hAnsi="Times New Roman" w:eastAsia="仿宋_GB2312"/>
          <w:sz w:val="32"/>
          <w:szCs w:val="32"/>
          <w:lang w:val="en-US" w:eastAsia="zh-CN"/>
        </w:rPr>
        <w:t>刷费4.35万元；水费1.1万元；邮电费2.02万元；差旅费6.85万元；维修费2.14万元；培训费0.53万元；专用材料费1.3万元；劳务费47.56万元；委托业务服务费13.21万元；工会经费66.73万元；福利费5.42万元；公务用车运行维护费3.3万元；其他交通费用4.47万元；其他商品和服务支出72.77万元；资本性支出2.25万元</w:t>
      </w:r>
      <w:r>
        <w:rPr>
          <w:rFonts w:hint="eastAsia" w:ascii="Times New Roman" w:hAnsi="Times New Roman" w:eastAsia="仿宋_GB2312"/>
          <w:sz w:val="32"/>
          <w:szCs w:val="32"/>
        </w:rPr>
        <w:t>。</w:t>
      </w:r>
    </w:p>
    <w:p w14:paraId="0498F45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2D8FBE37">
      <w:pPr>
        <w:pStyle w:val="15"/>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0.53</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用于开展湖南省事业单位人员培训，内容为自然资源和规划相关内容</w:t>
      </w:r>
      <w:r>
        <w:rPr>
          <w:rFonts w:ascii="Times New Roman" w:hAnsi="Times New Roman" w:eastAsia="仿宋_GB2312" w:cs="Times New Roman"/>
          <w:sz w:val="32"/>
          <w:szCs w:val="32"/>
        </w:rPr>
        <w:t>；</w:t>
      </w:r>
      <w:r>
        <w:rPr>
          <w:rFonts w:hint="eastAsia" w:ascii="Times New Roman" w:hAnsi="Times New Roman" w:eastAsia="仿宋_GB2312"/>
          <w:sz w:val="32"/>
          <w:szCs w:val="32"/>
        </w:rPr>
        <w:t>未举办节庆、晚会、论坛、赛事等活动，开支0万元</w:t>
      </w:r>
      <w:r>
        <w:rPr>
          <w:rFonts w:hint="eastAsia" w:ascii="Times New Roman" w:hAnsi="Times New Roman" w:eastAsia="仿宋_GB2312"/>
          <w:sz w:val="32"/>
          <w:szCs w:val="32"/>
          <w:lang w:eastAsia="zh-CN"/>
        </w:rPr>
        <w:t>。</w:t>
      </w:r>
    </w:p>
    <w:p w14:paraId="75BE7CB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0CD6400E">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103.02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103.02</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103.02</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103.02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12B4F124">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5E912C2F">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sz w:val="32"/>
          <w:szCs w:val="32"/>
        </w:rPr>
        <w:t>地籍调查、落宗确权、日常公务用车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（套）。</w:t>
      </w:r>
    </w:p>
    <w:p w14:paraId="263392EF">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8A6A6EF">
      <w:pPr>
        <w:overflowPunct w:val="0"/>
        <w:spacing w:line="600" w:lineRule="exact"/>
        <w:ind w:left="958" w:leftChars="304" w:hanging="320" w:hangingChars="100"/>
        <w:rPr>
          <w:rFonts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p>
    <w:p w14:paraId="0762AF22">
      <w:pPr>
        <w:overflowPunct w:val="0"/>
        <w:spacing w:line="600" w:lineRule="exact"/>
        <w:ind w:firstLine="640" w:firstLineChars="200"/>
        <w:jc w:val="both"/>
        <w:rPr>
          <w:rFonts w:ascii="Times New Roman" w:hAnsi="Times New Roman" w:eastAsia="楷体" w:cs="Times New Roman"/>
          <w:b/>
          <w:bCs/>
          <w:sz w:val="32"/>
          <w:szCs w:val="32"/>
        </w:rPr>
      </w:pPr>
      <w:bookmarkStart w:id="0" w:name="_GoBack"/>
      <w:bookmarkEnd w:id="0"/>
      <w:r>
        <w:rPr>
          <w:rFonts w:ascii="Times New Roman" w:hAnsi="Times New Roman" w:eastAsia="仿宋_GB2312" w:cs="Times New Roman"/>
          <w:kern w:val="0"/>
          <w:sz w:val="32"/>
          <w:szCs w:val="32"/>
        </w:rPr>
        <w:t>2024年度本部门整体支出开展绩效自评，涉及项目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173.71</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138.26</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79.59</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35.45</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20.41</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社</w:t>
      </w:r>
      <w:r>
        <w:rPr>
          <w:rFonts w:ascii="Times New Roman" w:hAnsi="Times New Roman" w:eastAsia="仿宋_GB2312" w:cs="Times New Roman"/>
          <w:kern w:val="0"/>
          <w:sz w:val="32"/>
          <w:szCs w:val="32"/>
        </w:rPr>
        <w:t>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57A0E0B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2270.35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2060.78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90.77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97.9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良好</w:t>
      </w:r>
      <w:r>
        <w:rPr>
          <w:rFonts w:ascii="Times New Roman" w:hAnsi="Times New Roman" w:eastAsia="仿宋_GB2312" w:cs="Times New Roman"/>
          <w:sz w:val="32"/>
          <w:szCs w:val="32"/>
        </w:rPr>
        <w:t>”。绩效目标完成情况：</w:t>
      </w:r>
      <w:r>
        <w:rPr>
          <w:rFonts w:hint="eastAsia" w:ascii="仿宋" w:hAnsi="仿宋" w:eastAsia="仿宋" w:cs="仿宋"/>
          <w:color w:val="auto"/>
          <w:kern w:val="2"/>
          <w:sz w:val="32"/>
          <w:szCs w:val="32"/>
          <w:highlight w:val="none"/>
          <w:lang w:val="en-US" w:eastAsia="zh-CN" w:bidi="ar-SA"/>
        </w:rPr>
        <w:t>按照怀财绩〔2025〕32号要求，我中心从部门整体运行成本、管理效率和履职效能三个维度进行自评，通过对本部门在预算编制、预算执行、信息公开、绩效管理、政府采购、资产管理等方面以及工作任务完成情况进行分析，2024年整体支出绩效自评得分97.90分。</w:t>
      </w:r>
    </w:p>
    <w:p w14:paraId="594C9A4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自评情况看，怀化市不动产登记中心2024年度部门履职整体完成情况良好，部门总体预算绩效目标任务与部门履职、年度工作任务相符；年度绩效目标设置合理、明确，绩效指标清晰、细化、可衡量；预算编制较为完整规范；年度工作计划安排合理，人员合理控制，“三公经费”得以压减控制，政府采购合法合规，预算管理制度健全，资金使用合规，预决算信息按规定进行公开。</w:t>
      </w:r>
    </w:p>
    <w:p w14:paraId="161A4B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发现的主要问题及原因：</w:t>
      </w:r>
    </w:p>
    <w:p w14:paraId="0C92EF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（一）预算编制工作还有待细化，预算编制还不够明确和细化。</w:t>
      </w:r>
    </w:p>
    <w:p w14:paraId="61199ED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（二）中心全额编制人员少，主要是差额拨款，收入少导致经费不足，日常公用经费不足、与实际支出相差甚远，目前收入维持运转较困难。</w:t>
      </w:r>
    </w:p>
    <w:p w14:paraId="52DE0A8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（三）中心项目经费没有保障，由于经费形式是差额拨款，收入不足导致部门预算资金有缺口。</w:t>
      </w:r>
    </w:p>
    <w:p w14:paraId="1413773B">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w:t>
      </w:r>
    </w:p>
    <w:p w14:paraId="4F033074">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ascii="Times New Roman" w:hAnsi="Times New Roman" w:eastAsia="楷体_GB2312" w:cs="Times New Roman"/>
          <w:b/>
          <w:bCs/>
          <w:color w:val="auto"/>
          <w:kern w:val="2"/>
          <w:sz w:val="32"/>
          <w:szCs w:val="32"/>
        </w:rPr>
        <w:t>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r>
        <w:rPr>
          <w:rFonts w:hint="default" w:ascii="仿宋" w:hAnsi="仿宋" w:eastAsia="仿宋" w:cs="仿宋"/>
          <w:color w:val="auto"/>
          <w:kern w:val="2"/>
          <w:sz w:val="32"/>
          <w:szCs w:val="32"/>
          <w:highlight w:val="none"/>
          <w:lang w:val="en-US" w:eastAsia="zh-CN" w:bidi="ar-SA"/>
        </w:rPr>
        <w:t>绩效自评结果可以进一步规范财政资金管理，强化部门绩效和责任意识，切实提高财政资金使用效益，同时编制下一年的部门预算可以参考绩效自评结果，以提高预算编制的精准性。</w:t>
      </w:r>
      <w:r>
        <w:rPr>
          <w:rFonts w:hint="eastAsia" w:ascii="仿宋" w:hAnsi="仿宋" w:eastAsia="仿宋" w:cs="仿宋"/>
          <w:color w:val="auto"/>
          <w:kern w:val="2"/>
          <w:sz w:val="32"/>
          <w:szCs w:val="32"/>
          <w:highlight w:val="none"/>
          <w:lang w:val="en-US" w:eastAsia="zh-CN" w:bidi="ar-SA"/>
        </w:rPr>
        <w:t>绩效自评</w:t>
      </w:r>
      <w:r>
        <w:rPr>
          <w:rFonts w:hint="default" w:ascii="仿宋" w:hAnsi="仿宋" w:eastAsia="仿宋" w:cs="仿宋"/>
          <w:color w:val="auto"/>
          <w:kern w:val="2"/>
          <w:sz w:val="32"/>
          <w:szCs w:val="32"/>
          <w:highlight w:val="none"/>
          <w:lang w:val="en-US" w:eastAsia="zh-CN" w:bidi="ar-SA"/>
        </w:rPr>
        <w:t>结果</w:t>
      </w:r>
      <w:r>
        <w:rPr>
          <w:rFonts w:hint="eastAsia" w:ascii="仿宋" w:hAnsi="仿宋" w:eastAsia="仿宋" w:cs="仿宋"/>
          <w:color w:val="auto"/>
          <w:kern w:val="2"/>
          <w:sz w:val="32"/>
          <w:szCs w:val="32"/>
          <w:highlight w:val="none"/>
          <w:lang w:val="en-US" w:eastAsia="zh-CN" w:bidi="ar-SA"/>
        </w:rPr>
        <w:t>按照</w:t>
      </w:r>
      <w:r>
        <w:rPr>
          <w:rFonts w:hint="default" w:ascii="仿宋" w:hAnsi="仿宋" w:eastAsia="仿宋" w:cs="仿宋"/>
          <w:color w:val="auto"/>
          <w:kern w:val="2"/>
          <w:sz w:val="32"/>
          <w:szCs w:val="32"/>
          <w:highlight w:val="none"/>
          <w:lang w:val="en-US" w:eastAsia="zh-CN" w:bidi="ar-SA"/>
        </w:rPr>
        <w:t>财政要求及时公开。</w:t>
      </w:r>
    </w:p>
    <w:p w14:paraId="3A40BC19">
      <w:pPr>
        <w:pStyle w:val="15"/>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408B7535">
      <w:pPr>
        <w:pStyle w:val="15"/>
        <w:jc w:val="center"/>
        <w:rPr>
          <w:rFonts w:ascii="Times New Roman" w:hAnsi="Times New Roman" w:cs="Times New Roman"/>
          <w:sz w:val="72"/>
          <w:szCs w:val="72"/>
        </w:rPr>
      </w:pPr>
    </w:p>
    <w:p w14:paraId="57026907">
      <w:pPr>
        <w:pStyle w:val="15"/>
        <w:jc w:val="center"/>
        <w:rPr>
          <w:rFonts w:ascii="Times New Roman" w:hAnsi="Times New Roman" w:cs="Times New Roman"/>
          <w:sz w:val="72"/>
          <w:szCs w:val="72"/>
        </w:rPr>
      </w:pPr>
    </w:p>
    <w:p w14:paraId="7D9AF861">
      <w:pPr>
        <w:pStyle w:val="15"/>
        <w:jc w:val="center"/>
        <w:rPr>
          <w:rFonts w:ascii="Times New Roman" w:hAnsi="Times New Roman" w:cs="Times New Roman"/>
          <w:sz w:val="72"/>
          <w:szCs w:val="72"/>
        </w:rPr>
      </w:pPr>
    </w:p>
    <w:p w14:paraId="69026C1E">
      <w:pPr>
        <w:pStyle w:val="15"/>
        <w:jc w:val="center"/>
        <w:rPr>
          <w:rFonts w:ascii="Times New Roman" w:hAnsi="Times New Roman" w:cs="Times New Roman"/>
          <w:sz w:val="72"/>
          <w:szCs w:val="72"/>
        </w:rPr>
      </w:pPr>
    </w:p>
    <w:p w14:paraId="00F1B633">
      <w:pPr>
        <w:pStyle w:val="15"/>
        <w:jc w:val="center"/>
        <w:rPr>
          <w:rFonts w:ascii="Times New Roman" w:hAnsi="Times New Roman" w:cs="Times New Roman"/>
          <w:sz w:val="72"/>
          <w:szCs w:val="72"/>
        </w:rPr>
      </w:pPr>
    </w:p>
    <w:p w14:paraId="559F3883">
      <w:pPr>
        <w:pStyle w:val="15"/>
        <w:jc w:val="center"/>
        <w:rPr>
          <w:rFonts w:ascii="Times New Roman" w:hAnsi="Times New Roman" w:cs="Times New Roman"/>
          <w:sz w:val="72"/>
          <w:szCs w:val="72"/>
        </w:rPr>
      </w:pPr>
    </w:p>
    <w:p w14:paraId="6CBFF48A">
      <w:pPr>
        <w:pStyle w:val="15"/>
        <w:jc w:val="center"/>
        <w:rPr>
          <w:rFonts w:ascii="Times New Roman" w:hAnsi="Times New Roman" w:cs="Times New Roman"/>
          <w:sz w:val="72"/>
          <w:szCs w:val="72"/>
        </w:rPr>
      </w:pPr>
    </w:p>
    <w:p w14:paraId="0CC50498">
      <w:pPr>
        <w:pStyle w:val="15"/>
        <w:jc w:val="center"/>
        <w:rPr>
          <w:rFonts w:ascii="Times New Roman" w:hAnsi="Times New Roman" w:cs="Times New Roman"/>
          <w:sz w:val="72"/>
          <w:szCs w:val="72"/>
        </w:rPr>
      </w:pPr>
    </w:p>
    <w:p w14:paraId="6CFA3191">
      <w:pPr>
        <w:pStyle w:val="15"/>
        <w:jc w:val="center"/>
        <w:rPr>
          <w:rFonts w:ascii="Times New Roman" w:hAnsi="Times New Roman" w:cs="Times New Roman"/>
          <w:sz w:val="72"/>
          <w:szCs w:val="72"/>
        </w:rPr>
      </w:pPr>
    </w:p>
    <w:p w14:paraId="0D0A76A1">
      <w:pPr>
        <w:pStyle w:val="15"/>
        <w:jc w:val="center"/>
        <w:rPr>
          <w:rFonts w:ascii="Times New Roman" w:hAnsi="Times New Roman" w:cs="Times New Roman"/>
          <w:sz w:val="72"/>
          <w:szCs w:val="72"/>
        </w:rPr>
      </w:pPr>
    </w:p>
    <w:p w14:paraId="23E149C8">
      <w:pPr>
        <w:pStyle w:val="15"/>
        <w:jc w:val="both"/>
        <w:rPr>
          <w:rFonts w:ascii="Times New Roman" w:hAnsi="Times New Roman" w:cs="Times New Roman"/>
          <w:sz w:val="72"/>
          <w:szCs w:val="72"/>
        </w:rPr>
      </w:pPr>
    </w:p>
    <w:p w14:paraId="12CA3348">
      <w:pPr>
        <w:pStyle w:val="15"/>
        <w:spacing w:line="360" w:lineRule="auto"/>
        <w:jc w:val="center"/>
        <w:rPr>
          <w:rFonts w:ascii="Times New Roman" w:hAnsi="Times New Roman" w:eastAsia="方正小标宋_GBK" w:cs="Times New Roman"/>
          <w:sz w:val="52"/>
          <w:szCs w:val="52"/>
        </w:rPr>
      </w:pPr>
    </w:p>
    <w:p w14:paraId="5FF43B2B">
      <w:pPr>
        <w:pStyle w:val="15"/>
        <w:spacing w:line="360" w:lineRule="auto"/>
        <w:ind w:firstLine="2080" w:firstLineChars="4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46A1BE8E">
      <w:pPr>
        <w:widowControl/>
        <w:jc w:val="left"/>
        <w:rPr>
          <w:rFonts w:ascii="Times New Roman" w:hAnsi="Times New Roman" w:cs="Times New Roman"/>
          <w:color w:val="000000"/>
          <w:kern w:val="0"/>
          <w:sz w:val="32"/>
          <w:szCs w:val="32"/>
        </w:rPr>
      </w:pPr>
    </w:p>
    <w:p w14:paraId="6ABCF75D">
      <w:pPr>
        <w:ind w:firstLine="640" w:firstLineChars="200"/>
        <w:rPr>
          <w:rFonts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一、机关运行经费：</w:t>
      </w:r>
      <w:r>
        <w:rPr>
          <w:rFonts w:hint="eastAsia" w:ascii="仿宋" w:hAnsi="仿宋" w:eastAsia="仿宋" w:cs="仿宋"/>
          <w:color w:val="000000"/>
          <w:sz w:val="32"/>
          <w:szCs w:val="32"/>
          <w:lang w:eastAsia="zh-CN"/>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F882BB4">
      <w:pPr>
        <w:ind w:firstLine="640" w:firstLineChars="200"/>
        <w:rPr>
          <w:rFonts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二、“三公”经费：</w:t>
      </w:r>
      <w:r>
        <w:rPr>
          <w:rFonts w:hint="eastAsia" w:ascii="仿宋" w:hAnsi="仿宋" w:eastAsia="仿宋" w:cs="仿宋"/>
          <w:color w:val="000000"/>
          <w:sz w:val="32"/>
          <w:szCs w:val="32"/>
          <w:lang w:eastAsia="zh-CN"/>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D4BC955">
      <w:pPr>
        <w:pStyle w:val="15"/>
        <w:jc w:val="center"/>
        <w:rPr>
          <w:rFonts w:ascii="Times New Roman" w:hAnsi="Times New Roman" w:cs="Times New Roman"/>
          <w:sz w:val="72"/>
          <w:szCs w:val="72"/>
        </w:rPr>
      </w:pPr>
    </w:p>
    <w:p w14:paraId="1F027B3C">
      <w:pPr>
        <w:pStyle w:val="15"/>
        <w:jc w:val="center"/>
        <w:rPr>
          <w:rFonts w:ascii="Times New Roman" w:hAnsi="Times New Roman" w:cs="Times New Roman"/>
          <w:sz w:val="72"/>
          <w:szCs w:val="72"/>
        </w:rPr>
      </w:pPr>
    </w:p>
    <w:p w14:paraId="4E22B63D">
      <w:pPr>
        <w:pStyle w:val="15"/>
        <w:jc w:val="center"/>
        <w:rPr>
          <w:rFonts w:ascii="Times New Roman" w:hAnsi="Times New Roman" w:cs="Times New Roman"/>
          <w:sz w:val="72"/>
          <w:szCs w:val="72"/>
        </w:rPr>
      </w:pPr>
    </w:p>
    <w:p w14:paraId="08F103FE">
      <w:pPr>
        <w:pStyle w:val="15"/>
        <w:jc w:val="center"/>
        <w:rPr>
          <w:rFonts w:ascii="Times New Roman" w:hAnsi="Times New Roman" w:cs="Times New Roman"/>
          <w:sz w:val="72"/>
          <w:szCs w:val="72"/>
        </w:rPr>
      </w:pPr>
    </w:p>
    <w:p w14:paraId="2F881060">
      <w:pPr>
        <w:pStyle w:val="15"/>
        <w:jc w:val="center"/>
        <w:rPr>
          <w:rFonts w:ascii="Times New Roman" w:hAnsi="Times New Roman" w:cs="Times New Roman"/>
          <w:sz w:val="72"/>
          <w:szCs w:val="72"/>
        </w:rPr>
      </w:pPr>
    </w:p>
    <w:p w14:paraId="19CE03D0">
      <w:pPr>
        <w:pStyle w:val="15"/>
        <w:spacing w:line="360" w:lineRule="auto"/>
        <w:ind w:firstLine="3120" w:firstLineChars="600"/>
        <w:jc w:val="both"/>
        <w:rPr>
          <w:rFonts w:ascii="Times New Roman" w:hAnsi="Times New Roman" w:eastAsia="方正小标宋_GBK" w:cs="Times New Roman"/>
          <w:sz w:val="52"/>
          <w:szCs w:val="52"/>
        </w:rPr>
      </w:pPr>
    </w:p>
    <w:p w14:paraId="75DFFBF8">
      <w:pPr>
        <w:pStyle w:val="15"/>
        <w:spacing w:line="360" w:lineRule="auto"/>
        <w:ind w:firstLine="3120" w:firstLineChars="6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第五部分 </w:t>
      </w:r>
    </w:p>
    <w:p w14:paraId="1A58B35F">
      <w:pPr>
        <w:pStyle w:val="15"/>
        <w:spacing w:line="360" w:lineRule="auto"/>
        <w:ind w:firstLine="3120" w:firstLineChars="6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附 件</w:t>
      </w:r>
    </w:p>
    <w:p w14:paraId="09A5F28E">
      <w:pPr>
        <w:rPr>
          <w:rFonts w:ascii="Times New Roman" w:hAnsi="Times New Roman" w:cs="Times New Roman"/>
          <w:sz w:val="72"/>
          <w:szCs w:val="72"/>
        </w:rPr>
      </w:pPr>
    </w:p>
    <w:p w14:paraId="38153F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p>
    <w:p w14:paraId="2F5FC64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4D8C15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037949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32031B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44ABF7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0937E7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7FC917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7FB44E0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28B257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16C84E9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58D5E9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0B36E7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3565BC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p>
    <w:p w14:paraId="54DA8587">
      <w:pPr>
        <w:widowControl/>
        <w:shd w:val="clear" w:color="auto" w:fill="FFFFFF"/>
        <w:spacing w:line="600" w:lineRule="atLeast"/>
        <w:jc w:val="center"/>
        <w:rPr>
          <w:rFonts w:hint="eastAsia" w:ascii="Times New Roman" w:hAnsi="Times New Roman" w:eastAsia="黑体" w:cs="Times New Roman"/>
          <w:bCs/>
          <w:color w:val="000000"/>
          <w:kern w:val="0"/>
          <w:sz w:val="32"/>
          <w:szCs w:val="32"/>
          <w:lang w:val="en-US" w:eastAsia="zh-CN" w:bidi="ar-SA"/>
        </w:rPr>
      </w:pPr>
    </w:p>
    <w:p w14:paraId="134A5A4B">
      <w:pPr>
        <w:widowControl/>
        <w:shd w:val="clear" w:color="auto" w:fill="FFFFFF"/>
        <w:spacing w:line="600" w:lineRule="atLeast"/>
        <w:jc w:val="center"/>
        <w:rPr>
          <w:rFonts w:hint="eastAsia" w:ascii="Times New Roman" w:hAnsi="Times New Roman" w:eastAsia="黑体" w:cs="Times New Roman"/>
          <w:bCs/>
          <w:color w:val="000000"/>
          <w:kern w:val="0"/>
          <w:sz w:val="32"/>
          <w:szCs w:val="32"/>
          <w:lang w:val="en-US" w:eastAsia="zh-CN" w:bidi="ar-SA"/>
        </w:rPr>
      </w:pPr>
      <w:r>
        <w:rPr>
          <w:rFonts w:hint="eastAsia" w:ascii="Times New Roman" w:hAnsi="Times New Roman" w:eastAsia="黑体" w:cs="Times New Roman"/>
          <w:bCs/>
          <w:color w:val="000000"/>
          <w:kern w:val="0"/>
          <w:sz w:val="32"/>
          <w:szCs w:val="32"/>
          <w:lang w:val="en-US" w:eastAsia="zh-CN" w:bidi="ar-SA"/>
        </w:rPr>
        <w:t>怀化市不动产登记中心2024年</w:t>
      </w:r>
    </w:p>
    <w:p w14:paraId="5E04E687">
      <w:pPr>
        <w:widowControl/>
        <w:shd w:val="clear" w:color="auto" w:fill="FFFFFF"/>
        <w:spacing w:line="600" w:lineRule="atLeast"/>
        <w:jc w:val="center"/>
        <w:rPr>
          <w:rFonts w:hint="default" w:ascii="仿宋" w:hAnsi="仿宋" w:eastAsia="仿宋" w:cs="仿宋"/>
          <w:color w:val="auto"/>
          <w:sz w:val="32"/>
          <w:szCs w:val="32"/>
          <w:highlight w:val="none"/>
          <w:lang w:val="en-US" w:eastAsia="zh-CN"/>
        </w:rPr>
      </w:pPr>
      <w:r>
        <w:rPr>
          <w:rFonts w:hint="eastAsia" w:ascii="Times New Roman" w:hAnsi="Times New Roman" w:eastAsia="黑体" w:cs="Times New Roman"/>
          <w:bCs/>
          <w:color w:val="000000"/>
          <w:kern w:val="0"/>
          <w:sz w:val="32"/>
          <w:szCs w:val="32"/>
          <w:lang w:val="en-US" w:eastAsia="zh-CN" w:bidi="ar-SA"/>
        </w:rPr>
        <w:t>整体支出绩效自评报告</w:t>
      </w:r>
    </w:p>
    <w:p w14:paraId="49ADC8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p>
    <w:p w14:paraId="15A4C4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切实做好2024年度部门整体支出绩效评价工作，强化绩效和责任意识，提高财政资金使用效益，根据《怀化市财政局关于开展2024年度市级预算部门绩效自评和部门评价的通知》（怀财绩〔2025〕32号）文件精神，结合单位实际，对部门整体支出绩效评价指标完成情况做出了客观、公正的评价，现将自评情况报告如下：</w:t>
      </w:r>
    </w:p>
    <w:p w14:paraId="1F16B6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（一）部门（单位）基本情况</w:t>
      </w:r>
    </w:p>
    <w:p w14:paraId="4EE4AA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4E2333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湖南省机构编制委员会办公室《关于怀化市不动产登记中心机构编制事项的批复》（湘编办复字〔2016〕32号）和《怀化市机构编制委员会关于明确怀化市不动产登记中心机构规格的通知》（怀编〔2016〕29号）精神，怀化市不动产登记中心为市自然资源和规划局管理的副处级公益一类事业单位。</w:t>
      </w:r>
    </w:p>
    <w:p w14:paraId="351DEA8D">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怀化市不动产登记中心作为二级部门预算单位，我中心设</w:t>
      </w:r>
      <w:r>
        <w:rPr>
          <w:rFonts w:hint="eastAsia" w:ascii="仿宋" w:hAnsi="仿宋" w:eastAsia="仿宋"/>
          <w:sz w:val="32"/>
          <w:szCs w:val="32"/>
          <w:highlight w:val="none"/>
          <w:lang w:val="en-US" w:eastAsia="zh-CN"/>
        </w:rPr>
        <w:t>6</w:t>
      </w:r>
      <w:r>
        <w:rPr>
          <w:rFonts w:hint="eastAsia" w:ascii="仿宋" w:hAnsi="仿宋" w:eastAsia="仿宋"/>
          <w:sz w:val="32"/>
          <w:szCs w:val="32"/>
        </w:rPr>
        <w:t>个内设科室和4个分支机构</w:t>
      </w:r>
      <w:r>
        <w:rPr>
          <w:rFonts w:hint="eastAsia" w:ascii="仿宋" w:hAnsi="仿宋" w:eastAsia="仿宋"/>
          <w:sz w:val="32"/>
          <w:szCs w:val="32"/>
          <w:lang w:eastAsia="zh-CN"/>
        </w:rPr>
        <w:t>，</w:t>
      </w:r>
      <w:r>
        <w:rPr>
          <w:rFonts w:hint="eastAsia" w:ascii="仿宋" w:hAnsi="仿宋" w:eastAsia="仿宋"/>
          <w:sz w:val="32"/>
          <w:szCs w:val="32"/>
        </w:rPr>
        <w:t>内设科室为：办公室、财务室、</w:t>
      </w:r>
      <w:r>
        <w:rPr>
          <w:rFonts w:hint="eastAsia" w:ascii="仿宋" w:hAnsi="仿宋" w:eastAsia="仿宋"/>
          <w:sz w:val="32"/>
          <w:szCs w:val="32"/>
          <w:highlight w:val="none"/>
        </w:rPr>
        <w:t>法规室、</w:t>
      </w:r>
      <w:r>
        <w:rPr>
          <w:rFonts w:hint="eastAsia" w:ascii="仿宋" w:hAnsi="仿宋" w:eastAsia="仿宋"/>
          <w:sz w:val="32"/>
          <w:szCs w:val="32"/>
        </w:rPr>
        <w:t>权籍调查室（纠纷调处室）、测绘服务室、档案信息室。</w:t>
      </w:r>
    </w:p>
    <w:p w14:paraId="66C948A5">
      <w:pPr>
        <w:pStyle w:val="2"/>
        <w:keepNext w:val="0"/>
        <w:keepLines w:val="0"/>
        <w:pageBreakBefore w:val="0"/>
        <w:widowControl w:val="0"/>
        <w:kinsoku/>
        <w:wordWrap/>
        <w:overflowPunct/>
        <w:topLinePunct w:val="0"/>
        <w:autoSpaceDE/>
        <w:autoSpaceDN/>
        <w:bidi w:val="0"/>
        <w:adjustRightInd/>
        <w:spacing w:beforeLines="0" w:afterLines="0" w:line="52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rPr>
        <w:t>内设科室</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办公室负责组织协调中心的行政管理、日常内务、人事事务、承担综合文秘、宣传、接待、会务、后勤管理工作，完成中心领导和上级主管部门交办的其他工作。</w:t>
      </w: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财务室负责中心财会管理工作，负责业务收费、票据管理、协助税务部门和财政部门收取房地产转让、交易过程中的税费、负责中心与银行、合作伙伴、外部其他单位的资金往来业务和资金结算业务，负责员工薪资的兑付和固定资产日常管理。</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highlight w:val="none"/>
        </w:rPr>
        <w:t>法规室承担着规范指导中心贯彻落实国家、省、市有关不动产的法律、法规、政策工作，提供对不动产登记方面的法律法规政策咨询、解释、协调和处理产权纠纷；对公检法</w:t>
      </w:r>
    </w:p>
    <w:p w14:paraId="641477A8">
      <w:pPr>
        <w:pStyle w:val="2"/>
        <w:keepNext w:val="0"/>
        <w:keepLines w:val="0"/>
        <w:pageBreakBefore w:val="0"/>
        <w:widowControl w:val="0"/>
        <w:kinsoku/>
        <w:wordWrap/>
        <w:overflowPunct/>
        <w:topLinePunct w:val="0"/>
        <w:autoSpaceDE/>
        <w:autoSpaceDN/>
        <w:bidi w:val="0"/>
        <w:adjustRightInd/>
        <w:spacing w:beforeLines="0" w:afterLines="0" w:line="520" w:lineRule="exact"/>
        <w:ind w:left="0" w:leftChars="0" w:firstLine="0" w:firstLineChars="0"/>
        <w:textAlignment w:val="auto"/>
        <w:rPr>
          <w:rFonts w:hint="eastAsia"/>
          <w:lang w:val="en-US" w:eastAsia="zh-CN"/>
        </w:rPr>
      </w:pPr>
      <w:r>
        <w:rPr>
          <w:rFonts w:hint="eastAsia" w:ascii="仿宋" w:hAnsi="仿宋" w:eastAsia="仿宋"/>
          <w:sz w:val="32"/>
          <w:szCs w:val="32"/>
          <w:highlight w:val="none"/>
        </w:rPr>
        <w:t>等司法机构查解封、撤销登记和行政机构的限制（含解除限制）工作的受理审核</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不动产规范性文件的起草，不动产法律审查，不动产行政案件的复议和应诉和行政执法监管以及中心的法制宣传教育等工作。</w:t>
      </w: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权籍调查室（纠纷调处室）负责不动产权籍调查工作；负责实地查看和不动产权籍调查成果数据入库前核查及更新入库工作；负责不动产统一登记权属纠纷调处登记工作；承担不动产登记信访有关工作，协助做好行政复议、行政应诉和行政执法监管等工作。</w:t>
      </w: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测绘服务室负责委托测绘单位的房屋面积、商品房面积实测、预测测绘工作。编制测绘发展计划、规划，拟定测绘规范性文件并组织实施。负责新建商品房的楼盘建立与修改，及时导入测绘成果数据，对测绘成果数据信息进行核查。负责测绘资料的收集、整理、立卷、造册及管理工作，提高利用效率；执行各种测绘仪器专人专用及保管制度，经常检测、保养各种仪器设备。</w:t>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档案信息室负责中心的档案信息的收集、整理、归档等档案信息管理工作，协助做好不动产登记信息平台建设、管理、维护，承担不动产登记信息数据整合、统计分析、监测利用、汇交共享和不动产登记资料社会查询服务等工作，负责司法协助相关事宜。分支机构：</w:t>
      </w:r>
      <w:r>
        <w:rPr>
          <w:rFonts w:hint="eastAsia" w:ascii="仿宋" w:hAnsi="仿宋" w:eastAsia="仿宋"/>
          <w:sz w:val="32"/>
          <w:szCs w:val="32"/>
          <w:lang w:val="en-US" w:eastAsia="zh-CN"/>
        </w:rPr>
        <w:t>六</w:t>
      </w:r>
      <w:r>
        <w:rPr>
          <w:rFonts w:hint="eastAsia" w:ascii="仿宋" w:hAnsi="仿宋" w:eastAsia="仿宋"/>
          <w:sz w:val="32"/>
          <w:szCs w:val="32"/>
          <w:highlight w:val="none"/>
        </w:rPr>
        <w:t>个科</w:t>
      </w:r>
      <w:r>
        <w:rPr>
          <w:rFonts w:hint="eastAsia" w:ascii="仿宋" w:hAnsi="仿宋" w:eastAsia="仿宋"/>
          <w:sz w:val="32"/>
          <w:szCs w:val="32"/>
        </w:rPr>
        <w:t>室分别负责全市范围内不动产权利登记事务。</w:t>
      </w:r>
    </w:p>
    <w:p w14:paraId="28BB6C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2.人员编制情况</w:t>
      </w:r>
    </w:p>
    <w:p w14:paraId="72D014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截止2024年12月31日，我中心人员编制数113名，实有在职人员105人。</w:t>
      </w:r>
    </w:p>
    <w:p w14:paraId="442C54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3.主要职能职责</w:t>
      </w:r>
    </w:p>
    <w:p w14:paraId="127EDFA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（1）依法统一受理和办理鹤城区行政区划范围内不动产权利登记事务。</w:t>
      </w:r>
    </w:p>
    <w:p w14:paraId="18C84FC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（2）承担有关不动产登记权籍调查、统计分析、监测利用工作；协助市自然资源和规划局做好不动产权籍管理和因不动产登记引起的不动产权属争议、纠纷调处工作。</w:t>
      </w:r>
    </w:p>
    <w:p w14:paraId="292C86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（3）负责有关不动产登记档案的归档、管理工作；依法提供不动产登记资料社会查询、咨询服务；协助市自然资源和规划局建立统一的不动产登记管理信息平台，推进不动产登记有关信息互通共享。</w:t>
      </w:r>
    </w:p>
    <w:p w14:paraId="3F045FF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lang w:val="en-US" w:eastAsia="zh-CN"/>
        </w:rPr>
      </w:pPr>
      <w:r>
        <w:rPr>
          <w:rFonts w:hint="eastAsia" w:ascii="仿宋" w:hAnsi="仿宋" w:eastAsia="仿宋" w:cs="仿宋"/>
          <w:color w:val="auto"/>
          <w:sz w:val="32"/>
          <w:szCs w:val="32"/>
          <w:highlight w:val="none"/>
          <w:lang w:val="en-US" w:eastAsia="zh-CN"/>
        </w:rPr>
        <w:t>（4）承担市自然资源和规划局交办的其他事项。</w:t>
      </w:r>
    </w:p>
    <w:p w14:paraId="26D029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4.绩效目标设定情况</w:t>
      </w:r>
    </w:p>
    <w:p w14:paraId="0AC89A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2024年我中心设定的总体绩效目标为：</w:t>
      </w:r>
    </w:p>
    <w:p w14:paraId="0AE59A3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目标1：保障全市土地登记、房屋登记、林地登记、草原登记、土地承包经营权工作。</w:t>
      </w:r>
    </w:p>
    <w:p w14:paraId="3B2A53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目标2：保障不动产登记档案管理工作。</w:t>
      </w:r>
    </w:p>
    <w:p w14:paraId="199BD9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（二）部门（单位）整体支出规模、使用方向和主要内容、涉及范围等</w:t>
      </w:r>
    </w:p>
    <w:p w14:paraId="4E1F16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怀化市不动产登记中心2024年度总收入2060.78万元。其中：一般公共预算财政拨款收入1757.46万元；政府性基金预算财政拨款收入35.45万元；事业收入267.87万元。</w:t>
      </w:r>
    </w:p>
    <w:p w14:paraId="20C33C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怀化市不动产登记中心2024年度总支出2060.78万元。其中：基本支出1887.07万元；项目支出173.71万元。</w:t>
      </w:r>
    </w:p>
    <w:p w14:paraId="7B2C54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部门整体支出具体使用方向如下：</w:t>
      </w:r>
    </w:p>
    <w:p w14:paraId="39413FD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2024年度部门整体支出使用方向统计表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3223"/>
        <w:gridCol w:w="1475"/>
        <w:gridCol w:w="1422"/>
        <w:gridCol w:w="1698"/>
      </w:tblGrid>
      <w:tr w14:paraId="5B31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5EFD654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序号</w:t>
            </w:r>
          </w:p>
        </w:tc>
        <w:tc>
          <w:tcPr>
            <w:tcW w:w="3223" w:type="dxa"/>
          </w:tcPr>
          <w:p w14:paraId="560AFB7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项目</w:t>
            </w:r>
          </w:p>
        </w:tc>
        <w:tc>
          <w:tcPr>
            <w:tcW w:w="4595" w:type="dxa"/>
            <w:gridSpan w:val="3"/>
          </w:tcPr>
          <w:p w14:paraId="42CCF1B9">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支出金额（万元）</w:t>
            </w:r>
          </w:p>
        </w:tc>
      </w:tr>
      <w:tr w14:paraId="5841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63A3D65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05165EA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1475" w:type="dxa"/>
          </w:tcPr>
          <w:p w14:paraId="7824D83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基本支出</w:t>
            </w:r>
          </w:p>
        </w:tc>
        <w:tc>
          <w:tcPr>
            <w:tcW w:w="1422" w:type="dxa"/>
          </w:tcPr>
          <w:p w14:paraId="1DAF44D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项目支出</w:t>
            </w:r>
          </w:p>
        </w:tc>
        <w:tc>
          <w:tcPr>
            <w:tcW w:w="1698" w:type="dxa"/>
          </w:tcPr>
          <w:p w14:paraId="263CB49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小计</w:t>
            </w:r>
          </w:p>
        </w:tc>
      </w:tr>
      <w:tr w14:paraId="23A0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9E2FB1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w:t>
            </w:r>
          </w:p>
        </w:tc>
        <w:tc>
          <w:tcPr>
            <w:tcW w:w="3223" w:type="dxa"/>
          </w:tcPr>
          <w:p w14:paraId="70154D7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default" w:ascii="仿宋" w:hAnsi="仿宋" w:eastAsia="仿宋" w:cs="仿宋"/>
                <w:color w:val="auto"/>
                <w:sz w:val="30"/>
                <w:szCs w:val="30"/>
                <w:highlight w:val="none"/>
                <w:vertAlign w:val="baseline"/>
                <w:lang w:val="en-US" w:eastAsia="zh-CN"/>
              </w:rPr>
              <w:t>工资福利支出</w:t>
            </w:r>
          </w:p>
        </w:tc>
        <w:tc>
          <w:tcPr>
            <w:tcW w:w="1475" w:type="dxa"/>
            <w:vAlign w:val="center"/>
          </w:tcPr>
          <w:p w14:paraId="3947A28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1597.46</w:t>
            </w:r>
          </w:p>
        </w:tc>
        <w:tc>
          <w:tcPr>
            <w:tcW w:w="1422" w:type="dxa"/>
            <w:vAlign w:val="center"/>
          </w:tcPr>
          <w:p w14:paraId="6847506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431F2B78">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1597.46</w:t>
            </w:r>
          </w:p>
        </w:tc>
      </w:tr>
      <w:tr w14:paraId="4387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803A4F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2</w:t>
            </w:r>
          </w:p>
        </w:tc>
        <w:tc>
          <w:tcPr>
            <w:tcW w:w="3223" w:type="dxa"/>
          </w:tcPr>
          <w:p w14:paraId="7C1DDEC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商品和服务支出</w:t>
            </w:r>
          </w:p>
        </w:tc>
        <w:tc>
          <w:tcPr>
            <w:tcW w:w="1475" w:type="dxa"/>
            <w:vAlign w:val="center"/>
          </w:tcPr>
          <w:p w14:paraId="2F57206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247.30</w:t>
            </w:r>
          </w:p>
        </w:tc>
        <w:tc>
          <w:tcPr>
            <w:tcW w:w="1422" w:type="dxa"/>
            <w:vAlign w:val="center"/>
          </w:tcPr>
          <w:p w14:paraId="3C15416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128.71</w:t>
            </w:r>
          </w:p>
        </w:tc>
        <w:tc>
          <w:tcPr>
            <w:tcW w:w="1698" w:type="dxa"/>
            <w:vAlign w:val="center"/>
          </w:tcPr>
          <w:p w14:paraId="17C9294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376.01</w:t>
            </w:r>
          </w:p>
        </w:tc>
      </w:tr>
      <w:tr w14:paraId="3EC3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B6B216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02DF765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其中：因公出国（境）费</w:t>
            </w:r>
          </w:p>
        </w:tc>
        <w:tc>
          <w:tcPr>
            <w:tcW w:w="1475" w:type="dxa"/>
            <w:vAlign w:val="center"/>
          </w:tcPr>
          <w:p w14:paraId="02194EF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422" w:type="dxa"/>
            <w:vAlign w:val="center"/>
          </w:tcPr>
          <w:p w14:paraId="6D7BF69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60254212">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r>
      <w:tr w14:paraId="43B9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A4C319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5EB6362D">
            <w:pPr>
              <w:keepNext w:val="0"/>
              <w:keepLines w:val="0"/>
              <w:pageBreakBefore w:val="0"/>
              <w:widowControl w:val="0"/>
              <w:kinsoku/>
              <w:wordWrap/>
              <w:overflowPunct/>
              <w:topLinePunct w:val="0"/>
              <w:autoSpaceDE/>
              <w:autoSpaceDN/>
              <w:bidi w:val="0"/>
              <w:adjustRightInd/>
              <w:snapToGrid w:val="0"/>
              <w:spacing w:line="520" w:lineRule="exact"/>
              <w:ind w:firstLine="720" w:firstLineChars="30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公务用车购置费</w:t>
            </w:r>
          </w:p>
        </w:tc>
        <w:tc>
          <w:tcPr>
            <w:tcW w:w="1475" w:type="dxa"/>
            <w:vAlign w:val="center"/>
          </w:tcPr>
          <w:p w14:paraId="60FFDE2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422" w:type="dxa"/>
            <w:vAlign w:val="center"/>
          </w:tcPr>
          <w:p w14:paraId="0E3C4D0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3C09FB8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r>
      <w:tr w14:paraId="3196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111BABB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0FDC23D1">
            <w:pPr>
              <w:keepNext w:val="0"/>
              <w:keepLines w:val="0"/>
              <w:pageBreakBefore w:val="0"/>
              <w:widowControl w:val="0"/>
              <w:kinsoku/>
              <w:wordWrap/>
              <w:overflowPunct/>
              <w:topLinePunct w:val="0"/>
              <w:autoSpaceDE/>
              <w:autoSpaceDN/>
              <w:bidi w:val="0"/>
              <w:adjustRightInd/>
              <w:snapToGrid w:val="0"/>
              <w:spacing w:line="520" w:lineRule="exact"/>
              <w:ind w:firstLine="720" w:firstLineChars="30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公务用车运行维护费</w:t>
            </w:r>
          </w:p>
        </w:tc>
        <w:tc>
          <w:tcPr>
            <w:tcW w:w="1475" w:type="dxa"/>
            <w:vAlign w:val="center"/>
          </w:tcPr>
          <w:p w14:paraId="353F38DC">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3.30</w:t>
            </w:r>
          </w:p>
        </w:tc>
        <w:tc>
          <w:tcPr>
            <w:tcW w:w="1422" w:type="dxa"/>
            <w:vAlign w:val="center"/>
          </w:tcPr>
          <w:p w14:paraId="23576B0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2D703F0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3.30</w:t>
            </w:r>
          </w:p>
        </w:tc>
      </w:tr>
      <w:tr w14:paraId="684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55C5060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5BCEE09B">
            <w:pPr>
              <w:keepNext w:val="0"/>
              <w:keepLines w:val="0"/>
              <w:pageBreakBefore w:val="0"/>
              <w:widowControl w:val="0"/>
              <w:kinsoku/>
              <w:wordWrap/>
              <w:overflowPunct/>
              <w:topLinePunct w:val="0"/>
              <w:autoSpaceDE/>
              <w:autoSpaceDN/>
              <w:bidi w:val="0"/>
              <w:adjustRightInd/>
              <w:snapToGrid w:val="0"/>
              <w:spacing w:line="520" w:lineRule="exact"/>
              <w:ind w:firstLine="720" w:firstLineChars="30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公务接待费</w:t>
            </w:r>
          </w:p>
        </w:tc>
        <w:tc>
          <w:tcPr>
            <w:tcW w:w="1475" w:type="dxa"/>
            <w:vAlign w:val="center"/>
          </w:tcPr>
          <w:p w14:paraId="5A036302">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422" w:type="dxa"/>
            <w:vAlign w:val="center"/>
          </w:tcPr>
          <w:p w14:paraId="10BB017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6F4C3E1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r>
      <w:tr w14:paraId="60E3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24EB940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w:t>
            </w:r>
          </w:p>
        </w:tc>
        <w:tc>
          <w:tcPr>
            <w:tcW w:w="3223" w:type="dxa"/>
          </w:tcPr>
          <w:p w14:paraId="65E23FD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对个人和家庭的补助</w:t>
            </w:r>
          </w:p>
        </w:tc>
        <w:tc>
          <w:tcPr>
            <w:tcW w:w="1475" w:type="dxa"/>
            <w:vAlign w:val="center"/>
          </w:tcPr>
          <w:p w14:paraId="33D3BF5A">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39.53</w:t>
            </w:r>
          </w:p>
        </w:tc>
        <w:tc>
          <w:tcPr>
            <w:tcW w:w="1422" w:type="dxa"/>
            <w:vAlign w:val="center"/>
          </w:tcPr>
          <w:p w14:paraId="2CB903B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6CEB944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39.53</w:t>
            </w:r>
          </w:p>
        </w:tc>
      </w:tr>
      <w:tr w14:paraId="650F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6216BF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4</w:t>
            </w:r>
          </w:p>
        </w:tc>
        <w:tc>
          <w:tcPr>
            <w:tcW w:w="3223" w:type="dxa"/>
          </w:tcPr>
          <w:p w14:paraId="21B2A9E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资本性支出</w:t>
            </w:r>
          </w:p>
        </w:tc>
        <w:tc>
          <w:tcPr>
            <w:tcW w:w="1475" w:type="dxa"/>
            <w:vAlign w:val="center"/>
          </w:tcPr>
          <w:p w14:paraId="2CA84C36">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2.78</w:t>
            </w:r>
          </w:p>
        </w:tc>
        <w:tc>
          <w:tcPr>
            <w:tcW w:w="1422" w:type="dxa"/>
            <w:vAlign w:val="center"/>
          </w:tcPr>
          <w:p w14:paraId="6A914546">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45</w:t>
            </w:r>
          </w:p>
        </w:tc>
        <w:tc>
          <w:tcPr>
            <w:tcW w:w="1698" w:type="dxa"/>
            <w:vAlign w:val="center"/>
          </w:tcPr>
          <w:p w14:paraId="3E57F97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47.78</w:t>
            </w:r>
          </w:p>
        </w:tc>
      </w:tr>
      <w:tr w14:paraId="1735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215917D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48A03EC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合计</w:t>
            </w:r>
          </w:p>
        </w:tc>
        <w:tc>
          <w:tcPr>
            <w:tcW w:w="1475" w:type="dxa"/>
            <w:vAlign w:val="center"/>
          </w:tcPr>
          <w:p w14:paraId="3556499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1887.07</w:t>
            </w:r>
          </w:p>
        </w:tc>
        <w:tc>
          <w:tcPr>
            <w:tcW w:w="1422" w:type="dxa"/>
            <w:vAlign w:val="center"/>
          </w:tcPr>
          <w:p w14:paraId="44F4819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173.71</w:t>
            </w:r>
          </w:p>
        </w:tc>
        <w:tc>
          <w:tcPr>
            <w:tcW w:w="1698" w:type="dxa"/>
            <w:vAlign w:val="center"/>
          </w:tcPr>
          <w:p w14:paraId="02AB2316">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2060.78</w:t>
            </w:r>
          </w:p>
        </w:tc>
      </w:tr>
    </w:tbl>
    <w:p w14:paraId="32AADD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资福利支出1887.07万元，主要用于支付在职人员工资、奖金、社会保障缴费、住房公积金及伙食补助费；商品和服务支出376.01万元，主要用于支付办公费、印刷费、邮电费、差旅费等日常办公费用以及开展项目工作所产生的劳务费、委托业务费等相关开支；对个人和家庭的补助开支39.53万元，主要用于支付退休人员春节一次性生活补助、独生子女费及节日慰问等；资本性支出47.78万元，用于办公设备购置。</w:t>
      </w:r>
    </w:p>
    <w:p w14:paraId="1F950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5B0D5BB">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default" w:ascii="仿宋" w:hAnsi="仿宋" w:eastAsia="仿宋" w:cs="仿宋"/>
          <w:color w:val="auto"/>
          <w:spacing w:val="-2"/>
          <w:kern w:val="2"/>
          <w:sz w:val="32"/>
          <w:szCs w:val="32"/>
          <w:lang w:val="en-US" w:eastAsia="zh-CN" w:bidi="ar-SA"/>
        </w:rPr>
      </w:pPr>
      <w:r>
        <w:rPr>
          <w:rFonts w:ascii="仿宋" w:hAnsi="仿宋" w:eastAsia="仿宋" w:cs="仿宋"/>
          <w:color w:val="auto"/>
          <w:spacing w:val="-2"/>
          <w:kern w:val="2"/>
          <w:sz w:val="32"/>
          <w:szCs w:val="32"/>
          <w:lang w:val="en-US" w:eastAsia="zh-CN" w:bidi="ar-SA"/>
        </w:rPr>
        <w:t>2024年</w:t>
      </w:r>
      <w:r>
        <w:rPr>
          <w:rFonts w:hint="eastAsia" w:ascii="仿宋" w:hAnsi="仿宋" w:eastAsia="仿宋" w:cs="仿宋"/>
          <w:color w:val="auto"/>
          <w:spacing w:val="-2"/>
          <w:kern w:val="2"/>
          <w:sz w:val="32"/>
          <w:szCs w:val="32"/>
          <w:lang w:val="en-US" w:eastAsia="zh-CN" w:bidi="ar-SA"/>
        </w:rPr>
        <w:t>怀化市不动产登记中心</w:t>
      </w:r>
      <w:r>
        <w:rPr>
          <w:rFonts w:ascii="仿宋" w:hAnsi="仿宋" w:eastAsia="仿宋" w:cs="仿宋"/>
          <w:color w:val="auto"/>
          <w:spacing w:val="-2"/>
          <w:kern w:val="2"/>
          <w:sz w:val="32"/>
          <w:szCs w:val="32"/>
          <w:lang w:val="en-US" w:eastAsia="zh-CN" w:bidi="ar-SA"/>
        </w:rPr>
        <w:t>一般公共预算</w:t>
      </w:r>
      <w:r>
        <w:rPr>
          <w:rFonts w:hint="eastAsia" w:ascii="仿宋" w:hAnsi="仿宋" w:eastAsia="仿宋" w:cs="仿宋"/>
          <w:color w:val="auto"/>
          <w:spacing w:val="-2"/>
          <w:kern w:val="2"/>
          <w:sz w:val="32"/>
          <w:szCs w:val="32"/>
          <w:lang w:val="en-US" w:eastAsia="zh-CN" w:bidi="ar-SA"/>
        </w:rPr>
        <w:t>支出</w:t>
      </w:r>
      <w:r>
        <w:rPr>
          <w:rFonts w:hint="eastAsia" w:ascii="仿宋" w:hAnsi="仿宋" w:eastAsia="仿宋" w:cs="仿宋"/>
          <w:color w:val="auto"/>
          <w:sz w:val="32"/>
          <w:szCs w:val="32"/>
          <w:highlight w:val="none"/>
          <w:lang w:val="en-US" w:eastAsia="zh-CN"/>
        </w:rPr>
        <w:t>1757.46</w:t>
      </w:r>
      <w:r>
        <w:rPr>
          <w:rFonts w:ascii="仿宋" w:hAnsi="仿宋" w:eastAsia="仿宋" w:cs="仿宋"/>
          <w:color w:val="auto"/>
          <w:spacing w:val="-2"/>
          <w:kern w:val="2"/>
          <w:sz w:val="32"/>
          <w:szCs w:val="32"/>
          <w:lang w:val="en-US" w:eastAsia="zh-CN" w:bidi="ar-SA"/>
        </w:rPr>
        <w:t>万元，其中基本支出</w:t>
      </w:r>
      <w:r>
        <w:rPr>
          <w:rFonts w:hint="eastAsia" w:ascii="仿宋" w:hAnsi="仿宋" w:eastAsia="仿宋" w:cs="仿宋"/>
          <w:color w:val="auto"/>
          <w:spacing w:val="-2"/>
          <w:kern w:val="2"/>
          <w:sz w:val="32"/>
          <w:szCs w:val="32"/>
          <w:lang w:val="en-US" w:eastAsia="zh-CN" w:bidi="ar-SA"/>
        </w:rPr>
        <w:t>1583.75</w:t>
      </w:r>
      <w:r>
        <w:rPr>
          <w:rFonts w:hint="eastAsia" w:ascii="仿宋" w:hAnsi="仿宋" w:eastAsia="仿宋" w:cs="Times New Roman"/>
          <w:spacing w:val="-2"/>
          <w:sz w:val="32"/>
          <w:szCs w:val="32"/>
        </w:rPr>
        <w:t>万</w:t>
      </w:r>
      <w:r>
        <w:rPr>
          <w:rFonts w:ascii="仿宋" w:hAnsi="仿宋" w:eastAsia="仿宋" w:cs="仿宋"/>
          <w:color w:val="auto"/>
          <w:spacing w:val="-2"/>
          <w:kern w:val="2"/>
          <w:sz w:val="32"/>
          <w:szCs w:val="32"/>
          <w:lang w:val="en-US" w:eastAsia="zh-CN" w:bidi="ar-SA"/>
        </w:rPr>
        <w:t>元，项目支出</w:t>
      </w:r>
      <w:r>
        <w:rPr>
          <w:rFonts w:hint="eastAsia" w:ascii="仿宋" w:hAnsi="仿宋" w:eastAsia="仿宋" w:cs="仿宋"/>
          <w:color w:val="auto"/>
          <w:spacing w:val="-2"/>
          <w:kern w:val="2"/>
          <w:sz w:val="32"/>
          <w:szCs w:val="32"/>
          <w:lang w:val="en-US" w:eastAsia="zh-CN" w:bidi="ar-SA"/>
        </w:rPr>
        <w:t>173.71</w:t>
      </w:r>
      <w:r>
        <w:rPr>
          <w:rFonts w:ascii="仿宋" w:hAnsi="仿宋" w:eastAsia="仿宋" w:cs="仿宋"/>
          <w:color w:val="auto"/>
          <w:spacing w:val="-2"/>
          <w:kern w:val="2"/>
          <w:sz w:val="32"/>
          <w:szCs w:val="32"/>
          <w:lang w:val="en-US" w:eastAsia="zh-CN" w:bidi="ar-SA"/>
        </w:rPr>
        <w:t>万元</w:t>
      </w:r>
      <w:r>
        <w:rPr>
          <w:rFonts w:hint="eastAsia" w:ascii="仿宋" w:hAnsi="仿宋" w:eastAsia="仿宋" w:cs="仿宋"/>
          <w:color w:val="auto"/>
          <w:spacing w:val="-2"/>
          <w:kern w:val="2"/>
          <w:sz w:val="32"/>
          <w:szCs w:val="32"/>
          <w:lang w:val="en-US" w:eastAsia="zh-CN" w:bidi="ar-SA"/>
        </w:rPr>
        <w:t>，具体情况如下：</w:t>
      </w:r>
    </w:p>
    <w:p w14:paraId="6A0235D0">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default" w:ascii="仿宋" w:hAnsi="仿宋" w:eastAsia="仿宋" w:cs="仿宋"/>
          <w:color w:val="auto"/>
          <w:spacing w:val="-2"/>
          <w:kern w:val="2"/>
          <w:sz w:val="32"/>
          <w:szCs w:val="32"/>
          <w:lang w:val="en-US" w:eastAsia="zh-CN" w:bidi="ar-SA"/>
        </w:rPr>
      </w:pPr>
      <w:r>
        <w:rPr>
          <w:rFonts w:hint="default" w:ascii="仿宋" w:hAnsi="仿宋" w:eastAsia="仿宋" w:cs="仿宋"/>
          <w:color w:val="auto"/>
          <w:spacing w:val="-2"/>
          <w:kern w:val="2"/>
          <w:sz w:val="32"/>
          <w:szCs w:val="32"/>
          <w:lang w:val="en-US" w:eastAsia="zh-CN" w:bidi="ar-SA"/>
        </w:rPr>
        <w:t>（一）基本支出</w:t>
      </w:r>
    </w:p>
    <w:p w14:paraId="691A8AC3">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pPr>
      <w:r>
        <w:rPr>
          <w:rFonts w:ascii="仿宋" w:hAnsi="仿宋" w:eastAsia="仿宋" w:cs="仿宋"/>
          <w:color w:val="auto"/>
          <w:spacing w:val="-2"/>
          <w:kern w:val="2"/>
          <w:sz w:val="32"/>
          <w:szCs w:val="32"/>
          <w:lang w:val="en-US" w:eastAsia="zh-CN" w:bidi="ar-SA"/>
        </w:rPr>
        <w:t>基本支出系保障</w:t>
      </w:r>
      <w:r>
        <w:rPr>
          <w:rFonts w:hint="eastAsia" w:ascii="仿宋" w:hAnsi="仿宋" w:eastAsia="仿宋" w:cs="仿宋"/>
          <w:color w:val="auto"/>
          <w:spacing w:val="-2"/>
          <w:kern w:val="2"/>
          <w:sz w:val="32"/>
          <w:szCs w:val="32"/>
          <w:lang w:val="en-US" w:eastAsia="zh-CN" w:bidi="ar-SA"/>
        </w:rPr>
        <w:t>我中心</w:t>
      </w:r>
      <w:r>
        <w:rPr>
          <w:rFonts w:ascii="仿宋" w:hAnsi="仿宋" w:eastAsia="仿宋" w:cs="仿宋"/>
          <w:color w:val="auto"/>
          <w:spacing w:val="-2"/>
          <w:kern w:val="2"/>
          <w:sz w:val="32"/>
          <w:szCs w:val="32"/>
          <w:lang w:val="en-US" w:eastAsia="zh-CN" w:bidi="ar-SA"/>
        </w:rPr>
        <w:t>正常运转、完成日常工作任务而发生的</w:t>
      </w:r>
      <w:r>
        <w:rPr>
          <w:rFonts w:hint="eastAsia" w:ascii="仿宋" w:hAnsi="仿宋" w:eastAsia="仿宋" w:cs="仿宋"/>
          <w:color w:val="auto"/>
          <w:spacing w:val="-2"/>
          <w:kern w:val="2"/>
          <w:sz w:val="32"/>
          <w:szCs w:val="21"/>
          <w:lang w:val="en-US" w:eastAsia="zh-CN" w:bidi="ar-SA"/>
        </w:rPr>
        <w:t>人员经费和日常公用经费。</w:t>
      </w: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年基本支出</w:t>
      </w:r>
      <w:r>
        <w:rPr>
          <w:rFonts w:hint="eastAsia" w:ascii="仿宋" w:hAnsi="仿宋" w:eastAsia="仿宋" w:cs="仿宋"/>
          <w:color w:val="auto"/>
          <w:spacing w:val="-2"/>
          <w:kern w:val="2"/>
          <w:sz w:val="32"/>
          <w:szCs w:val="32"/>
          <w:lang w:val="en-US" w:eastAsia="zh-CN" w:bidi="ar-SA"/>
        </w:rPr>
        <w:t>1583.75</w:t>
      </w:r>
      <w:r>
        <w:rPr>
          <w:rFonts w:hint="eastAsia" w:ascii="仿宋" w:hAnsi="仿宋" w:eastAsia="仿宋" w:cs="Times New Roman"/>
          <w:spacing w:val="-2"/>
          <w:sz w:val="32"/>
          <w:szCs w:val="32"/>
        </w:rPr>
        <w:t>万元</w:t>
      </w:r>
      <w:r>
        <w:rPr>
          <w:rFonts w:hint="eastAsia" w:ascii="仿宋" w:hAnsi="仿宋" w:eastAsia="仿宋" w:cs="Times New Roman"/>
          <w:spacing w:val="-2"/>
          <w:sz w:val="32"/>
          <w:szCs w:val="32"/>
          <w:lang w:eastAsia="zh-CN"/>
        </w:rPr>
        <w:t>，</w:t>
      </w:r>
      <w:r>
        <w:rPr>
          <w:rFonts w:ascii="仿宋" w:hAnsi="仿宋" w:eastAsia="仿宋" w:cs="仿宋"/>
          <w:color w:val="auto"/>
          <w:spacing w:val="-2"/>
          <w:kern w:val="2"/>
          <w:sz w:val="32"/>
          <w:szCs w:val="32"/>
          <w:lang w:val="en-US" w:eastAsia="zh-CN" w:bidi="ar-SA"/>
        </w:rPr>
        <w:t>较上年</w:t>
      </w:r>
      <w:r>
        <w:rPr>
          <w:rFonts w:hint="eastAsia" w:ascii="仿宋" w:hAnsi="仿宋" w:eastAsia="仿宋" w:cs="仿宋"/>
          <w:color w:val="auto"/>
          <w:spacing w:val="-2"/>
          <w:kern w:val="2"/>
          <w:sz w:val="32"/>
          <w:szCs w:val="32"/>
          <w:lang w:val="en-US" w:eastAsia="zh-CN" w:bidi="ar-SA"/>
        </w:rPr>
        <w:t>增加229.78</w:t>
      </w:r>
      <w:r>
        <w:rPr>
          <w:rFonts w:ascii="仿宋" w:hAnsi="仿宋" w:eastAsia="仿宋" w:cs="仿宋"/>
          <w:color w:val="auto"/>
          <w:spacing w:val="-2"/>
          <w:kern w:val="2"/>
          <w:sz w:val="32"/>
          <w:szCs w:val="32"/>
          <w:lang w:val="en-US" w:eastAsia="zh-CN" w:bidi="ar-SA"/>
        </w:rPr>
        <w:t>万元，</w:t>
      </w:r>
      <w:r>
        <w:rPr>
          <w:rFonts w:hint="eastAsia" w:ascii="仿宋" w:hAnsi="仿宋" w:eastAsia="仿宋" w:cs="仿宋"/>
          <w:color w:val="auto"/>
          <w:spacing w:val="-2"/>
          <w:kern w:val="2"/>
          <w:sz w:val="32"/>
          <w:szCs w:val="32"/>
          <w:lang w:val="en-US" w:eastAsia="zh-CN" w:bidi="ar-SA"/>
        </w:rPr>
        <w:t>增长16.97</w:t>
      </w:r>
      <w:r>
        <w:rPr>
          <w:rFonts w:ascii="仿宋" w:hAnsi="仿宋" w:eastAsia="仿宋" w:cs="仿宋"/>
          <w:color w:val="auto"/>
          <w:spacing w:val="-2"/>
          <w:kern w:val="2"/>
          <w:sz w:val="32"/>
          <w:szCs w:val="32"/>
          <w:lang w:val="en-US" w:eastAsia="zh-CN" w:bidi="ar-SA"/>
        </w:rPr>
        <w:t>%</w:t>
      </w:r>
      <w:r>
        <w:rPr>
          <w:rFonts w:hint="eastAsia" w:ascii="仿宋" w:hAnsi="仿宋" w:eastAsia="仿宋" w:cs="仿宋"/>
          <w:color w:val="auto"/>
          <w:spacing w:val="-2"/>
          <w:kern w:val="2"/>
          <w:sz w:val="32"/>
          <w:szCs w:val="32"/>
          <w:lang w:val="en-US" w:eastAsia="zh-CN" w:bidi="ar-SA"/>
        </w:rPr>
        <w:t>，主要</w:t>
      </w:r>
      <w:r>
        <w:rPr>
          <w:rFonts w:hint="eastAsia" w:ascii="仿宋" w:hAnsi="仿宋" w:eastAsia="仿宋" w:cs="仿宋"/>
          <w:spacing w:val="-2"/>
          <w:sz w:val="32"/>
          <w:szCs w:val="32"/>
        </w:rPr>
        <w:t>是</w:t>
      </w:r>
      <w:r>
        <w:rPr>
          <w:rFonts w:hint="eastAsia" w:ascii="仿宋" w:hAnsi="仿宋" w:eastAsia="仿宋" w:cs="仿宋"/>
          <w:spacing w:val="-2"/>
          <w:sz w:val="32"/>
          <w:szCs w:val="32"/>
          <w:lang w:val="en-US" w:eastAsia="zh-CN"/>
        </w:rPr>
        <w:t>因为上年度部分基本支出在政府性基金预算资金中列支</w:t>
      </w:r>
      <w:r>
        <w:rPr>
          <w:rFonts w:ascii="仿宋" w:hAnsi="仿宋" w:eastAsia="仿宋" w:cs="仿宋"/>
          <w:color w:val="auto"/>
          <w:spacing w:val="-2"/>
          <w:kern w:val="2"/>
          <w:sz w:val="32"/>
          <w:szCs w:val="32"/>
          <w:lang w:val="en-US" w:eastAsia="zh-CN" w:bidi="ar-SA"/>
        </w:rPr>
        <w:t>。</w:t>
      </w:r>
    </w:p>
    <w:p w14:paraId="0EB4F154">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人员经费。人员经费</w:t>
      </w:r>
      <w:r>
        <w:rPr>
          <w:rFonts w:hint="eastAsia" w:ascii="仿宋" w:hAnsi="仿宋" w:eastAsia="仿宋" w:cs="仿宋"/>
          <w:spacing w:val="-2"/>
          <w:sz w:val="32"/>
          <w:szCs w:val="32"/>
          <w:lang w:val="en-US" w:eastAsia="zh-CN"/>
        </w:rPr>
        <w:t>1370.32</w:t>
      </w:r>
      <w:r>
        <w:rPr>
          <w:rFonts w:hint="eastAsia" w:ascii="仿宋" w:hAnsi="仿宋" w:eastAsia="仿宋" w:cs="仿宋"/>
          <w:color w:val="auto"/>
          <w:spacing w:val="-2"/>
          <w:kern w:val="2"/>
          <w:sz w:val="32"/>
          <w:szCs w:val="32"/>
          <w:lang w:val="en-US" w:eastAsia="zh-CN" w:bidi="ar-SA"/>
        </w:rPr>
        <w:t>万</w:t>
      </w:r>
      <w:r>
        <w:rPr>
          <w:rFonts w:hint="eastAsia" w:ascii="仿宋" w:hAnsi="仿宋" w:eastAsia="仿宋" w:cs="仿宋"/>
          <w:spacing w:val="-2"/>
          <w:sz w:val="32"/>
          <w:szCs w:val="32"/>
        </w:rPr>
        <w:t>元，占基本支出的</w:t>
      </w:r>
      <w:r>
        <w:rPr>
          <w:rFonts w:hint="eastAsia" w:ascii="仿宋" w:hAnsi="仿宋" w:eastAsia="仿宋" w:cs="仿宋"/>
          <w:spacing w:val="-2"/>
          <w:sz w:val="32"/>
          <w:szCs w:val="32"/>
          <w:lang w:val="en-US" w:eastAsia="zh-CN"/>
        </w:rPr>
        <w:t>86.52</w:t>
      </w:r>
      <w:r>
        <w:rPr>
          <w:rFonts w:hint="eastAsia" w:ascii="仿宋" w:hAnsi="仿宋" w:eastAsia="仿宋" w:cs="仿宋"/>
          <w:spacing w:val="-2"/>
          <w:sz w:val="32"/>
          <w:szCs w:val="32"/>
        </w:rPr>
        <w:t>%，较上年</w:t>
      </w:r>
      <w:r>
        <w:rPr>
          <w:rFonts w:hint="eastAsia" w:ascii="仿宋" w:hAnsi="仿宋" w:eastAsia="仿宋" w:cs="仿宋"/>
          <w:spacing w:val="-2"/>
          <w:sz w:val="32"/>
          <w:szCs w:val="32"/>
          <w:lang w:val="en-US" w:eastAsia="zh-CN"/>
        </w:rPr>
        <w:t>增加118.76万元，增长9.49</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因为上年度部分人员经费支出在政府性基金预算资金中列支</w:t>
      </w:r>
      <w:r>
        <w:rPr>
          <w:rFonts w:hint="eastAsia" w:ascii="仿宋" w:hAnsi="仿宋" w:eastAsia="仿宋" w:cs="仿宋"/>
          <w:spacing w:val="-2"/>
          <w:sz w:val="32"/>
          <w:szCs w:val="32"/>
        </w:rPr>
        <w:t>。</w:t>
      </w:r>
    </w:p>
    <w:p w14:paraId="7DC37E4B">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eastAsia" w:hAnsi="仿宋" w:eastAsia="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工资福利支出</w:t>
      </w:r>
      <w:r>
        <w:rPr>
          <w:rFonts w:hint="eastAsia" w:ascii="仿宋" w:hAnsi="仿宋" w:eastAsia="仿宋" w:cs="仿宋"/>
          <w:spacing w:val="-2"/>
          <w:sz w:val="32"/>
          <w:szCs w:val="32"/>
          <w:lang w:val="en-US" w:eastAsia="zh-CN"/>
        </w:rPr>
        <w:t>1335.08</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w:t>
      </w:r>
      <w:r>
        <w:rPr>
          <w:rFonts w:hAnsi="仿宋" w:eastAsia="仿宋"/>
          <w:spacing w:val="-2"/>
          <w:sz w:val="32"/>
          <w:szCs w:val="32"/>
        </w:rPr>
        <w:t>基本工资、津贴补贴、奖金、</w:t>
      </w:r>
      <w:r>
        <w:rPr>
          <w:rFonts w:hint="eastAsia" w:hAnsi="仿宋" w:eastAsia="仿宋"/>
          <w:spacing w:val="-2"/>
          <w:sz w:val="32"/>
          <w:szCs w:val="32"/>
        </w:rPr>
        <w:t>绩效工资</w:t>
      </w:r>
      <w:r>
        <w:rPr>
          <w:rFonts w:hint="eastAsia" w:hAnsi="仿宋" w:eastAsia="仿宋"/>
          <w:spacing w:val="-2"/>
          <w:sz w:val="32"/>
          <w:szCs w:val="32"/>
          <w:lang w:eastAsia="zh-CN"/>
        </w:rPr>
        <w:t>、</w:t>
      </w:r>
      <w:r>
        <w:rPr>
          <w:rFonts w:hint="eastAsia" w:hAnsi="仿宋" w:eastAsia="仿宋"/>
          <w:spacing w:val="-2"/>
          <w:sz w:val="32"/>
          <w:szCs w:val="32"/>
          <w:lang w:val="en-US" w:eastAsia="zh-CN"/>
        </w:rPr>
        <w:t>伙食补助费、</w:t>
      </w:r>
      <w:r>
        <w:rPr>
          <w:rFonts w:hAnsi="仿宋" w:eastAsia="仿宋"/>
          <w:spacing w:val="-2"/>
          <w:sz w:val="32"/>
          <w:szCs w:val="32"/>
        </w:rPr>
        <w:t>机关事业单位基本养老保险缴费、</w:t>
      </w:r>
      <w:r>
        <w:rPr>
          <w:rFonts w:hint="eastAsia" w:hAnsi="仿宋" w:eastAsia="仿宋"/>
          <w:spacing w:val="-2"/>
          <w:sz w:val="32"/>
          <w:szCs w:val="32"/>
          <w:lang w:val="en-US" w:eastAsia="zh-CN"/>
        </w:rPr>
        <w:t>职业年金缴费、</w:t>
      </w:r>
      <w:r>
        <w:rPr>
          <w:rFonts w:hAnsi="仿宋" w:eastAsia="仿宋"/>
          <w:spacing w:val="-2"/>
          <w:sz w:val="32"/>
          <w:szCs w:val="32"/>
        </w:rPr>
        <w:t>职工基本医疗保险缴费、其他社会保障缴费</w:t>
      </w:r>
      <w:r>
        <w:rPr>
          <w:rFonts w:hint="eastAsia" w:hAnsi="仿宋" w:eastAsia="仿宋"/>
          <w:spacing w:val="-2"/>
          <w:sz w:val="32"/>
          <w:szCs w:val="32"/>
          <w:lang w:eastAsia="zh-CN"/>
        </w:rPr>
        <w:t>、</w:t>
      </w:r>
      <w:r>
        <w:rPr>
          <w:rFonts w:hint="eastAsia" w:hAnsi="仿宋" w:eastAsia="仿宋"/>
          <w:spacing w:val="-2"/>
          <w:sz w:val="32"/>
          <w:szCs w:val="32"/>
          <w:lang w:val="en-US" w:eastAsia="zh-CN"/>
        </w:rPr>
        <w:t>住房公积金等支出</w:t>
      </w:r>
      <w:r>
        <w:rPr>
          <w:rFonts w:hint="eastAsia" w:hAnsi="仿宋" w:eastAsia="仿宋"/>
          <w:spacing w:val="-2"/>
          <w:sz w:val="32"/>
          <w:szCs w:val="32"/>
          <w:lang w:eastAsia="zh-CN"/>
        </w:rPr>
        <w:t>。</w:t>
      </w:r>
    </w:p>
    <w:p w14:paraId="749532C6">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对个人和家庭补助支出</w:t>
      </w:r>
      <w:r>
        <w:rPr>
          <w:rFonts w:hint="eastAsia" w:ascii="仿宋" w:hAnsi="仿宋" w:eastAsia="仿宋" w:cs="仿宋"/>
          <w:spacing w:val="-2"/>
          <w:sz w:val="32"/>
          <w:szCs w:val="32"/>
          <w:lang w:val="en-US" w:eastAsia="zh-CN"/>
        </w:rPr>
        <w:t>35.24</w:t>
      </w:r>
      <w:r>
        <w:rPr>
          <w:rFonts w:hint="eastAsia" w:ascii="仿宋" w:hAnsi="仿宋" w:eastAsia="仿宋" w:cs="仿宋"/>
          <w:spacing w:val="-2"/>
          <w:sz w:val="32"/>
          <w:szCs w:val="32"/>
        </w:rPr>
        <w:t>万元。主要包括生活补助、</w:t>
      </w:r>
      <w:r>
        <w:rPr>
          <w:rFonts w:hint="eastAsia" w:ascii="仿宋" w:hAnsi="仿宋" w:eastAsia="仿宋" w:cs="仿宋"/>
          <w:spacing w:val="-2"/>
          <w:sz w:val="32"/>
          <w:szCs w:val="32"/>
          <w:lang w:val="en-US" w:eastAsia="zh-CN"/>
        </w:rPr>
        <w:t>医疗费补助、</w:t>
      </w:r>
      <w:r>
        <w:rPr>
          <w:rFonts w:hint="eastAsia" w:ascii="仿宋" w:hAnsi="仿宋" w:eastAsia="仿宋" w:cs="仿宋"/>
          <w:spacing w:val="-2"/>
          <w:sz w:val="32"/>
          <w:szCs w:val="32"/>
          <w:lang w:eastAsia="zh-CN"/>
        </w:rPr>
        <w:t>奖励金、</w:t>
      </w:r>
      <w:r>
        <w:rPr>
          <w:rFonts w:hint="eastAsia" w:ascii="仿宋" w:hAnsi="仿宋" w:eastAsia="仿宋" w:cs="仿宋"/>
          <w:spacing w:val="-2"/>
          <w:sz w:val="32"/>
          <w:szCs w:val="32"/>
        </w:rPr>
        <w:t>其他对个人和家庭的补助等支出。</w:t>
      </w:r>
    </w:p>
    <w:p w14:paraId="41DA01F9">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日常公用经费。日常公用经费</w:t>
      </w:r>
      <w:r>
        <w:rPr>
          <w:rFonts w:hint="eastAsia" w:ascii="仿宋" w:hAnsi="仿宋" w:eastAsia="仿宋" w:cs="仿宋"/>
          <w:spacing w:val="-2"/>
          <w:sz w:val="32"/>
          <w:szCs w:val="32"/>
          <w:lang w:val="en-US" w:eastAsia="zh-CN"/>
        </w:rPr>
        <w:t>213.43</w:t>
      </w:r>
      <w:r>
        <w:rPr>
          <w:rFonts w:hint="eastAsia" w:ascii="仿宋" w:hAnsi="仿宋" w:eastAsia="仿宋" w:cs="仿宋"/>
          <w:spacing w:val="-2"/>
          <w:sz w:val="32"/>
          <w:szCs w:val="32"/>
        </w:rPr>
        <w:t>万元，占基本支出的</w:t>
      </w:r>
      <w:r>
        <w:rPr>
          <w:rFonts w:hint="eastAsia" w:ascii="仿宋" w:hAnsi="仿宋" w:eastAsia="仿宋" w:cs="仿宋"/>
          <w:spacing w:val="-2"/>
          <w:sz w:val="32"/>
          <w:szCs w:val="32"/>
          <w:lang w:val="en-US" w:eastAsia="zh-CN"/>
        </w:rPr>
        <w:t>13.48</w:t>
      </w:r>
      <w:r>
        <w:rPr>
          <w:rFonts w:hint="eastAsia" w:ascii="仿宋" w:hAnsi="仿宋" w:eastAsia="仿宋" w:cs="仿宋"/>
          <w:spacing w:val="-2"/>
          <w:sz w:val="32"/>
          <w:szCs w:val="32"/>
        </w:rPr>
        <w:t>%，</w:t>
      </w:r>
      <w:r>
        <w:rPr>
          <w:rFonts w:hint="eastAsia" w:ascii="仿宋" w:hAnsi="仿宋" w:eastAsia="仿宋" w:cs="仿宋"/>
          <w:color w:val="auto"/>
          <w:spacing w:val="-2"/>
          <w:kern w:val="2"/>
          <w:sz w:val="32"/>
          <w:szCs w:val="32"/>
          <w:lang w:val="en-US" w:eastAsia="zh-CN" w:bidi="ar-SA"/>
        </w:rPr>
        <w:t>较上年增加111.02万元，增长108.41%，</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因为上年度部分公用经费支出在政府性基金预算资金中列支。</w:t>
      </w:r>
    </w:p>
    <w:p w14:paraId="3A24DE83">
      <w:pPr>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right="0" w:rightChars="0" w:firstLine="632" w:firstLineChars="200"/>
        <w:textAlignment w:val="auto"/>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商品和服务支出</w:t>
      </w:r>
      <w:r>
        <w:rPr>
          <w:rFonts w:hint="eastAsia" w:ascii="仿宋" w:hAnsi="仿宋" w:eastAsia="仿宋" w:cs="仿宋"/>
          <w:spacing w:val="-2"/>
          <w:sz w:val="32"/>
          <w:szCs w:val="32"/>
          <w:lang w:val="en-US" w:eastAsia="zh-CN"/>
        </w:rPr>
        <w:t>211.18</w:t>
      </w:r>
      <w:r>
        <w:rPr>
          <w:rFonts w:hint="eastAsia" w:ascii="仿宋" w:hAnsi="仿宋" w:eastAsia="仿宋" w:cs="仿宋"/>
          <w:spacing w:val="-2"/>
          <w:sz w:val="32"/>
          <w:szCs w:val="32"/>
        </w:rPr>
        <w:t>万元。主要包括日常运行正常</w:t>
      </w:r>
      <w:r>
        <w:rPr>
          <w:rFonts w:hint="eastAsia" w:ascii="仿宋" w:hAnsi="仿宋" w:eastAsia="仿宋" w:cs="仿宋"/>
          <w:spacing w:val="-2"/>
          <w:sz w:val="32"/>
          <w:szCs w:val="32"/>
          <w:lang w:eastAsia="zh-CN"/>
        </w:rPr>
        <w:t>的</w:t>
      </w:r>
      <w:r>
        <w:rPr>
          <w:rFonts w:hint="eastAsia" w:ascii="仿宋" w:hAnsi="仿宋" w:eastAsia="仿宋" w:cs="仿宋"/>
          <w:spacing w:val="-2"/>
          <w:sz w:val="32"/>
          <w:szCs w:val="32"/>
        </w:rPr>
        <w:t>办公费</w:t>
      </w:r>
      <w:r>
        <w:rPr>
          <w:rFonts w:hint="eastAsia" w:ascii="仿宋" w:hAnsi="仿宋" w:eastAsia="仿宋" w:cs="仿宋"/>
          <w:spacing w:val="-2"/>
          <w:sz w:val="32"/>
          <w:szCs w:val="32"/>
          <w:lang w:val="en-US" w:eastAsia="zh-CN"/>
        </w:rPr>
        <w:t>、印刷费、差旅费、</w:t>
      </w:r>
      <w:r>
        <w:rPr>
          <w:rFonts w:hint="eastAsia" w:ascii="仿宋" w:hAnsi="仿宋" w:eastAsia="仿宋" w:cs="仿宋"/>
          <w:spacing w:val="-2"/>
          <w:sz w:val="32"/>
          <w:szCs w:val="32"/>
        </w:rPr>
        <w:t>其他商品服务支出等。</w:t>
      </w:r>
    </w:p>
    <w:p w14:paraId="512A7C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资本性支出</w:t>
      </w:r>
      <w:r>
        <w:rPr>
          <w:rFonts w:hint="eastAsia" w:ascii="仿宋" w:hAnsi="仿宋" w:eastAsia="仿宋" w:cs="仿宋"/>
          <w:spacing w:val="-2"/>
          <w:sz w:val="32"/>
          <w:szCs w:val="32"/>
          <w:lang w:val="en-US" w:eastAsia="zh-CN"/>
        </w:rPr>
        <w:t>2.25万元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w:t>
      </w:r>
      <w:r>
        <w:rPr>
          <w:rFonts w:hint="eastAsia" w:ascii="仿宋" w:hAnsi="仿宋" w:eastAsia="仿宋" w:cs="仿宋"/>
          <w:spacing w:val="-2"/>
          <w:sz w:val="32"/>
          <w:szCs w:val="32"/>
          <w:lang w:val="en-US" w:eastAsia="zh-CN"/>
        </w:rPr>
        <w:t>办公设备购置。</w:t>
      </w:r>
    </w:p>
    <w:p w14:paraId="2620C474">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rPr>
      </w:pPr>
      <w:r>
        <w:rPr>
          <w:rFonts w:hint="eastAsia" w:ascii="仿宋" w:hAnsi="仿宋" w:eastAsia="仿宋" w:cs="仿宋"/>
          <w:spacing w:val="-2"/>
          <w:sz w:val="32"/>
          <w:szCs w:val="32"/>
          <w:lang w:val="en-US" w:eastAsia="zh-CN"/>
        </w:rPr>
        <w:t>3.“</w:t>
      </w:r>
      <w:r>
        <w:rPr>
          <w:rFonts w:hint="default" w:ascii="仿宋" w:hAnsi="仿宋" w:eastAsia="仿宋" w:cs="仿宋"/>
          <w:spacing w:val="-2"/>
          <w:sz w:val="32"/>
          <w:szCs w:val="32"/>
        </w:rPr>
        <w:t>三公</w:t>
      </w:r>
      <w:r>
        <w:rPr>
          <w:rFonts w:hint="eastAsia" w:ascii="仿宋" w:hAnsi="仿宋" w:eastAsia="仿宋" w:cs="仿宋"/>
          <w:spacing w:val="-2"/>
          <w:sz w:val="32"/>
          <w:szCs w:val="32"/>
          <w:lang w:val="en-US" w:eastAsia="zh-CN"/>
        </w:rPr>
        <w:t>”</w:t>
      </w:r>
      <w:r>
        <w:rPr>
          <w:rFonts w:hint="default" w:ascii="仿宋" w:hAnsi="仿宋" w:eastAsia="仿宋" w:cs="仿宋"/>
          <w:spacing w:val="-2"/>
          <w:sz w:val="32"/>
          <w:szCs w:val="32"/>
        </w:rPr>
        <w:t>经费使用和管理情况</w:t>
      </w:r>
    </w:p>
    <w:p w14:paraId="603D3AD5">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highlight w:val="yellow"/>
          <w:lang w:val="en-US" w:eastAsia="zh-CN"/>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年“三公”经费预算为</w:t>
      </w:r>
      <w:r>
        <w:rPr>
          <w:rFonts w:hint="eastAsia" w:ascii="仿宋" w:hAnsi="仿宋" w:eastAsia="仿宋" w:cs="仿宋"/>
          <w:spacing w:val="-2"/>
          <w:sz w:val="32"/>
          <w:szCs w:val="32"/>
          <w:lang w:val="en-US" w:eastAsia="zh-CN"/>
        </w:rPr>
        <w:t>3.38</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其中</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因公出国(境)费预算0万元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公务用车购置费</w:t>
      </w:r>
      <w:r>
        <w:rPr>
          <w:rFonts w:hint="eastAsia" w:ascii="仿宋" w:hAnsi="仿宋" w:eastAsia="仿宋" w:cs="仿宋"/>
          <w:spacing w:val="-2"/>
          <w:sz w:val="32"/>
          <w:szCs w:val="32"/>
          <w:lang w:val="en-US" w:eastAsia="zh-CN"/>
        </w:rPr>
        <w:t>0万元，</w:t>
      </w:r>
      <w:r>
        <w:rPr>
          <w:rFonts w:hint="eastAsia" w:ascii="仿宋" w:hAnsi="仿宋" w:eastAsia="仿宋" w:cs="仿宋"/>
          <w:spacing w:val="-2"/>
          <w:sz w:val="32"/>
          <w:szCs w:val="32"/>
        </w:rPr>
        <w:t>公务用车运行维护费</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万元，公务接待费</w:t>
      </w:r>
      <w:r>
        <w:rPr>
          <w:rFonts w:hint="eastAsia" w:ascii="仿宋" w:hAnsi="仿宋" w:eastAsia="仿宋" w:cs="仿宋"/>
          <w:spacing w:val="-2"/>
          <w:sz w:val="32"/>
          <w:szCs w:val="32"/>
          <w:lang w:val="en-US" w:eastAsia="zh-CN"/>
        </w:rPr>
        <w:t>0.08</w:t>
      </w:r>
      <w:r>
        <w:rPr>
          <w:rFonts w:hint="eastAsia" w:ascii="仿宋" w:hAnsi="仿宋" w:eastAsia="仿宋" w:cs="仿宋"/>
          <w:spacing w:val="-2"/>
          <w:sz w:val="32"/>
          <w:szCs w:val="32"/>
        </w:rPr>
        <w:t>万元。本年</w:t>
      </w:r>
      <w:r>
        <w:rPr>
          <w:rFonts w:hint="eastAsia" w:ascii="仿宋" w:hAnsi="仿宋" w:eastAsia="仿宋" w:cs="仿宋"/>
          <w:spacing w:val="-2"/>
          <w:sz w:val="32"/>
          <w:szCs w:val="32"/>
          <w:lang w:val="en-US" w:eastAsia="zh-CN"/>
        </w:rPr>
        <w:t>度</w:t>
      </w:r>
      <w:r>
        <w:rPr>
          <w:rFonts w:hint="eastAsia" w:ascii="仿宋" w:hAnsi="仿宋" w:eastAsia="仿宋" w:cs="仿宋"/>
          <w:spacing w:val="-2"/>
          <w:sz w:val="32"/>
          <w:szCs w:val="32"/>
        </w:rPr>
        <w:t>“三公”经费总支出</w:t>
      </w:r>
      <w:r>
        <w:rPr>
          <w:rFonts w:hint="eastAsia" w:ascii="仿宋" w:hAnsi="仿宋" w:eastAsia="仿宋" w:cs="仿宋"/>
          <w:spacing w:val="-2"/>
          <w:sz w:val="32"/>
          <w:szCs w:val="32"/>
          <w:lang w:val="en-US" w:eastAsia="zh-CN"/>
        </w:rPr>
        <w:t>3.30</w:t>
      </w:r>
      <w:r>
        <w:rPr>
          <w:rFonts w:hint="eastAsia" w:ascii="仿宋" w:hAnsi="仿宋" w:eastAsia="仿宋" w:cs="仿宋"/>
          <w:spacing w:val="-2"/>
          <w:sz w:val="32"/>
          <w:szCs w:val="32"/>
        </w:rPr>
        <w:t>万元，其中</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因公出国(境)费0万元，公务用车购置费</w:t>
      </w:r>
      <w:r>
        <w:rPr>
          <w:rFonts w:hint="eastAsia" w:ascii="仿宋" w:hAnsi="仿宋" w:eastAsia="仿宋" w:cs="仿宋"/>
          <w:spacing w:val="-2"/>
          <w:sz w:val="32"/>
          <w:szCs w:val="32"/>
          <w:lang w:val="en-US" w:eastAsia="zh-CN"/>
        </w:rPr>
        <w:t>0万元，</w:t>
      </w:r>
      <w:r>
        <w:rPr>
          <w:rFonts w:hint="eastAsia" w:ascii="仿宋" w:hAnsi="仿宋" w:eastAsia="仿宋" w:cs="仿宋"/>
          <w:spacing w:val="-2"/>
          <w:sz w:val="32"/>
          <w:szCs w:val="32"/>
        </w:rPr>
        <w:t>公务用车运行维护费</w:t>
      </w:r>
      <w:r>
        <w:rPr>
          <w:rFonts w:hint="eastAsia" w:ascii="仿宋" w:hAnsi="仿宋" w:eastAsia="仿宋" w:cs="仿宋"/>
          <w:spacing w:val="-2"/>
          <w:sz w:val="32"/>
          <w:szCs w:val="32"/>
          <w:lang w:val="en-US" w:eastAsia="zh-CN"/>
        </w:rPr>
        <w:t>3.30</w:t>
      </w:r>
      <w:r>
        <w:rPr>
          <w:rFonts w:hint="eastAsia" w:ascii="仿宋" w:hAnsi="仿宋" w:eastAsia="仿宋" w:cs="仿宋"/>
          <w:spacing w:val="-2"/>
          <w:sz w:val="32"/>
          <w:szCs w:val="32"/>
        </w:rPr>
        <w:t>万元，公务接待费</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完成预算的100%，决算数等于预算数的主要原因是严格控制安排“三公”经费，确保“三公”经费不超预算。</w:t>
      </w:r>
      <w:r>
        <w:rPr>
          <w:rFonts w:hint="eastAsia" w:ascii="仿宋" w:hAnsi="仿宋" w:eastAsia="仿宋" w:cs="仿宋"/>
          <w:spacing w:val="-2"/>
          <w:sz w:val="32"/>
          <w:szCs w:val="32"/>
        </w:rPr>
        <w:t>本年</w:t>
      </w:r>
      <w:r>
        <w:rPr>
          <w:rFonts w:hint="eastAsia" w:ascii="仿宋" w:hAnsi="仿宋" w:eastAsia="仿宋" w:cs="仿宋"/>
          <w:spacing w:val="-2"/>
          <w:sz w:val="32"/>
          <w:szCs w:val="32"/>
          <w:lang w:val="en-US" w:eastAsia="zh-CN"/>
        </w:rPr>
        <w:t>度</w:t>
      </w:r>
      <w:r>
        <w:rPr>
          <w:rFonts w:hint="eastAsia" w:ascii="仿宋" w:hAnsi="仿宋" w:eastAsia="仿宋" w:cs="仿宋"/>
          <w:spacing w:val="-2"/>
          <w:sz w:val="32"/>
          <w:szCs w:val="32"/>
        </w:rPr>
        <w:t>“三公”经费总支出较上年</w:t>
      </w:r>
      <w:r>
        <w:rPr>
          <w:rFonts w:hint="eastAsia" w:ascii="仿宋" w:hAnsi="仿宋" w:eastAsia="仿宋" w:cs="仿宋"/>
          <w:spacing w:val="-2"/>
          <w:sz w:val="32"/>
          <w:szCs w:val="32"/>
          <w:lang w:val="en-US" w:eastAsia="zh-CN"/>
        </w:rPr>
        <w:t>增加0.09</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增长2.80</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其中公务用车运行费比上年</w:t>
      </w:r>
      <w:r>
        <w:rPr>
          <w:rFonts w:hint="eastAsia" w:ascii="仿宋" w:hAnsi="仿宋" w:eastAsia="仿宋" w:cs="仿宋"/>
          <w:spacing w:val="-2"/>
          <w:sz w:val="32"/>
          <w:szCs w:val="32"/>
          <w:lang w:val="en-US" w:eastAsia="zh-CN"/>
        </w:rPr>
        <w:t>增加0.09</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主要原因是本年度公务用车维修费增加。</w:t>
      </w:r>
    </w:p>
    <w:p w14:paraId="7780127E">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highlight w:val="none"/>
          <w:lang w:val="en-US" w:eastAsia="zh-CN"/>
        </w:rPr>
      </w:pPr>
      <w:r>
        <w:rPr>
          <w:rFonts w:hint="default" w:ascii="仿宋" w:hAnsi="仿宋" w:eastAsia="仿宋" w:cs="仿宋"/>
          <w:spacing w:val="-2"/>
          <w:sz w:val="32"/>
          <w:szCs w:val="32"/>
          <w:highlight w:val="none"/>
          <w:lang w:val="en-US" w:eastAsia="zh-CN"/>
        </w:rPr>
        <w:t>我</w:t>
      </w:r>
      <w:r>
        <w:rPr>
          <w:rFonts w:hint="eastAsia" w:ascii="仿宋" w:hAnsi="仿宋" w:eastAsia="仿宋" w:cs="仿宋"/>
          <w:spacing w:val="-2"/>
          <w:sz w:val="32"/>
          <w:szCs w:val="32"/>
          <w:highlight w:val="none"/>
          <w:lang w:val="en-US" w:eastAsia="zh-CN"/>
        </w:rPr>
        <w:t>中心</w:t>
      </w:r>
      <w:r>
        <w:rPr>
          <w:rFonts w:hint="default" w:ascii="仿宋" w:hAnsi="仿宋" w:eastAsia="仿宋" w:cs="仿宋"/>
          <w:spacing w:val="-2"/>
          <w:sz w:val="32"/>
          <w:szCs w:val="32"/>
          <w:highlight w:val="none"/>
          <w:lang w:val="en-US" w:eastAsia="zh-CN"/>
        </w:rPr>
        <w:t>认真贯彻落实中央八项规定和厉行节约要求</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严格控制“三公”经费开支</w:t>
      </w:r>
      <w:r>
        <w:rPr>
          <w:rFonts w:hint="eastAsia" w:ascii="仿宋" w:hAnsi="仿宋" w:eastAsia="仿宋" w:cs="仿宋"/>
          <w:spacing w:val="-2"/>
          <w:sz w:val="32"/>
          <w:szCs w:val="32"/>
          <w:highlight w:val="none"/>
          <w:lang w:val="en-US" w:eastAsia="zh-CN"/>
        </w:rPr>
        <w:t>，一</w:t>
      </w:r>
      <w:r>
        <w:rPr>
          <w:rFonts w:hint="default" w:ascii="仿宋" w:hAnsi="仿宋" w:eastAsia="仿宋" w:cs="仿宋"/>
          <w:spacing w:val="-2"/>
          <w:sz w:val="32"/>
          <w:szCs w:val="32"/>
          <w:highlight w:val="none"/>
          <w:lang w:val="en-US" w:eastAsia="zh-CN"/>
        </w:rPr>
        <w:t>是加强对公务车辆的管理。规范用车程序，从严安排出车，控制用车成本，提高车辆使用效率</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规范部门(单位)因公用车管理，从严控制用车费用</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严禁公车私用</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严禁酒后驾车</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严禁非专业司机驾驶公车。</w:t>
      </w:r>
      <w:r>
        <w:rPr>
          <w:rFonts w:hint="eastAsia" w:ascii="仿宋" w:hAnsi="仿宋" w:eastAsia="仿宋" w:cs="仿宋"/>
          <w:spacing w:val="-2"/>
          <w:sz w:val="32"/>
          <w:szCs w:val="32"/>
          <w:highlight w:val="none"/>
          <w:lang w:val="en-US" w:eastAsia="zh-CN"/>
        </w:rPr>
        <w:t>二是</w:t>
      </w:r>
      <w:r>
        <w:rPr>
          <w:rFonts w:hint="default" w:ascii="仿宋" w:hAnsi="仿宋" w:eastAsia="仿宋" w:cs="仿宋"/>
          <w:spacing w:val="-2"/>
          <w:sz w:val="32"/>
          <w:szCs w:val="32"/>
          <w:highlight w:val="none"/>
          <w:lang w:val="en-US" w:eastAsia="zh-CN"/>
        </w:rPr>
        <w:t>控制公务接待费用。简化公务接待，严格控制宴请、接待规模和规格</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严禁用公款大吃大喝</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公务消费严格按照市政府要求接待，且做到三不，即不上高档菜，不上烟，不上酒</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严禁公款私请。</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1.项目资金（包括财政资金、自筹资金等）安排落实、总投入等情况分析</w:t>
      </w:r>
    </w:p>
    <w:p w14:paraId="2E19AC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怀化市财政局关于批复下达2024年市直部门预算的通知》（怀财预〔2024〕5号），2024年项目支出预算安排227.25万元，预算资金来源为非税收入，其中不动产登记责任保险10万元、档案整理服务费33.95万元、聘任法律顾问经费14万元、三级等保复评项目和安全防护10.50万元、市本级信息系统维护费19.80万元、土地承包经营权确权发证工作经费30万元、优化营商环境工作经费109万元。本年度一般公共预算项目支出年初预算数227.25万元，全年预算数173.71万元，实际到位</w:t>
      </w:r>
      <w:r>
        <w:rPr>
          <w:rFonts w:hint="eastAsia" w:ascii="仿宋" w:hAnsi="仿宋" w:eastAsia="仿宋" w:cs="仿宋"/>
          <w:color w:val="auto"/>
          <w:spacing w:val="-2"/>
          <w:kern w:val="2"/>
          <w:sz w:val="32"/>
          <w:szCs w:val="32"/>
          <w:lang w:val="en-US" w:eastAsia="zh-CN" w:bidi="ar-SA"/>
        </w:rPr>
        <w:t>173.71</w:t>
      </w:r>
      <w:r>
        <w:rPr>
          <w:rFonts w:hint="eastAsia" w:ascii="仿宋" w:hAnsi="仿宋" w:eastAsia="仿宋" w:cs="仿宋"/>
          <w:color w:val="auto"/>
          <w:sz w:val="32"/>
          <w:szCs w:val="32"/>
          <w:highlight w:val="none"/>
          <w:lang w:val="en-US" w:eastAsia="zh-CN"/>
        </w:rPr>
        <w:t>万元，到位率100%。</w:t>
      </w:r>
    </w:p>
    <w:p w14:paraId="1F94C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2.项目资金（主要指财政资金）实际使用情况分析</w:t>
      </w:r>
    </w:p>
    <w:p w14:paraId="75043314">
      <w:pPr>
        <w:keepNext w:val="0"/>
        <w:keepLines w:val="0"/>
        <w:pageBreakBefore w:val="0"/>
        <w:widowControl/>
        <w:shd w:val="clear" w:color="auto" w:fill="FFFFFF"/>
        <w:kinsoku/>
        <w:wordWrap/>
        <w:overflowPunct/>
        <w:topLinePunct w:val="0"/>
        <w:autoSpaceDE/>
        <w:autoSpaceDN/>
        <w:bidi w:val="0"/>
        <w:adjustRightInd/>
        <w:spacing w:line="520" w:lineRule="exact"/>
        <w:ind w:firstLine="63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2"/>
          <w:sz w:val="32"/>
          <w:szCs w:val="32"/>
        </w:rPr>
        <w:t>项目支出系我</w:t>
      </w:r>
      <w:r>
        <w:rPr>
          <w:rFonts w:hint="eastAsia" w:ascii="仿宋" w:hAnsi="仿宋" w:eastAsia="仿宋" w:cs="仿宋"/>
          <w:spacing w:val="-2"/>
          <w:sz w:val="32"/>
          <w:szCs w:val="32"/>
          <w:lang w:val="en-US" w:eastAsia="zh-CN"/>
        </w:rPr>
        <w:t>中心</w:t>
      </w:r>
      <w:r>
        <w:rPr>
          <w:rFonts w:hint="eastAsia" w:ascii="仿宋" w:hAnsi="仿宋" w:eastAsia="仿宋" w:cs="仿宋"/>
          <w:spacing w:val="-2"/>
          <w:sz w:val="32"/>
          <w:szCs w:val="32"/>
        </w:rPr>
        <w:t>为完成事业发展目标而发生的支出，</w:t>
      </w:r>
      <w:r>
        <w:rPr>
          <w:rFonts w:hint="eastAsia" w:ascii="仿宋" w:hAnsi="仿宋" w:eastAsia="仿宋" w:cs="仿宋"/>
          <w:spacing w:val="-2"/>
          <w:sz w:val="32"/>
          <w:szCs w:val="32"/>
          <w:lang w:val="en-US" w:eastAsia="zh-CN"/>
        </w:rPr>
        <w:t>主要为</w:t>
      </w:r>
      <w:r>
        <w:rPr>
          <w:rFonts w:hint="eastAsia" w:ascii="仿宋" w:hAnsi="仿宋" w:eastAsia="仿宋" w:cs="仿宋"/>
          <w:spacing w:val="-2"/>
          <w:sz w:val="32"/>
          <w:szCs w:val="32"/>
          <w:highlight w:val="none"/>
          <w:lang w:val="en-US" w:eastAsia="zh-CN"/>
        </w:rPr>
        <w:t>专项资金</w:t>
      </w:r>
      <w:r>
        <w:rPr>
          <w:rFonts w:hint="eastAsia" w:ascii="仿宋" w:hAnsi="仿宋" w:eastAsia="仿宋" w:cs="仿宋"/>
          <w:spacing w:val="-2"/>
          <w:sz w:val="32"/>
          <w:szCs w:val="32"/>
          <w:highlight w:val="none"/>
        </w:rPr>
        <w:t>。20</w:t>
      </w:r>
      <w:r>
        <w:rPr>
          <w:rFonts w:hint="eastAsia" w:ascii="仿宋" w:hAnsi="仿宋" w:eastAsia="仿宋" w:cs="仿宋"/>
          <w:spacing w:val="-2"/>
          <w:sz w:val="32"/>
          <w:szCs w:val="32"/>
          <w:highlight w:val="none"/>
          <w:lang w:val="en-US" w:eastAsia="zh-CN"/>
        </w:rPr>
        <w:t>24</w:t>
      </w:r>
      <w:r>
        <w:rPr>
          <w:rFonts w:hint="eastAsia" w:ascii="仿宋" w:hAnsi="仿宋" w:eastAsia="仿宋" w:cs="仿宋"/>
          <w:spacing w:val="-2"/>
          <w:sz w:val="32"/>
          <w:szCs w:val="32"/>
          <w:highlight w:val="none"/>
        </w:rPr>
        <w:t>年</w:t>
      </w:r>
      <w:r>
        <w:rPr>
          <w:rFonts w:hint="eastAsia" w:ascii="仿宋" w:hAnsi="仿宋" w:eastAsia="仿宋" w:cs="仿宋"/>
          <w:spacing w:val="-2"/>
          <w:sz w:val="32"/>
          <w:szCs w:val="32"/>
          <w:highlight w:val="none"/>
          <w:lang w:val="en-US" w:eastAsia="zh-CN"/>
        </w:rPr>
        <w:t>一般公共预算</w:t>
      </w:r>
      <w:r>
        <w:rPr>
          <w:rFonts w:hint="eastAsia" w:ascii="仿宋" w:hAnsi="仿宋" w:eastAsia="仿宋" w:cs="仿宋"/>
          <w:spacing w:val="-2"/>
          <w:sz w:val="32"/>
          <w:szCs w:val="32"/>
          <w:highlight w:val="none"/>
        </w:rPr>
        <w:t>项目支出</w:t>
      </w:r>
      <w:r>
        <w:rPr>
          <w:rFonts w:hint="eastAsia" w:ascii="仿宋" w:hAnsi="仿宋" w:eastAsia="仿宋" w:cs="仿宋"/>
          <w:spacing w:val="-2"/>
          <w:sz w:val="32"/>
          <w:szCs w:val="32"/>
          <w:highlight w:val="none"/>
          <w:lang w:val="en-US" w:eastAsia="zh-CN"/>
        </w:rPr>
        <w:t>决算数</w:t>
      </w:r>
      <w:r>
        <w:rPr>
          <w:rFonts w:hint="eastAsia" w:ascii="仿宋" w:hAnsi="仿宋" w:eastAsia="仿宋" w:cs="仿宋"/>
          <w:color w:val="auto"/>
          <w:spacing w:val="-2"/>
          <w:kern w:val="2"/>
          <w:sz w:val="32"/>
          <w:szCs w:val="32"/>
          <w:lang w:val="en-US" w:eastAsia="zh-CN" w:bidi="ar-SA"/>
        </w:rPr>
        <w:t>173.71</w:t>
      </w:r>
      <w:r>
        <w:rPr>
          <w:rFonts w:hint="eastAsia" w:ascii="仿宋" w:hAnsi="仿宋" w:eastAsia="仿宋" w:cs="仿宋"/>
          <w:spacing w:val="-2"/>
          <w:sz w:val="32"/>
          <w:szCs w:val="32"/>
          <w:highlight w:val="none"/>
        </w:rPr>
        <w:t>万元，</w:t>
      </w:r>
      <w:r>
        <w:rPr>
          <w:rFonts w:hint="eastAsia" w:ascii="仿宋" w:hAnsi="仿宋" w:eastAsia="仿宋" w:cs="仿宋"/>
          <w:spacing w:val="-2"/>
          <w:sz w:val="32"/>
          <w:szCs w:val="32"/>
          <w:highlight w:val="none"/>
          <w:lang w:val="en-US" w:eastAsia="zh-CN"/>
        </w:rPr>
        <w:t>其中不动产登记责任保险10万元、档案整理服务费8.58万元、三级等保复评项目和安全防护8万元、市本级信息系统维护费14.28万元、优化营商环境工作经费87.85万元、办公设备采购经费45万元。2024年一般公共预算项目支出</w:t>
      </w:r>
      <w:r>
        <w:rPr>
          <w:rFonts w:hint="eastAsia" w:ascii="仿宋" w:hAnsi="仿宋" w:eastAsia="仿宋" w:cs="仿宋"/>
          <w:spacing w:val="-2"/>
          <w:sz w:val="32"/>
          <w:szCs w:val="32"/>
          <w:highlight w:val="none"/>
          <w:lang w:eastAsia="zh-CN"/>
        </w:rPr>
        <w:t>较</w:t>
      </w:r>
      <w:r>
        <w:rPr>
          <w:rFonts w:hint="eastAsia" w:ascii="仿宋" w:hAnsi="仿宋" w:eastAsia="仿宋" w:cs="仿宋"/>
          <w:spacing w:val="-2"/>
          <w:sz w:val="32"/>
          <w:szCs w:val="32"/>
          <w:highlight w:val="none"/>
        </w:rPr>
        <w:t>上年</w:t>
      </w:r>
      <w:r>
        <w:rPr>
          <w:rFonts w:hint="eastAsia" w:ascii="仿宋" w:hAnsi="仿宋" w:eastAsia="仿宋" w:cs="仿宋"/>
          <w:spacing w:val="-2"/>
          <w:sz w:val="32"/>
          <w:szCs w:val="32"/>
          <w:highlight w:val="none"/>
          <w:lang w:val="en-US" w:eastAsia="zh-CN"/>
        </w:rPr>
        <w:t>数减少29.73万元</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lang w:val="en-US" w:eastAsia="zh-CN"/>
        </w:rPr>
        <w:t>降低14.61%</w:t>
      </w:r>
      <w:r>
        <w:rPr>
          <w:rFonts w:hint="eastAsia" w:ascii="仿宋" w:hAnsi="仿宋" w:eastAsia="仿宋" w:cs="仿宋"/>
          <w:spacing w:val="-2"/>
          <w:sz w:val="32"/>
          <w:szCs w:val="32"/>
          <w:highlight w:val="none"/>
        </w:rPr>
        <w:t>，</w:t>
      </w:r>
      <w:r>
        <w:rPr>
          <w:rFonts w:hint="eastAsia" w:ascii="仿宋" w:hAnsi="仿宋" w:eastAsia="仿宋" w:cs="仿宋"/>
          <w:spacing w:val="-2"/>
          <w:sz w:val="32"/>
          <w:szCs w:val="32"/>
          <w:highlight w:val="none"/>
          <w:lang w:val="en-US" w:eastAsia="zh-CN"/>
        </w:rPr>
        <w:t>主要是</w:t>
      </w:r>
      <w:r>
        <w:rPr>
          <w:rFonts w:hint="eastAsia" w:ascii="仿宋" w:hAnsi="仿宋" w:eastAsia="仿宋" w:cs="仿宋"/>
          <w:color w:val="auto"/>
          <w:sz w:val="32"/>
          <w:szCs w:val="32"/>
          <w:highlight w:val="none"/>
          <w:lang w:val="en-US" w:eastAsia="zh-CN"/>
        </w:rPr>
        <w:t>优化营商环境工作经费</w:t>
      </w:r>
      <w:r>
        <w:rPr>
          <w:rFonts w:hint="eastAsia" w:ascii="仿宋" w:hAnsi="仿宋" w:eastAsia="仿宋" w:cs="仿宋"/>
          <w:spacing w:val="-2"/>
          <w:sz w:val="32"/>
          <w:szCs w:val="32"/>
          <w:highlight w:val="none"/>
          <w:lang w:val="en-US" w:eastAsia="zh-CN"/>
        </w:rPr>
        <w:t>支出较上年有所减少。</w:t>
      </w:r>
    </w:p>
    <w:p w14:paraId="064BB092">
      <w:pPr>
        <w:keepNext w:val="0"/>
        <w:keepLines w:val="0"/>
        <w:pageBreakBefore w:val="0"/>
        <w:widowControl/>
        <w:shd w:val="clear" w:color="auto" w:fill="FFFFFF"/>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3.项目资金管理情况分析</w:t>
      </w:r>
    </w:p>
    <w:p w14:paraId="6E6F65A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规范项目资金的使用，提高资金使用效益，加强资金管理，根据国家政府采购法和怀化市政府采购目录及标准，严格按照政府采购规定签订合同。依照财务管理制度和项目实施进度实行收支，做到项目资金专款专用。</w:t>
      </w:r>
    </w:p>
    <w:p w14:paraId="47AF94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（一）项目组织情况分析</w:t>
      </w:r>
    </w:p>
    <w:p w14:paraId="5FB0395D">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根据政府采购内部控制管理制度规定我中心成立政府采购领导小组，主任汤燕丽任组长，副主任李俊为纪检监察员，副主任杨向华、陈静，各科室科长为成员。采购小组集体决议会议是政府采购的决策机构，采购管理我中心采购预算编制、采购组织形式及采购方式、采购执行、验收、备案、监督检查等环节的全面管控。负责项目实施过程中的重大事件的决策；根据项目的进度、质量、技术、资源、风险等实行宏观监控；负责组建验收小组，主持验收工作。</w:t>
      </w:r>
    </w:p>
    <w:p w14:paraId="502C98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（二）项目管理情况分析</w:t>
      </w:r>
    </w:p>
    <w:p w14:paraId="5988CD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在实施项目过程中，我中心严格按照项目管理制度及相关文件要求开展工作，建立健全管理制度，严格履行审批手续，</w:t>
      </w:r>
      <w:r>
        <w:rPr>
          <w:rFonts w:hint="eastAsia" w:ascii="仿宋" w:hAnsi="仿宋" w:eastAsia="仿宋" w:cs="仿宋"/>
          <w:bCs w:val="0"/>
          <w:i w:val="0"/>
          <w:iCs w:val="0"/>
          <w:caps w:val="0"/>
          <w:snapToGrid w:val="0"/>
          <w:color w:val="000000"/>
          <w:spacing w:val="0"/>
          <w:kern w:val="0"/>
          <w:sz w:val="32"/>
          <w:szCs w:val="32"/>
          <w:shd w:val="clear" w:fill="FFFFFF"/>
          <w:lang w:val="en-US" w:eastAsia="zh-CN" w:bidi="ar"/>
        </w:rPr>
        <w:t>保障项目顺利实施</w:t>
      </w:r>
      <w:r>
        <w:rPr>
          <w:rFonts w:hint="eastAsia" w:ascii="仿宋" w:hAnsi="仿宋" w:eastAsia="仿宋" w:cs="仿宋"/>
          <w:color w:val="auto"/>
          <w:sz w:val="32"/>
          <w:szCs w:val="32"/>
          <w:highlight w:val="none"/>
          <w:lang w:val="en-US" w:eastAsia="zh-CN"/>
        </w:rPr>
        <w:t>。项目实施遵守相关法律法规和相关管理规定，合同书、验收资料齐全并及时归档。</w:t>
      </w:r>
    </w:p>
    <w:p w14:paraId="6681E1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1D62010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强化国有资产管理的责任意识，明确在申购、采购、使用、处置等环节的权责。</w:t>
      </w:r>
    </w:p>
    <w:p w14:paraId="7E8FC5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严格执行《怀化市财政局 怀化市机关事务管理局关于印发&lt;怀化市市直行政事业单位国有资产配置管理暂行办法&gt;&lt;怀化市市直行政事业单位国有资产处置管理暂行办法&gt;的通知》（怀财资〔2022〕136号）有关规定，规范资产配置和处置管理，一是严格按照预算管理规定和市财政局批复的预算配置资产，资产配置符合履行工作职能的需求。二是严格执行资产处置管理的有关规定，履行审批手续，未经批准，不得自行处置。</w:t>
      </w:r>
    </w:p>
    <w:p w14:paraId="74C1129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扎实开展资产清查、盘点等日常资产管理工作，确保账实相符、账账相符。</w:t>
      </w:r>
    </w:p>
    <w:p w14:paraId="7C2AACF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5CD672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2024年度政府性基金预算财政拨款收入35.45万元；年初结转和结余0万元；支出35.45万元，其中基本支出35.45万元，项目支出0万元；年末结转和结余0万元。</w:t>
      </w:r>
    </w:p>
    <w:p w14:paraId="3488626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0FABDDEB">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4年我中心无国有资本经营预算支出。</w:t>
      </w:r>
    </w:p>
    <w:p w14:paraId="3844A8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5E933E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4年我中心无社会保险基金预算支出。</w:t>
      </w:r>
    </w:p>
    <w:p w14:paraId="387ACB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4233E8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（一）综合评价结论</w:t>
      </w:r>
    </w:p>
    <w:p w14:paraId="2FDB59B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按照怀财绩〔2025〕32号要求，我中心从部门整体运行成本、管理效率和履职效能三个维度进行自评，通过对本部门在预算编制、预算执行、信息公开、绩效管理、政府采购、资产管理等方面以及工作任务完成情况进行分析，2024年整体支出绩效自评得分97.90分。</w:t>
      </w:r>
    </w:p>
    <w:p w14:paraId="010AAB5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自评情况看，怀化市不动产登记中心2024年度部门履职整体完成情况良好，部门总体预算绩效目标任务与部门履职、年度工作任务相符；年度绩效目标设置合理、明确，绩效指标清晰、细化、可衡量；预算编制较为完整规范；年度工作计划安排合理，人员合理控制，“三公经费”得以压减控制，政府采购合法合规，预算管理制度健全，资金使用合规，预决算信息按规定进行公开。</w:t>
      </w:r>
    </w:p>
    <w:p w14:paraId="56D27D3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w:t>
      </w:r>
      <w:r>
        <w:rPr>
          <w:rFonts w:hint="default" w:ascii="仿宋" w:hAnsi="仿宋" w:eastAsia="仿宋" w:cs="仿宋"/>
          <w:color w:val="auto"/>
          <w:kern w:val="2"/>
          <w:sz w:val="32"/>
          <w:szCs w:val="32"/>
          <w:highlight w:val="none"/>
          <w:lang w:val="en-US" w:eastAsia="zh-CN" w:bidi="ar-SA"/>
        </w:rPr>
        <w:t>运行成本</w:t>
      </w:r>
    </w:p>
    <w:p w14:paraId="2163045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从运行成本来看，我中心2024年在职人员、公用经费及“</w:t>
      </w:r>
      <w:r>
        <w:rPr>
          <w:rFonts w:hint="default" w:ascii="仿宋" w:hAnsi="仿宋" w:eastAsia="仿宋" w:cs="仿宋"/>
          <w:color w:val="auto"/>
          <w:kern w:val="2"/>
          <w:sz w:val="32"/>
          <w:szCs w:val="32"/>
          <w:highlight w:val="none"/>
          <w:lang w:val="en-US" w:eastAsia="zh-CN" w:bidi="ar-SA"/>
        </w:rPr>
        <w:t>三公经费</w:t>
      </w:r>
      <w:r>
        <w:rPr>
          <w:rFonts w:hint="eastAsia" w:ascii="仿宋" w:hAnsi="仿宋" w:eastAsia="仿宋" w:cs="仿宋"/>
          <w:color w:val="auto"/>
          <w:kern w:val="2"/>
          <w:sz w:val="32"/>
          <w:szCs w:val="32"/>
          <w:highlight w:val="none"/>
          <w:lang w:val="en-US" w:eastAsia="zh-CN" w:bidi="ar-SA"/>
        </w:rPr>
        <w:t>”控制情况较好，具体情况如下：</w:t>
      </w:r>
    </w:p>
    <w:p w14:paraId="3238FEE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1.财政供养人员控制率。2024年我中心编制数113人，实际在职人员数105人，在职人员控制率为92.92%。</w:t>
      </w:r>
    </w:p>
    <w:p w14:paraId="2E13DD7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r>
        <w:rPr>
          <w:rFonts w:hint="default" w:ascii="仿宋" w:hAnsi="仿宋" w:eastAsia="仿宋" w:cs="仿宋"/>
          <w:color w:val="auto"/>
          <w:kern w:val="2"/>
          <w:sz w:val="32"/>
          <w:szCs w:val="32"/>
          <w:highlight w:val="none"/>
          <w:lang w:val="en-US" w:eastAsia="zh-CN" w:bidi="ar-SA"/>
        </w:rPr>
        <w:t>公用经费控制率。202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年实际支出公用经费总额247.30万元，预算安排公用经费总额254.40万元，公用经费控制率</w:t>
      </w:r>
      <w:r>
        <w:rPr>
          <w:rFonts w:hint="eastAsia" w:ascii="仿宋" w:hAnsi="仿宋" w:eastAsia="仿宋" w:cs="仿宋"/>
          <w:color w:val="auto"/>
          <w:kern w:val="2"/>
          <w:sz w:val="32"/>
          <w:szCs w:val="32"/>
          <w:highlight w:val="none"/>
          <w:lang w:val="en-US" w:eastAsia="zh-CN" w:bidi="ar-SA"/>
        </w:rPr>
        <w:t>97.21</w:t>
      </w:r>
      <w:r>
        <w:rPr>
          <w:rFonts w:hint="default"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ab/>
      </w:r>
      <w:r>
        <w:rPr>
          <w:rFonts w:hint="default" w:ascii="仿宋" w:hAnsi="仿宋" w:eastAsia="仿宋" w:cs="仿宋"/>
          <w:color w:val="auto"/>
          <w:kern w:val="2"/>
          <w:sz w:val="32"/>
          <w:szCs w:val="32"/>
          <w:highlight w:val="none"/>
          <w:lang w:val="en-US" w:eastAsia="zh-CN" w:bidi="ar-SA"/>
        </w:rPr>
        <w:t>　</w:t>
      </w:r>
    </w:p>
    <w:p w14:paraId="3FD5646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r>
        <w:rPr>
          <w:rFonts w:hint="default" w:ascii="仿宋" w:hAnsi="仿宋" w:eastAsia="仿宋" w:cs="仿宋"/>
          <w:color w:val="auto"/>
          <w:kern w:val="2"/>
          <w:sz w:val="32"/>
          <w:szCs w:val="32"/>
          <w:highlight w:val="none"/>
          <w:lang w:val="en-US" w:eastAsia="zh-CN" w:bidi="ar-SA"/>
        </w:rPr>
        <w:t>“三公经费”控制率。</w:t>
      </w:r>
      <w:r>
        <w:rPr>
          <w:rFonts w:hint="eastAsia" w:ascii="仿宋" w:hAnsi="仿宋" w:eastAsia="仿宋" w:cs="仿宋"/>
          <w:color w:val="auto"/>
          <w:kern w:val="2"/>
          <w:sz w:val="32"/>
          <w:szCs w:val="32"/>
          <w:highlight w:val="none"/>
          <w:lang w:val="en-US" w:eastAsia="zh-CN" w:bidi="ar-SA"/>
        </w:rPr>
        <w:t>本年度</w:t>
      </w:r>
      <w:r>
        <w:rPr>
          <w:rFonts w:hint="default" w:ascii="仿宋" w:hAnsi="仿宋" w:eastAsia="仿宋" w:cs="仿宋"/>
          <w:color w:val="auto"/>
          <w:kern w:val="2"/>
          <w:sz w:val="32"/>
          <w:szCs w:val="32"/>
          <w:highlight w:val="none"/>
          <w:lang w:val="en-US" w:eastAsia="zh-CN" w:bidi="ar-SA"/>
        </w:rPr>
        <w:t>“三公经费”实际支出数为</w:t>
      </w:r>
      <w:r>
        <w:rPr>
          <w:rFonts w:hint="eastAsia" w:ascii="仿宋" w:hAnsi="仿宋" w:eastAsia="仿宋" w:cs="仿宋"/>
          <w:color w:val="auto"/>
          <w:kern w:val="2"/>
          <w:sz w:val="32"/>
          <w:szCs w:val="32"/>
          <w:highlight w:val="none"/>
          <w:lang w:val="en-US" w:eastAsia="zh-CN" w:bidi="ar-SA"/>
        </w:rPr>
        <w:t>3.30</w:t>
      </w:r>
      <w:r>
        <w:rPr>
          <w:rFonts w:hint="default" w:ascii="仿宋" w:hAnsi="仿宋" w:eastAsia="仿宋" w:cs="仿宋"/>
          <w:color w:val="auto"/>
          <w:kern w:val="2"/>
          <w:sz w:val="32"/>
          <w:szCs w:val="32"/>
          <w:highlight w:val="none"/>
          <w:lang w:val="en-US" w:eastAsia="zh-CN" w:bidi="ar-SA"/>
        </w:rPr>
        <w:t>万元，“三公经费”预算控制数为</w:t>
      </w:r>
      <w:r>
        <w:rPr>
          <w:rFonts w:hint="eastAsia" w:ascii="仿宋" w:hAnsi="仿宋" w:eastAsia="仿宋" w:cs="仿宋"/>
          <w:color w:val="auto"/>
          <w:kern w:val="2"/>
          <w:sz w:val="32"/>
          <w:szCs w:val="32"/>
          <w:highlight w:val="none"/>
          <w:lang w:val="en-US" w:eastAsia="zh-CN" w:bidi="ar-SA"/>
        </w:rPr>
        <w:t>3.30</w:t>
      </w:r>
      <w:r>
        <w:rPr>
          <w:rFonts w:hint="default" w:ascii="仿宋" w:hAnsi="仿宋" w:eastAsia="仿宋" w:cs="仿宋"/>
          <w:color w:val="auto"/>
          <w:kern w:val="2"/>
          <w:sz w:val="32"/>
          <w:szCs w:val="32"/>
          <w:highlight w:val="none"/>
          <w:lang w:val="en-US" w:eastAsia="zh-CN" w:bidi="ar-SA"/>
        </w:rPr>
        <w:t>万元，“三公经费”控制率为</w:t>
      </w:r>
      <w:r>
        <w:rPr>
          <w:rFonts w:hint="eastAsia" w:ascii="仿宋" w:hAnsi="仿宋" w:eastAsia="仿宋" w:cs="仿宋"/>
          <w:color w:val="auto"/>
          <w:kern w:val="2"/>
          <w:sz w:val="32"/>
          <w:szCs w:val="32"/>
          <w:highlight w:val="none"/>
          <w:lang w:val="en-US" w:eastAsia="zh-CN" w:bidi="ar-SA"/>
        </w:rPr>
        <w:t>100</w:t>
      </w:r>
      <w:r>
        <w:rPr>
          <w:rFonts w:hint="default" w:ascii="仿宋" w:hAnsi="仿宋" w:eastAsia="仿宋" w:cs="仿宋"/>
          <w:color w:val="auto"/>
          <w:kern w:val="2"/>
          <w:sz w:val="32"/>
          <w:szCs w:val="32"/>
          <w:highlight w:val="none"/>
          <w:lang w:val="en-US" w:eastAsia="zh-CN" w:bidi="ar-SA"/>
        </w:rPr>
        <w:t>%。</w:t>
      </w:r>
    </w:p>
    <w:p w14:paraId="280BC2D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4.“三公经费”变动率。本年度“三公经费”预算数3.30万元，上年度“三公经费”预算数9.15万元，“三公经费”变动率为-63.93%。</w:t>
      </w:r>
    </w:p>
    <w:p w14:paraId="7CFD2E1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管理效率</w:t>
      </w:r>
    </w:p>
    <w:p w14:paraId="3EDDFE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1.预算编制</w:t>
      </w:r>
    </w:p>
    <w:p w14:paraId="290FF2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我中心坚持围绕部门职责和管理需要，科学谋划预算资金安排，依据规定程序和要求，及时完成部门预算编制申报，同时合理设定入库项目绩效指标、年度目标值，科学构建部门整体支出绩效指标体系，提高财政资金配置效益。</w:t>
      </w:r>
    </w:p>
    <w:p w14:paraId="402C46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p>
    <w:p w14:paraId="6A7D81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2.预算执行</w:t>
      </w:r>
    </w:p>
    <w:p w14:paraId="3EF1AB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部门预算经批复后，跟踪预算执行进度，及时组织收入，科学合理安排支出；严格执行项目支出预算，积极组织项目实施；加强对预算执行过程的控制和结果的反馈，对预算执行差异及时分析成因和影响，并及时向领导和相关科室进行反馈，以采取措施纠正执行偏差，促进预算目标的全面完成。2024年年初预算数2270.35万元，调整后全年预算数2608.08万元，实际支出2060.78万元，预算执行率79.02%。</w:t>
      </w:r>
    </w:p>
    <w:p w14:paraId="7632EE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3.预决算信息公开性</w:t>
      </w:r>
    </w:p>
    <w:p w14:paraId="00B331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严格按照市财政局对预算和决算公开的有关要求，认真做好财政预决算信息公开工作，进一步提升部门预算执行透明度。我</w:t>
      </w:r>
      <w:r>
        <w:rPr>
          <w:rFonts w:hint="eastAsia" w:ascii="仿宋" w:hAnsi="仿宋" w:eastAsia="仿宋" w:cs="仿宋"/>
          <w:color w:val="auto"/>
          <w:kern w:val="2"/>
          <w:sz w:val="32"/>
          <w:szCs w:val="32"/>
          <w:highlight w:val="none"/>
          <w:lang w:val="en-US" w:eastAsia="zh-CN" w:bidi="ar-SA"/>
        </w:rPr>
        <w:t>中心</w:t>
      </w:r>
      <w:r>
        <w:rPr>
          <w:rFonts w:hint="default" w:ascii="仿宋" w:hAnsi="仿宋" w:eastAsia="仿宋" w:cs="仿宋"/>
          <w:color w:val="auto"/>
          <w:kern w:val="2"/>
          <w:sz w:val="32"/>
          <w:szCs w:val="32"/>
          <w:highlight w:val="none"/>
          <w:lang w:val="en-US" w:eastAsia="zh-CN" w:bidi="ar-SA"/>
        </w:rPr>
        <w:t>已按要求于202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lang w:val="en-US" w:eastAsia="zh-CN" w:bidi="ar-SA"/>
        </w:rPr>
        <w:t>1</w:t>
      </w:r>
      <w:r>
        <w:rPr>
          <w:rFonts w:hint="default"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lang w:val="en-US" w:eastAsia="zh-CN" w:bidi="ar-SA"/>
        </w:rPr>
        <w:t>25</w:t>
      </w:r>
      <w:r>
        <w:rPr>
          <w:rFonts w:hint="default" w:ascii="仿宋" w:hAnsi="仿宋" w:eastAsia="仿宋" w:cs="仿宋"/>
          <w:color w:val="auto"/>
          <w:kern w:val="2"/>
          <w:sz w:val="32"/>
          <w:szCs w:val="32"/>
          <w:highlight w:val="none"/>
          <w:lang w:val="en-US" w:eastAsia="zh-CN" w:bidi="ar-SA"/>
        </w:rPr>
        <w:t>日在</w:t>
      </w:r>
      <w:r>
        <w:rPr>
          <w:rFonts w:hint="eastAsia" w:ascii="仿宋" w:hAnsi="仿宋" w:eastAsia="仿宋" w:cs="仿宋"/>
          <w:color w:val="auto"/>
          <w:kern w:val="2"/>
          <w:sz w:val="32"/>
          <w:szCs w:val="32"/>
          <w:highlight w:val="none"/>
          <w:lang w:val="en-US" w:eastAsia="zh-CN" w:bidi="ar-SA"/>
        </w:rPr>
        <w:t>财政</w:t>
      </w:r>
      <w:r>
        <w:rPr>
          <w:rFonts w:hint="default" w:ascii="仿宋" w:hAnsi="仿宋" w:eastAsia="仿宋" w:cs="仿宋"/>
          <w:color w:val="auto"/>
          <w:kern w:val="2"/>
          <w:sz w:val="32"/>
          <w:szCs w:val="32"/>
          <w:highlight w:val="none"/>
          <w:lang w:val="en-US" w:eastAsia="zh-CN" w:bidi="ar-SA"/>
        </w:rPr>
        <w:t>网站公开部门预算信息</w:t>
      </w:r>
      <w:r>
        <w:rPr>
          <w:rFonts w:hint="eastAsia" w:ascii="仿宋" w:hAnsi="仿宋" w:eastAsia="仿宋" w:cs="仿宋"/>
          <w:color w:val="auto"/>
          <w:kern w:val="2"/>
          <w:sz w:val="32"/>
          <w:szCs w:val="32"/>
          <w:highlight w:val="none"/>
          <w:lang w:val="en-US" w:eastAsia="zh-CN" w:bidi="ar-SA"/>
        </w:rPr>
        <w:t>，于</w:t>
      </w:r>
      <w:r>
        <w:rPr>
          <w:rFonts w:hint="default" w:ascii="仿宋" w:hAnsi="仿宋" w:eastAsia="仿宋" w:cs="仿宋"/>
          <w:color w:val="auto"/>
          <w:kern w:val="2"/>
          <w:sz w:val="32"/>
          <w:szCs w:val="32"/>
          <w:highlight w:val="none"/>
          <w:lang w:val="en-US" w:eastAsia="zh-CN" w:bidi="ar-SA"/>
        </w:rPr>
        <w:t>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lang w:val="en-US" w:eastAsia="zh-CN" w:bidi="ar-SA"/>
        </w:rPr>
        <w:t>9</w:t>
      </w:r>
      <w:r>
        <w:rPr>
          <w:rFonts w:hint="default"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lang w:val="en-US" w:eastAsia="zh-CN" w:bidi="ar-SA"/>
        </w:rPr>
        <w:t>29</w:t>
      </w:r>
      <w:r>
        <w:rPr>
          <w:rFonts w:hint="default" w:ascii="仿宋" w:hAnsi="仿宋" w:eastAsia="仿宋" w:cs="仿宋"/>
          <w:color w:val="auto"/>
          <w:kern w:val="2"/>
          <w:sz w:val="32"/>
          <w:szCs w:val="32"/>
          <w:highlight w:val="none"/>
          <w:lang w:val="en-US" w:eastAsia="zh-CN" w:bidi="ar-SA"/>
        </w:rPr>
        <w:t>日在</w:t>
      </w:r>
      <w:r>
        <w:rPr>
          <w:rFonts w:hint="eastAsia" w:ascii="仿宋" w:hAnsi="仿宋" w:eastAsia="仿宋" w:cs="仿宋"/>
          <w:color w:val="auto"/>
          <w:kern w:val="2"/>
          <w:sz w:val="32"/>
          <w:szCs w:val="32"/>
          <w:highlight w:val="none"/>
          <w:lang w:val="en-US" w:eastAsia="zh-CN" w:bidi="ar-SA"/>
        </w:rPr>
        <w:t>财政</w:t>
      </w:r>
      <w:r>
        <w:rPr>
          <w:rFonts w:hint="default" w:ascii="仿宋" w:hAnsi="仿宋" w:eastAsia="仿宋" w:cs="仿宋"/>
          <w:color w:val="auto"/>
          <w:kern w:val="2"/>
          <w:sz w:val="32"/>
          <w:szCs w:val="32"/>
          <w:highlight w:val="none"/>
          <w:lang w:val="en-US" w:eastAsia="zh-CN" w:bidi="ar-SA"/>
        </w:rPr>
        <w:t>网站公开部门决算信息。</w:t>
      </w:r>
    </w:p>
    <w:p w14:paraId="59A6EB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4.绩效管理</w:t>
      </w:r>
    </w:p>
    <w:p w14:paraId="778AC0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2024年年初，我中心认真梳理2024年部门整体绩效目标和项目入库绩效目标、绩效指标，按照要求完成了怀化市财政局2024年度预算绩效目标审核工作。</w:t>
      </w:r>
    </w:p>
    <w:p w14:paraId="29CAB9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9月，根据《怀化市财政局关于开展2024年度市级财政资金绩效运行监控工作的通知》（怀财绩〔2024〕90号）有关规定，我中心高度重视，组织开展了2024年1-7月份部门整体支出和项目支出绩效运行监控工作，及时反馈项目支出实施情况，提高资金使用绩效。</w:t>
      </w:r>
    </w:p>
    <w:p w14:paraId="1EC614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2025年6月，按照</w:t>
      </w:r>
      <w:r>
        <w:rPr>
          <w:rFonts w:hint="eastAsia" w:ascii="仿宋" w:hAnsi="仿宋" w:eastAsia="仿宋" w:cs="仿宋"/>
          <w:color w:val="auto"/>
          <w:sz w:val="32"/>
          <w:szCs w:val="32"/>
          <w:highlight w:val="none"/>
          <w:lang w:val="en-US" w:eastAsia="zh-CN"/>
        </w:rPr>
        <w:t>怀财绩〔2025〕32号文件要求，我中心认真开展绩效自评工作，对2024年整体支出和项目支出实施了预算绩效自评，从自评情况看，年初制定的绩效目标基本完成，实施过程规范，效果良好。</w:t>
      </w:r>
    </w:p>
    <w:p w14:paraId="7B9A5E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r>
        <w:rPr>
          <w:rFonts w:hint="default" w:ascii="仿宋" w:hAnsi="仿宋" w:eastAsia="仿宋" w:cs="仿宋"/>
          <w:color w:val="auto"/>
          <w:kern w:val="2"/>
          <w:sz w:val="32"/>
          <w:szCs w:val="32"/>
          <w:highlight w:val="none"/>
          <w:lang w:val="en-US" w:eastAsia="zh-CN" w:bidi="ar-SA"/>
        </w:rPr>
        <w:t>管理制度健全性</w:t>
      </w:r>
    </w:p>
    <w:p w14:paraId="66B082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中心严格执行怀化市直单位有关差旅费、会议费、培训费、公务接待管理有关规定的要求，规范各项支出。做好内控体系建设，对预算管理、收支业务、政府采购、资产管理和合同管理五大方面经济业务的业务流程、风险点、管理制度进行了全面梳理，构建了较为规范的内部控制体系。</w:t>
      </w:r>
    </w:p>
    <w:p w14:paraId="26AB8C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r>
        <w:rPr>
          <w:rFonts w:hint="default" w:ascii="仿宋" w:hAnsi="仿宋" w:eastAsia="仿宋" w:cs="仿宋"/>
          <w:color w:val="auto"/>
          <w:kern w:val="2"/>
          <w:sz w:val="32"/>
          <w:szCs w:val="32"/>
          <w:highlight w:val="none"/>
          <w:lang w:val="en-US" w:eastAsia="zh-CN" w:bidi="ar-SA"/>
        </w:rPr>
        <w:t>资金使用合规性</w:t>
      </w:r>
    </w:p>
    <w:p w14:paraId="32004F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严格按照国家财经法规和财务管理制度及有关专项资金管理办法的规定进行支出。加强经费合法合规性审核和预算控制，资金使用合规</w:t>
      </w:r>
      <w:r>
        <w:rPr>
          <w:rFonts w:hint="eastAsia" w:ascii="仿宋" w:hAnsi="仿宋" w:eastAsia="仿宋" w:cs="仿宋"/>
          <w:color w:val="auto"/>
          <w:kern w:val="2"/>
          <w:sz w:val="32"/>
          <w:szCs w:val="32"/>
          <w:highlight w:val="none"/>
          <w:lang w:val="en-US" w:eastAsia="zh-CN" w:bidi="ar-SA"/>
        </w:rPr>
        <w:t>性较好</w:t>
      </w:r>
      <w:r>
        <w:rPr>
          <w:rFonts w:hint="default" w:ascii="仿宋" w:hAnsi="仿宋" w:eastAsia="仿宋" w:cs="仿宋"/>
          <w:color w:val="auto"/>
          <w:kern w:val="2"/>
          <w:sz w:val="32"/>
          <w:szCs w:val="32"/>
          <w:highlight w:val="none"/>
          <w:lang w:val="en-US" w:eastAsia="zh-CN" w:bidi="ar-SA"/>
        </w:rPr>
        <w:t>，支出手续齐全，程序到位。</w:t>
      </w:r>
    </w:p>
    <w:p w14:paraId="7893F3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7.政府采购管理</w:t>
      </w:r>
    </w:p>
    <w:p w14:paraId="0F07F2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年我</w:t>
      </w:r>
      <w:r>
        <w:rPr>
          <w:rFonts w:hint="eastAsia" w:ascii="仿宋" w:hAnsi="仿宋" w:eastAsia="仿宋" w:cs="仿宋"/>
          <w:color w:val="auto"/>
          <w:kern w:val="2"/>
          <w:sz w:val="32"/>
          <w:szCs w:val="32"/>
          <w:highlight w:val="none"/>
          <w:lang w:val="en-US" w:eastAsia="zh-CN" w:bidi="ar-SA"/>
        </w:rPr>
        <w:t>中心按工作实际需求、配置标准编制采购预算，严格按照政府采购程序和相关政策要求进行政府采购</w:t>
      </w:r>
      <w:r>
        <w:rPr>
          <w:rFonts w:hint="default" w:ascii="仿宋" w:hAnsi="仿宋" w:eastAsia="仿宋" w:cs="仿宋"/>
          <w:color w:val="auto"/>
          <w:kern w:val="2"/>
          <w:sz w:val="32"/>
          <w:szCs w:val="32"/>
          <w:highlight w:val="none"/>
          <w:lang w:val="en-US" w:eastAsia="zh-CN" w:bidi="ar-SA"/>
        </w:rPr>
        <w:t>，及时公开项目采购意向，做好合同备案及信息公开工作</w:t>
      </w:r>
      <w:r>
        <w:rPr>
          <w:rFonts w:hint="eastAsia" w:ascii="仿宋" w:hAnsi="仿宋" w:eastAsia="仿宋" w:cs="仿宋"/>
          <w:color w:val="auto"/>
          <w:kern w:val="2"/>
          <w:sz w:val="32"/>
          <w:szCs w:val="32"/>
          <w:highlight w:val="none"/>
          <w:lang w:val="en-US" w:eastAsia="zh-CN" w:bidi="ar-SA"/>
        </w:rPr>
        <w:t>。</w:t>
      </w:r>
    </w:p>
    <w:p w14:paraId="5CFB02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w:t>
      </w:r>
      <w:r>
        <w:rPr>
          <w:rFonts w:hint="default" w:ascii="仿宋" w:hAnsi="仿宋" w:eastAsia="仿宋" w:cs="仿宋"/>
          <w:color w:val="auto"/>
          <w:kern w:val="2"/>
          <w:sz w:val="32"/>
          <w:szCs w:val="32"/>
          <w:highlight w:val="none"/>
          <w:lang w:val="en-US" w:eastAsia="zh-CN" w:bidi="ar-SA"/>
        </w:rPr>
        <w:t>资产管理</w:t>
      </w:r>
    </w:p>
    <w:p w14:paraId="17379F3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合理配置资产。严格按照市财政局、市机关事务管理局相关文件规定，坚持科学合理、优化资产，勤俭节约，从严控制的原则，根据履行工作职能的需求合理配置资产。</w:t>
      </w:r>
    </w:p>
    <w:p w14:paraId="6512465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加强日常维护。固定资产使用人负责资产的日常维护保养，保证资产安全完整，提高资产使用效率。</w:t>
      </w:r>
    </w:p>
    <w:p w14:paraId="75BA8DD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按程序处置资产。按要求填写《怀化市行政事业单位国有资产处置审批表》及附表，资产处置金额5万元以下由市机关事务管理局审批，5万元（含）以上由市机关事务管理局审核，市财政局审批。</w:t>
      </w:r>
    </w:p>
    <w:p w14:paraId="71C08BA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每年定期组织资产清查，对资产进行账实核对，做到账实相符、账账相符。</w:t>
      </w:r>
    </w:p>
    <w:p w14:paraId="60A0C66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履职效能</w:t>
      </w:r>
    </w:p>
    <w:p w14:paraId="130522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1.年度总体目标完成情况</w:t>
      </w:r>
    </w:p>
    <w:p w14:paraId="2EE49B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在省厅、市政府以及局党组的正确领导下，我市不动产登记工作严格对照年初提出的目标任务及要求，加强党建与业务融合、持续优化财产登记营商环境、加大房地产处遗力度、加快权证办理和资产处置、稳步推进房“交房即交证”、“交地即交证”“竣工即交证”改革，大力推进清廉大厅建设，不断提升登记服务水平。截止目前，市本级受理各类不动产登记95961件，发放不动产登记证书68543本；证明27418本，共处理回复各类信访件336件，收取登记费1039万元。</w:t>
      </w:r>
    </w:p>
    <w:p w14:paraId="52DF62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求真务实，促使财产登记领域营商环境更优化。</w:t>
      </w:r>
      <w:r>
        <w:rPr>
          <w:rFonts w:hint="eastAsia" w:ascii="仿宋" w:hAnsi="仿宋" w:eastAsia="仿宋" w:cs="仿宋"/>
          <w:color w:val="auto"/>
          <w:kern w:val="2"/>
          <w:sz w:val="32"/>
          <w:szCs w:val="32"/>
          <w:highlight w:val="none"/>
          <w:lang w:val="en-US" w:eastAsia="zh-CN" w:bidi="ar-SA"/>
        </w:rPr>
        <w:t>按照市委市政府关于营商环境指标要求，我中心主要领导高度重视，率先垂范，组织专班，指派专人，坚持“以人民为中心”的出发点，切实解决“急、需、盼、难”的问题，坚持高位推动，抽调专人，成立专班，严格按照指标要求结合实际推行落实营商环境工作四条措施即“推行优质服务”“提升作风建设”、“整治窗口腐败”，“树立清廉典型”，打通便民利企服务“快车道”。优化流程、精简提速，营商环境更加优化，群众满意度明显上升，学廉崇廉守廉氛围更加浓厚。</w:t>
      </w:r>
    </w:p>
    <w:p w14:paraId="67AF3C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主动服务，助力中小微企业登记更便民。</w:t>
      </w:r>
      <w:r>
        <w:rPr>
          <w:rFonts w:hint="eastAsia" w:ascii="仿宋" w:hAnsi="仿宋" w:eastAsia="仿宋" w:cs="仿宋"/>
          <w:color w:val="auto"/>
          <w:kern w:val="2"/>
          <w:sz w:val="32"/>
          <w:szCs w:val="32"/>
          <w:highlight w:val="none"/>
          <w:lang w:val="en-US" w:eastAsia="zh-CN" w:bidi="ar-SA"/>
        </w:rPr>
        <w:t>为贯彻“放管服”改革精神，落实免收小微企业不动产登记费政策，优化营商环境工作，我中心通过实地走访的方式先后到刘霖房地产开发公司、怀化黔锦置业有限公司、怀化华盛麓峰房地产开发公司登3家企业召开现场座谈会面对面与企业代表进行沟通、互动。并就我中心下一步围绕惠企、助企，如何全力践行助企纾困为企业提供优质高效服务进行了深入交流。通过听取建议，结合自身，我中心决定以此次活动为载体，设身处地地为企业排忧解难，行之有效地去帮助企业化解难题。要坚持问题导向，把服务企业发展成效作为检验工作能力和水平的重要标尺，一站式梳理问题清单一站式抓好落实整改。要秉承依法依规、实事求是的原则，妥善处理历史遗留问题，做到“发现一个解决一个的实际效果。切实转变工作作风，强化优质服务力度以企业需求为导向持续优化营商环境，不断提升我市不动产登记服务效能。截至目前，共为我市小微企业减免登记费约218万元。</w:t>
      </w:r>
    </w:p>
    <w:p w14:paraId="5C158E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房地一体确权登记工作更加深入民心。</w:t>
      </w:r>
      <w:r>
        <w:rPr>
          <w:rFonts w:hint="eastAsia" w:ascii="仿宋" w:hAnsi="仿宋" w:eastAsia="仿宋" w:cs="仿宋"/>
          <w:color w:val="auto"/>
          <w:kern w:val="2"/>
          <w:sz w:val="32"/>
          <w:szCs w:val="32"/>
          <w:highlight w:val="none"/>
          <w:lang w:val="en-US" w:eastAsia="zh-CN" w:bidi="ar-SA"/>
        </w:rPr>
        <w:t>我市农村宅基地和集体建设用地确权登记发证工作在市政府统一领导下进行，市政府各有关部门和各级乡、镇人民政府通力协作、密切配合。（1）今年市本级鹤城区集体所有权登记发证总数5802宗，5月完成登簿任务。6月完成集体土地所有权确权登记汇交成果纳入省级不动产登记数据库管理。目前，已登记5802宗，尚有部分不具备登记发证条件，已纳入遗留问题台账管理。已登记宗地现正在组织缮证颁证工作。（2）农村宅基地确权登记发证情况今年11月份，省厅来我中心调研“农村不动产登记重点工作”。目前，怀化市鹤城区农村房地一体确权登记调查涉及8个乡镇（街道办事处），46个村。总调查数为24705宗地，应发证14133宗，已发证13482宗，发证率达95%。</w:t>
      </w:r>
    </w:p>
    <w:p w14:paraId="7B2058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创新举措、化解“登记难”问题，让群众收获满满幸福感。</w:t>
      </w:r>
      <w:r>
        <w:rPr>
          <w:rFonts w:hint="eastAsia" w:ascii="仿宋" w:hAnsi="仿宋" w:eastAsia="仿宋" w:cs="仿宋"/>
          <w:color w:val="auto"/>
          <w:kern w:val="2"/>
          <w:sz w:val="32"/>
          <w:szCs w:val="32"/>
          <w:highlight w:val="none"/>
          <w:lang w:val="en-US" w:eastAsia="zh-CN" w:bidi="ar-SA"/>
        </w:rPr>
        <w:t>解决我市房地产办证历史遗留问题，事关广大群众切身利益，我中心充分认识到做好该项工作的重要性，在不突破法律底线前提下，大胆改革创新，优先为群众办好证。为了解决遗留问题项目中购房业主在无过错并实际入住情况下因房地产企业或有关单位拒不配合履行办证义务造成的登记难情况，我中心报经局领导同意后，坚持以保障人民群众合法权益为己任，开阔思路，在确保权属清晰的情况下为“锦绣山河”三期245户购房业主以单方申请的方式顺利办理了新建商品房转移登记分户证，获得了广大群众一致好评。与此同时我中心还将继续聚焦“历史遗留问题”项目的“急、难、愁、盼”问题，开放性地创新思路，针对性地借鉴经验，在坚守政策法规的前提下，以灵活的“政策身法”，多变的“服务走位”、优质的“便民举措”为化解我市历史遗留问题再出新招。截止目前，市本级遗留问题项目共启动办证210个项目。累计办总证84713本，已发证68511本。</w:t>
      </w:r>
    </w:p>
    <w:p w14:paraId="5621E9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2.绩效目标指标完成情况</w:t>
      </w:r>
    </w:p>
    <w:p w14:paraId="09F8C7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2024年度我中心设置了三级成本指标2个、产出指标7个、效益指标3个、满意度指标1个，指标完成情况如下：</w:t>
      </w:r>
    </w:p>
    <w:p w14:paraId="5AAD8A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（1）成本指标分析</w:t>
      </w:r>
    </w:p>
    <w:p w14:paraId="7F95B9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部门整体支出成本2060.78万元</w:t>
      </w:r>
      <w:r>
        <w:rPr>
          <w:rFonts w:hint="eastAsia" w:ascii="仿宋" w:hAnsi="仿宋" w:eastAsia="仿宋" w:cs="仿宋"/>
          <w:color w:val="auto"/>
          <w:kern w:val="2"/>
          <w:sz w:val="32"/>
          <w:szCs w:val="32"/>
          <w:highlight w:val="none"/>
          <w:lang w:val="en-US" w:eastAsia="zh-CN" w:bidi="ar-SA"/>
        </w:rPr>
        <w:t>，社会成本节约率20.98%，完成年初目标。</w:t>
      </w:r>
    </w:p>
    <w:p w14:paraId="27D66A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（2）产出指标分析</w:t>
      </w:r>
    </w:p>
    <w:p w14:paraId="3A2530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数量指标：受理不动产权登记95961件，发放不动产登记证书68543本，发放不动产登记证明27418本，不动产登记资料整理、归档完成率90%，完成年初目标。</w:t>
      </w:r>
    </w:p>
    <w:p w14:paraId="5DFB2D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质量指标：不动产登记平台维护率100%，整理归档合规率100%，完成年初目标。</w:t>
      </w:r>
    </w:p>
    <w:p w14:paraId="5D7613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时效指标：2024年12月31日前完成。</w:t>
      </w:r>
    </w:p>
    <w:p w14:paraId="0292B5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（3）效益指标分析</w:t>
      </w:r>
    </w:p>
    <w:p w14:paraId="06814F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发挥专项资金使用效益，服务当地经济发展；完善办事效率，提高群众满意度；持续促进企业健康发展，解决办事群众困难。完成年初目标。</w:t>
      </w:r>
    </w:p>
    <w:p w14:paraId="7938E91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满意度</w:t>
      </w:r>
      <w:r>
        <w:rPr>
          <w:rFonts w:hint="eastAsia" w:ascii="仿宋" w:hAnsi="仿宋" w:eastAsia="仿宋" w:cs="仿宋"/>
          <w:color w:val="auto"/>
          <w:kern w:val="2"/>
          <w:sz w:val="32"/>
          <w:szCs w:val="32"/>
          <w:highlight w:val="none"/>
          <w:lang w:val="en-US" w:eastAsia="zh-CN" w:bidi="ar-SA"/>
        </w:rPr>
        <w:t>指标分析</w:t>
      </w:r>
    </w:p>
    <w:p w14:paraId="4059CD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社会公众满意度达95%，完成年初目标。</w:t>
      </w:r>
    </w:p>
    <w:p w14:paraId="7943E2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43F2A1C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（一）预算编制工作还有待细化，预算编制还不够明确和细化。</w:t>
      </w:r>
    </w:p>
    <w:p w14:paraId="33D733B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（二）中心全额编制人员少，主要是差额拨款，收入少导致经费不足，日常公用经费不足、与实际支出相差甚远，目前收入维持运转较困难。</w:t>
      </w:r>
    </w:p>
    <w:p w14:paraId="155B9B3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（三）中心项目经费没有保障，由于经费形式是差额拨款，收入不足导致部门预算资金有缺口。</w:t>
      </w:r>
    </w:p>
    <w:p w14:paraId="4F0F78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257F8A1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针对存在的问题，拟实施改进的措施如下：</w:t>
      </w:r>
    </w:p>
    <w:p w14:paraId="45520E5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加强预算编制工作，严格按照预算编制的相关制度和要求进行预算编制，优先保障固定性的、相对刚性的费用支出项目，尽量压缩变动性的，有控制空间的费用项目，进一步提高预算编制的科学性、严谨性和可控性。</w:t>
      </w:r>
    </w:p>
    <w:p w14:paraId="36854D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加强财务管理，严格财务审核，健全中心财务管理制度体系，规范中心财务行为，抓好“三公”经费控制。在费用报账支付时，按照预算规定的费用项目和用途进行资金使用审核、列支支付、财务核算，杜绝超支现象发生。加强收入执行力度，减少资金缺口。</w:t>
      </w:r>
    </w:p>
    <w:p w14:paraId="6A2EBD7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26FC548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绩效自评结果可以进一步规范财政资金管理，强化部门绩效和责任意识，切实提高财政资金使用效益，同时编制下一年的部门预算可以参考绩效自评结果，以提高预算编制的精准性。</w:t>
      </w:r>
      <w:r>
        <w:rPr>
          <w:rFonts w:hint="eastAsia" w:ascii="仿宋" w:hAnsi="仿宋" w:eastAsia="仿宋" w:cs="仿宋"/>
          <w:color w:val="auto"/>
          <w:kern w:val="2"/>
          <w:sz w:val="32"/>
          <w:szCs w:val="32"/>
          <w:highlight w:val="none"/>
          <w:lang w:val="en-US" w:eastAsia="zh-CN" w:bidi="ar-SA"/>
        </w:rPr>
        <w:t>绩效自评</w:t>
      </w:r>
      <w:r>
        <w:rPr>
          <w:rFonts w:hint="default" w:ascii="仿宋" w:hAnsi="仿宋" w:eastAsia="仿宋" w:cs="仿宋"/>
          <w:color w:val="auto"/>
          <w:kern w:val="2"/>
          <w:sz w:val="32"/>
          <w:szCs w:val="32"/>
          <w:highlight w:val="none"/>
          <w:lang w:val="en-US" w:eastAsia="zh-CN" w:bidi="ar-SA"/>
        </w:rPr>
        <w:t>结果</w:t>
      </w:r>
      <w:r>
        <w:rPr>
          <w:rFonts w:hint="eastAsia" w:ascii="仿宋" w:hAnsi="仿宋" w:eastAsia="仿宋" w:cs="仿宋"/>
          <w:color w:val="auto"/>
          <w:kern w:val="2"/>
          <w:sz w:val="32"/>
          <w:szCs w:val="32"/>
          <w:highlight w:val="none"/>
          <w:lang w:val="en-US" w:eastAsia="zh-CN" w:bidi="ar-SA"/>
        </w:rPr>
        <w:t>按照</w:t>
      </w:r>
      <w:r>
        <w:rPr>
          <w:rFonts w:hint="default" w:ascii="仿宋" w:hAnsi="仿宋" w:eastAsia="仿宋" w:cs="仿宋"/>
          <w:color w:val="auto"/>
          <w:kern w:val="2"/>
          <w:sz w:val="32"/>
          <w:szCs w:val="32"/>
          <w:highlight w:val="none"/>
          <w:lang w:val="en-US" w:eastAsia="zh-CN" w:bidi="ar-SA"/>
        </w:rPr>
        <w:t>财政要求及时公开。</w:t>
      </w:r>
    </w:p>
    <w:p w14:paraId="0D944C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68E802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账务数据和决算数据按支出性质分类（基本支出、项目支出）存在差异，主要原因是政府性基金预算财政拨款支出35.45万元部门决算报表列支项目支出，账务列支基本支出。本次绩效评价以账务数据为准。</w:t>
      </w:r>
    </w:p>
    <w:p w14:paraId="79F362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01D1ADA">
      <w:pPr>
        <w:pStyle w:val="15"/>
        <w:spacing w:line="600" w:lineRule="exact"/>
        <w:ind w:firstLine="640" w:firstLineChars="200"/>
        <w:rPr>
          <w:rFonts w:ascii="Times New Roman" w:hAnsi="Times New Roman" w:eastAsia="仿宋_GB2312" w:cs="Times New Roman"/>
          <w:sz w:val="32"/>
          <w:szCs w:val="32"/>
        </w:rPr>
      </w:pPr>
    </w:p>
    <w:p w14:paraId="540ADFFC">
      <w:pPr>
        <w:pStyle w:val="15"/>
        <w:jc w:val="center"/>
        <w:rPr>
          <w:rFonts w:ascii="Times New Roman" w:hAnsi="Times New Roman" w:cs="Times New Roman"/>
          <w:sz w:val="72"/>
          <w:szCs w:val="72"/>
        </w:rPr>
      </w:pPr>
    </w:p>
    <w:p w14:paraId="330AE1BA">
      <w:pPr>
        <w:pStyle w:val="15"/>
        <w:jc w:val="center"/>
        <w:rPr>
          <w:rFonts w:ascii="Times New Roman" w:hAnsi="Times New Roman" w:cs="Times New Roman"/>
          <w:sz w:val="72"/>
          <w:szCs w:val="72"/>
        </w:rPr>
      </w:pPr>
    </w:p>
    <w:p w14:paraId="6AA6FCA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170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F47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03E3">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03A3">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5F4D">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5D03">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4C2E">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0188084D">
                <w:pPr>
                  <w:pStyle w:val="5"/>
                </w:pPr>
                <w:r>
                  <w:fldChar w:fldCharType="begin"/>
                </w:r>
                <w:r>
                  <w:instrText xml:space="preserve"> PAGE  \* MERGEFORMAT </w:instrText>
                </w:r>
                <w:r>
                  <w:fldChar w:fldCharType="separate"/>
                </w:r>
                <w:r>
                  <w:t>17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208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919F">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29CA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C0025"/>
    <w:multiLevelType w:val="singleLevel"/>
    <w:tmpl w:val="BC4C0025"/>
    <w:lvl w:ilvl="0" w:tentative="0">
      <w:start w:val="3"/>
      <w:numFmt w:val="chineseCounting"/>
      <w:suff w:val="nothing"/>
      <w:lvlText w:val="（%1）"/>
      <w:lvlJc w:val="left"/>
      <w:rPr>
        <w:rFonts w:hint="eastAsia"/>
      </w:rPr>
    </w:lvl>
  </w:abstractNum>
  <w:abstractNum w:abstractNumId="1">
    <w:nsid w:val="E87BE624"/>
    <w:multiLevelType w:val="singleLevel"/>
    <w:tmpl w:val="E87BE624"/>
    <w:lvl w:ilvl="0" w:tentative="0">
      <w:start w:val="1"/>
      <w:numFmt w:val="chineseCounting"/>
      <w:suff w:val="nothing"/>
      <w:lvlText w:val="%1、"/>
      <w:lvlJc w:val="left"/>
      <w:rPr>
        <w:rFonts w:hint="eastAsia"/>
      </w:rPr>
    </w:lvl>
  </w:abstractNum>
  <w:abstractNum w:abstractNumId="2">
    <w:nsid w:val="3B09EBC6"/>
    <w:multiLevelType w:val="singleLevel"/>
    <w:tmpl w:val="3B09EBC6"/>
    <w:lvl w:ilvl="0" w:tentative="0">
      <w:start w:val="3"/>
      <w:numFmt w:val="decimal"/>
      <w:suff w:val="nothing"/>
      <w:lvlText w:val="%1、"/>
      <w:lvlJc w:val="left"/>
    </w:lvl>
  </w:abstractNum>
  <w:abstractNum w:abstractNumId="3">
    <w:nsid w:val="43EC21E5"/>
    <w:multiLevelType w:val="singleLevel"/>
    <w:tmpl w:val="43EC21E5"/>
    <w:lvl w:ilvl="0" w:tentative="0">
      <w:start w:val="7"/>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17B2"/>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71B68"/>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2384B"/>
    <w:rsid w:val="00F74360"/>
    <w:rsid w:val="00FB462F"/>
    <w:rsid w:val="00FE16FA"/>
    <w:rsid w:val="00FE328A"/>
    <w:rsid w:val="00FE6269"/>
    <w:rsid w:val="00FF5CD6"/>
    <w:rsid w:val="012375FA"/>
    <w:rsid w:val="016A2367"/>
    <w:rsid w:val="01EE19B6"/>
    <w:rsid w:val="021C173A"/>
    <w:rsid w:val="039E565E"/>
    <w:rsid w:val="04185410"/>
    <w:rsid w:val="044C0C16"/>
    <w:rsid w:val="05074713"/>
    <w:rsid w:val="08377523"/>
    <w:rsid w:val="08AF1FED"/>
    <w:rsid w:val="09975210"/>
    <w:rsid w:val="0A0D0E47"/>
    <w:rsid w:val="0B482817"/>
    <w:rsid w:val="0E9D4E90"/>
    <w:rsid w:val="0FAB0EE6"/>
    <w:rsid w:val="10947BCD"/>
    <w:rsid w:val="12155452"/>
    <w:rsid w:val="12505520"/>
    <w:rsid w:val="12856791"/>
    <w:rsid w:val="14074AC7"/>
    <w:rsid w:val="14A11B5B"/>
    <w:rsid w:val="156E30E2"/>
    <w:rsid w:val="16465E0D"/>
    <w:rsid w:val="177F5474"/>
    <w:rsid w:val="18186F93"/>
    <w:rsid w:val="187A7FF0"/>
    <w:rsid w:val="18D21BDA"/>
    <w:rsid w:val="1B473270"/>
    <w:rsid w:val="1B7C5E2D"/>
    <w:rsid w:val="1CAE3ABF"/>
    <w:rsid w:val="1D4D5CD3"/>
    <w:rsid w:val="1D97DEFF"/>
    <w:rsid w:val="1DDC0E05"/>
    <w:rsid w:val="1DFF72E5"/>
    <w:rsid w:val="1EEB57A3"/>
    <w:rsid w:val="1EFC6F07"/>
    <w:rsid w:val="20F75665"/>
    <w:rsid w:val="211C60E8"/>
    <w:rsid w:val="21303941"/>
    <w:rsid w:val="2131458E"/>
    <w:rsid w:val="22B20386"/>
    <w:rsid w:val="262A1DB0"/>
    <w:rsid w:val="27014B68"/>
    <w:rsid w:val="27027B2E"/>
    <w:rsid w:val="27E02F29"/>
    <w:rsid w:val="27EB411E"/>
    <w:rsid w:val="2A094D30"/>
    <w:rsid w:val="2CF63C91"/>
    <w:rsid w:val="2D1C4D7A"/>
    <w:rsid w:val="2D915768"/>
    <w:rsid w:val="2FDF85B8"/>
    <w:rsid w:val="2FFFEE04"/>
    <w:rsid w:val="305C0ED1"/>
    <w:rsid w:val="31DD3D92"/>
    <w:rsid w:val="3220255F"/>
    <w:rsid w:val="32560059"/>
    <w:rsid w:val="325925CC"/>
    <w:rsid w:val="32CB5278"/>
    <w:rsid w:val="338A2E61"/>
    <w:rsid w:val="33A763AC"/>
    <w:rsid w:val="33E34843"/>
    <w:rsid w:val="34DF85B0"/>
    <w:rsid w:val="35E008FF"/>
    <w:rsid w:val="376E6341"/>
    <w:rsid w:val="38545D10"/>
    <w:rsid w:val="393A417B"/>
    <w:rsid w:val="3B051DE4"/>
    <w:rsid w:val="3B3172EC"/>
    <w:rsid w:val="3B8F36BC"/>
    <w:rsid w:val="3DD6516E"/>
    <w:rsid w:val="3FE00192"/>
    <w:rsid w:val="4040061F"/>
    <w:rsid w:val="416B7C26"/>
    <w:rsid w:val="43664B49"/>
    <w:rsid w:val="44250560"/>
    <w:rsid w:val="475E2707"/>
    <w:rsid w:val="482F5E51"/>
    <w:rsid w:val="491FF225"/>
    <w:rsid w:val="4B372C9C"/>
    <w:rsid w:val="4B754C4F"/>
    <w:rsid w:val="4C7836CE"/>
    <w:rsid w:val="4EFE3710"/>
    <w:rsid w:val="4FFD214C"/>
    <w:rsid w:val="51E36FBD"/>
    <w:rsid w:val="52FC4B82"/>
    <w:rsid w:val="5330233F"/>
    <w:rsid w:val="56E147BB"/>
    <w:rsid w:val="5777D4F5"/>
    <w:rsid w:val="59D108B7"/>
    <w:rsid w:val="59DD8326"/>
    <w:rsid w:val="5ABD109B"/>
    <w:rsid w:val="5DA16A52"/>
    <w:rsid w:val="5DEF592A"/>
    <w:rsid w:val="5E7A0D30"/>
    <w:rsid w:val="5FC6BB1E"/>
    <w:rsid w:val="5FF720F1"/>
    <w:rsid w:val="628C5F22"/>
    <w:rsid w:val="63632EB3"/>
    <w:rsid w:val="65AB2B63"/>
    <w:rsid w:val="67973525"/>
    <w:rsid w:val="67FF5C0B"/>
    <w:rsid w:val="68550B65"/>
    <w:rsid w:val="698C740A"/>
    <w:rsid w:val="6AB04778"/>
    <w:rsid w:val="6B596BBE"/>
    <w:rsid w:val="6BD10CDE"/>
    <w:rsid w:val="6CEB1A97"/>
    <w:rsid w:val="6D371181"/>
    <w:rsid w:val="6D602485"/>
    <w:rsid w:val="6D6B7AC0"/>
    <w:rsid w:val="6EA03C18"/>
    <w:rsid w:val="6EFC0924"/>
    <w:rsid w:val="6F4638FD"/>
    <w:rsid w:val="6FB74722"/>
    <w:rsid w:val="6FEF8B7E"/>
    <w:rsid w:val="70EB650A"/>
    <w:rsid w:val="71A6591B"/>
    <w:rsid w:val="72536115"/>
    <w:rsid w:val="737D59BA"/>
    <w:rsid w:val="7440702B"/>
    <w:rsid w:val="759E4C56"/>
    <w:rsid w:val="7758332B"/>
    <w:rsid w:val="77C37683"/>
    <w:rsid w:val="78905330"/>
    <w:rsid w:val="79D19834"/>
    <w:rsid w:val="79FF515B"/>
    <w:rsid w:val="7A896A46"/>
    <w:rsid w:val="7B7F0098"/>
    <w:rsid w:val="7DD81BC4"/>
    <w:rsid w:val="7E9E1962"/>
    <w:rsid w:val="7E9F11B4"/>
    <w:rsid w:val="7F37EC1E"/>
    <w:rsid w:val="7F5F07EF"/>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semiHidden/>
    <w:qFormat/>
    <w:uiPriority w:val="0"/>
    <w:pPr>
      <w:snapToGrid w:val="0"/>
      <w:jc w:val="left"/>
    </w:pPr>
    <w:rPr>
      <w:sz w:val="18"/>
      <w:szCs w:val="18"/>
    </w:rPr>
  </w:style>
  <w:style w:type="paragraph" w:styleId="8">
    <w:name w:val="Body Text First Indent 2"/>
    <w:basedOn w:val="3"/>
    <w:next w:val="1"/>
    <w:unhideWhenUsed/>
    <w:qFormat/>
    <w:uiPriority w:val="99"/>
    <w:pPr>
      <w:ind w:firstLine="420" w:firstLine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6"/>
    <w:qFormat/>
    <w:uiPriority w:val="99"/>
    <w:rPr>
      <w:sz w:val="18"/>
      <w:szCs w:val="18"/>
    </w:rPr>
  </w:style>
  <w:style w:type="character" w:customStyle="1" w:styleId="14">
    <w:name w:val="页脚 Char"/>
    <w:basedOn w:val="12"/>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4"/>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3756</Words>
  <Characters>4263</Characters>
  <Lines>69</Lines>
  <Paragraphs>19</Paragraphs>
  <TotalTime>32</TotalTime>
  <ScaleCrop>false</ScaleCrop>
  <LinksUpToDate>false</LinksUpToDate>
  <CharactersWithSpaces>4276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2025-09-15T01:32:00Z</dcterms:created>
  <dc:creator>李航 null</dc:creator>
  <cp:lastModifiedBy>Administrator</cp:lastModifiedBy>
  <cp:lastPrinted>2024-08-08T18:20:00Z</cp:lastPrinted>
  <dcterms:modified xsi:type="dcterms:W3CDTF">2025-09-17T02:15:07Z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BB7B6AA21D207914D6FDA268992A22D6</vt:lpwstr>
  </property>
  <property fmtid="{D5CDD505-2E9C-101B-9397-08002B2CF9AE}" pid="4" name="KSOTemplateDocerSaveRecord">
    <vt:lpwstr>eyJoZGlkIjoiMmY2MmM0MjRmNTgyNjVhNTgwMWRlZWQ0YmI0NjAxZjIifQ==</vt:lpwstr>
  </property>
</Properties>
</file>