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19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tbl>
      <w:tblPr>
        <w:tblStyle w:val="10"/>
        <w:tblpPr w:leftFromText="180" w:rightFromText="180" w:vertAnchor="text" w:horzAnchor="page" w:tblpX="1292" w:tblpY="4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7A43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vMerge w:val="restart"/>
            <w:noWrap w:val="0"/>
            <w:vAlign w:val="center"/>
          </w:tcPr>
          <w:p w14:paraId="68462DE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836C96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018BA02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6F7B614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7E1B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354" w:type="dxa"/>
            <w:vMerge w:val="continue"/>
            <w:noWrap w:val="0"/>
            <w:vAlign w:val="center"/>
          </w:tcPr>
          <w:p w14:paraId="7480CE58">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1A669EB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w:t>
            </w:r>
            <w:r>
              <w:rPr>
                <w:rFonts w:hint="eastAsia" w:ascii="仿宋" w:hAnsi="仿宋" w:eastAsia="仿宋" w:cs="仿宋"/>
                <w:b w:val="0"/>
                <w:bCs w:val="0"/>
                <w:kern w:val="0"/>
                <w:sz w:val="20"/>
                <w:szCs w:val="20"/>
              </w:rPr>
              <w:t>　</w:t>
            </w:r>
          </w:p>
        </w:tc>
        <w:tc>
          <w:tcPr>
            <w:tcW w:w="2240" w:type="dxa"/>
            <w:gridSpan w:val="2"/>
            <w:noWrap w:val="0"/>
            <w:vAlign w:val="center"/>
          </w:tcPr>
          <w:p w14:paraId="3542624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w:t>
            </w:r>
            <w:r>
              <w:rPr>
                <w:rFonts w:hint="eastAsia" w:ascii="仿宋" w:hAnsi="仿宋" w:eastAsia="仿宋" w:cs="仿宋"/>
                <w:b w:val="0"/>
                <w:bCs w:val="0"/>
                <w:kern w:val="0"/>
                <w:sz w:val="20"/>
                <w:szCs w:val="20"/>
              </w:rPr>
              <w:t>　</w:t>
            </w:r>
          </w:p>
        </w:tc>
        <w:tc>
          <w:tcPr>
            <w:tcW w:w="1832" w:type="dxa"/>
            <w:gridSpan w:val="2"/>
            <w:noWrap w:val="0"/>
            <w:vAlign w:val="center"/>
          </w:tcPr>
          <w:p w14:paraId="1DFFFC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125%</w:t>
            </w:r>
            <w:r>
              <w:rPr>
                <w:rFonts w:hint="eastAsia" w:ascii="仿宋" w:hAnsi="仿宋" w:eastAsia="仿宋" w:cs="仿宋"/>
                <w:b w:val="0"/>
                <w:bCs w:val="0"/>
                <w:kern w:val="0"/>
                <w:sz w:val="20"/>
                <w:szCs w:val="20"/>
              </w:rPr>
              <w:t>　</w:t>
            </w:r>
          </w:p>
        </w:tc>
      </w:tr>
      <w:tr w14:paraId="65D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7C94CE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26CE0D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72976B0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7C404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2DFF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090ABD7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640F4400">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7.61</w:t>
            </w:r>
          </w:p>
        </w:tc>
        <w:tc>
          <w:tcPr>
            <w:tcW w:w="2240" w:type="dxa"/>
            <w:gridSpan w:val="2"/>
            <w:noWrap w:val="0"/>
            <w:vAlign w:val="center"/>
          </w:tcPr>
          <w:p w14:paraId="501EE75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2.50</w:t>
            </w:r>
          </w:p>
        </w:tc>
        <w:tc>
          <w:tcPr>
            <w:tcW w:w="1832" w:type="dxa"/>
            <w:gridSpan w:val="2"/>
            <w:noWrap w:val="0"/>
            <w:vAlign w:val="center"/>
          </w:tcPr>
          <w:p w14:paraId="3ACE64E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1.57</w:t>
            </w:r>
          </w:p>
        </w:tc>
      </w:tr>
      <w:tr w14:paraId="546D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354" w:type="dxa"/>
            <w:noWrap w:val="0"/>
            <w:vAlign w:val="center"/>
          </w:tcPr>
          <w:p w14:paraId="34B654B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0CB9C105">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7.61</w:t>
            </w:r>
          </w:p>
        </w:tc>
        <w:tc>
          <w:tcPr>
            <w:tcW w:w="2240" w:type="dxa"/>
            <w:gridSpan w:val="2"/>
            <w:noWrap w:val="0"/>
            <w:vAlign w:val="center"/>
          </w:tcPr>
          <w:p w14:paraId="7AAE716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2.00</w:t>
            </w:r>
          </w:p>
        </w:tc>
        <w:tc>
          <w:tcPr>
            <w:tcW w:w="1832" w:type="dxa"/>
            <w:gridSpan w:val="2"/>
            <w:noWrap w:val="0"/>
            <w:vAlign w:val="center"/>
          </w:tcPr>
          <w:p w14:paraId="37235E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1.57</w:t>
            </w:r>
          </w:p>
        </w:tc>
      </w:tr>
      <w:tr w14:paraId="2EE8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354" w:type="dxa"/>
            <w:noWrap w:val="0"/>
            <w:vAlign w:val="center"/>
          </w:tcPr>
          <w:p w14:paraId="397AB5B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153A1695">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7E4CA57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60648F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4CEF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54" w:type="dxa"/>
            <w:noWrap w:val="0"/>
            <w:vAlign w:val="center"/>
          </w:tcPr>
          <w:p w14:paraId="715083A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697178BB">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7.61</w:t>
            </w:r>
          </w:p>
        </w:tc>
        <w:tc>
          <w:tcPr>
            <w:tcW w:w="2240" w:type="dxa"/>
            <w:gridSpan w:val="2"/>
            <w:noWrap w:val="0"/>
            <w:vAlign w:val="center"/>
          </w:tcPr>
          <w:p w14:paraId="5D74B0A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2.00</w:t>
            </w:r>
          </w:p>
        </w:tc>
        <w:tc>
          <w:tcPr>
            <w:tcW w:w="1832" w:type="dxa"/>
            <w:gridSpan w:val="2"/>
            <w:noWrap w:val="0"/>
            <w:vAlign w:val="center"/>
          </w:tcPr>
          <w:p w14:paraId="482BF1A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1.57</w:t>
            </w:r>
          </w:p>
        </w:tc>
      </w:tr>
      <w:tr w14:paraId="20D7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4C3FE5C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5E9A4EC5">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000DA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5EF7CE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3FE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42659E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7E94173D">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1A4C579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0.50</w:t>
            </w:r>
          </w:p>
        </w:tc>
        <w:tc>
          <w:tcPr>
            <w:tcW w:w="1832" w:type="dxa"/>
            <w:gridSpan w:val="2"/>
            <w:noWrap w:val="0"/>
            <w:vAlign w:val="center"/>
          </w:tcPr>
          <w:p w14:paraId="7D37DA8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70EC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2109C42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47FB19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0F16CF9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3866E6E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D58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5F31633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21901DF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85200E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B2A25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26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231419E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576C6A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5184C26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280DE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A5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CCAC301">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771D76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7F479273">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14</w:t>
            </w: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454.3</w:t>
            </w: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0E179D5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23.00</w:t>
            </w:r>
          </w:p>
        </w:tc>
        <w:tc>
          <w:tcPr>
            <w:tcW w:w="1832" w:type="dxa"/>
            <w:gridSpan w:val="2"/>
            <w:noWrap w:val="0"/>
            <w:vAlign w:val="center"/>
          </w:tcPr>
          <w:p w14:paraId="06A04AC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33,929.14</w:t>
            </w:r>
          </w:p>
        </w:tc>
      </w:tr>
      <w:tr w14:paraId="70D6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354" w:type="dxa"/>
            <w:shd w:val="clear" w:color="auto" w:fill="auto"/>
            <w:noWrap w:val="0"/>
            <w:vAlign w:val="center"/>
          </w:tcPr>
          <w:p w14:paraId="2D9B9CA9">
            <w:pPr>
              <w:widowControl/>
              <w:shd w:val="clear"/>
              <w:ind w:firstLine="600" w:firstLineChars="3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专项业务经费（专户）</w:t>
            </w:r>
          </w:p>
        </w:tc>
        <w:tc>
          <w:tcPr>
            <w:tcW w:w="2038" w:type="dxa"/>
            <w:gridSpan w:val="2"/>
            <w:shd w:val="clear" w:color="auto" w:fill="auto"/>
            <w:noWrap w:val="0"/>
            <w:vAlign w:val="center"/>
          </w:tcPr>
          <w:p w14:paraId="415712FD">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14</w:t>
            </w: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376.64</w:t>
            </w:r>
          </w:p>
        </w:tc>
        <w:tc>
          <w:tcPr>
            <w:tcW w:w="2240" w:type="dxa"/>
            <w:gridSpan w:val="2"/>
            <w:noWrap w:val="0"/>
            <w:vAlign w:val="center"/>
          </w:tcPr>
          <w:p w14:paraId="310603E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385CA85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33,929.14</w:t>
            </w:r>
          </w:p>
        </w:tc>
      </w:tr>
      <w:tr w14:paraId="4A5B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4" w:type="dxa"/>
            <w:shd w:val="clear" w:color="auto" w:fill="auto"/>
            <w:noWrap w:val="0"/>
            <w:vAlign w:val="center"/>
          </w:tcPr>
          <w:p w14:paraId="37576DCE">
            <w:pPr>
              <w:widowControl/>
              <w:shd w:val="clear"/>
              <w:ind w:firstLine="600" w:firstLineChars="3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专项业务经费</w:t>
            </w:r>
          </w:p>
        </w:tc>
        <w:tc>
          <w:tcPr>
            <w:tcW w:w="2038" w:type="dxa"/>
            <w:gridSpan w:val="2"/>
            <w:shd w:val="clear" w:color="auto" w:fill="auto"/>
            <w:noWrap w:val="0"/>
            <w:vAlign w:val="center"/>
          </w:tcPr>
          <w:p w14:paraId="5210A2CE">
            <w:pPr>
              <w:widowControl/>
              <w:shd w:val="clear"/>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77.66</w:t>
            </w:r>
          </w:p>
        </w:tc>
        <w:tc>
          <w:tcPr>
            <w:tcW w:w="2240" w:type="dxa"/>
            <w:gridSpan w:val="2"/>
            <w:noWrap w:val="0"/>
            <w:vAlign w:val="center"/>
          </w:tcPr>
          <w:p w14:paraId="733C083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23.00</w:t>
            </w:r>
          </w:p>
        </w:tc>
        <w:tc>
          <w:tcPr>
            <w:tcW w:w="1832" w:type="dxa"/>
            <w:gridSpan w:val="2"/>
            <w:noWrap w:val="0"/>
            <w:vAlign w:val="center"/>
          </w:tcPr>
          <w:p w14:paraId="3E8D8F5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p>
        </w:tc>
      </w:tr>
      <w:tr w14:paraId="50F9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54" w:type="dxa"/>
            <w:noWrap w:val="0"/>
            <w:vAlign w:val="center"/>
          </w:tcPr>
          <w:p w14:paraId="17810C88">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6FCDCD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6EEDD04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45DD1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D8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6E23AD34">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66A1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9FD6B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01307B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4A2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9E9449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FC26039">
            <w:pPr>
              <w:widowControl/>
              <w:shd w:val="clear"/>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rPr>
              <w:t>3.94</w:t>
            </w:r>
          </w:p>
        </w:tc>
        <w:tc>
          <w:tcPr>
            <w:tcW w:w="2240" w:type="dxa"/>
            <w:gridSpan w:val="2"/>
            <w:noWrap w:val="0"/>
            <w:vAlign w:val="center"/>
          </w:tcPr>
          <w:p w14:paraId="1B1306F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3.00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767CBAA">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0.73</w:t>
            </w:r>
          </w:p>
        </w:tc>
      </w:tr>
      <w:tr w14:paraId="40B3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571C731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60E1C6EB">
            <w:pPr>
              <w:widowControl/>
              <w:shd w:val="clear"/>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5.20</w:t>
            </w:r>
          </w:p>
        </w:tc>
        <w:tc>
          <w:tcPr>
            <w:tcW w:w="2240" w:type="dxa"/>
            <w:gridSpan w:val="2"/>
            <w:noWrap w:val="0"/>
            <w:vAlign w:val="center"/>
          </w:tcPr>
          <w:p w14:paraId="0E2D413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5.50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1EDFDE4A">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6.07</w:t>
            </w:r>
          </w:p>
        </w:tc>
      </w:tr>
      <w:tr w14:paraId="6FDB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354" w:type="dxa"/>
            <w:noWrap w:val="0"/>
            <w:vAlign w:val="center"/>
          </w:tcPr>
          <w:p w14:paraId="73F6AC2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07512017">
            <w:pPr>
              <w:widowControl/>
              <w:shd w:val="clear"/>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0.84</w:t>
            </w:r>
          </w:p>
        </w:tc>
        <w:tc>
          <w:tcPr>
            <w:tcW w:w="2240" w:type="dxa"/>
            <w:gridSpan w:val="2"/>
            <w:noWrap w:val="0"/>
            <w:vAlign w:val="center"/>
          </w:tcPr>
          <w:p w14:paraId="37911430">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0.90　</w:t>
            </w:r>
          </w:p>
        </w:tc>
        <w:tc>
          <w:tcPr>
            <w:tcW w:w="1832" w:type="dxa"/>
            <w:gridSpan w:val="2"/>
            <w:noWrap w:val="0"/>
            <w:vAlign w:val="center"/>
          </w:tcPr>
          <w:p w14:paraId="1309BA43">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r>
      <w:tr w14:paraId="74F1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7E0FD58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40B569C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97ABF7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w:t>
            </w:r>
          </w:p>
        </w:tc>
        <w:tc>
          <w:tcPr>
            <w:tcW w:w="1832" w:type="dxa"/>
            <w:gridSpan w:val="2"/>
            <w:noWrap w:val="0"/>
            <w:vAlign w:val="center"/>
          </w:tcPr>
          <w:p w14:paraId="5308A3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C2D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75D4F1A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0EF5970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E2A71D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B5917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E6E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354" w:type="dxa"/>
            <w:vMerge w:val="restart"/>
            <w:noWrap w:val="0"/>
            <w:vAlign w:val="center"/>
          </w:tcPr>
          <w:p w14:paraId="7AF086F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38F1900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0CEB08B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064C61F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1D092E0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5F5793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2DE6CACE">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F32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354" w:type="dxa"/>
            <w:vMerge w:val="continue"/>
            <w:noWrap w:val="0"/>
            <w:vAlign w:val="center"/>
          </w:tcPr>
          <w:p w14:paraId="6E895822">
            <w:pPr>
              <w:widowControl/>
              <w:jc w:val="left"/>
              <w:rPr>
                <w:rFonts w:hint="eastAsia" w:ascii="仿宋" w:hAnsi="仿宋" w:eastAsia="仿宋" w:cs="仿宋"/>
                <w:b w:val="0"/>
                <w:bCs w:val="0"/>
                <w:kern w:val="0"/>
                <w:sz w:val="20"/>
                <w:szCs w:val="20"/>
              </w:rPr>
            </w:pPr>
          </w:p>
        </w:tc>
        <w:tc>
          <w:tcPr>
            <w:tcW w:w="1189" w:type="dxa"/>
            <w:noWrap w:val="0"/>
            <w:vAlign w:val="center"/>
          </w:tcPr>
          <w:p w14:paraId="3A3C85F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p>
        </w:tc>
        <w:tc>
          <w:tcPr>
            <w:tcW w:w="849" w:type="dxa"/>
            <w:noWrap w:val="0"/>
            <w:vAlign w:val="center"/>
          </w:tcPr>
          <w:p w14:paraId="63C51AA4">
            <w:pPr>
              <w:widowControl/>
              <w:jc w:val="left"/>
              <w:rPr>
                <w:rFonts w:hint="eastAsia" w:ascii="仿宋" w:hAnsi="仿宋" w:eastAsia="仿宋" w:cs="仿宋"/>
                <w:b w:val="0"/>
                <w:bCs w:val="0"/>
                <w:kern w:val="0"/>
                <w:sz w:val="20"/>
                <w:szCs w:val="20"/>
              </w:rPr>
            </w:pPr>
          </w:p>
        </w:tc>
        <w:tc>
          <w:tcPr>
            <w:tcW w:w="1129" w:type="dxa"/>
            <w:noWrap w:val="0"/>
            <w:vAlign w:val="center"/>
          </w:tcPr>
          <w:p w14:paraId="482CAB8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302EAD5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161FD4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28B402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FA1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54" w:type="dxa"/>
            <w:noWrap w:val="0"/>
            <w:vAlign w:val="center"/>
          </w:tcPr>
          <w:p w14:paraId="24AE1B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3483AE87">
            <w:pPr>
              <w:widowControl/>
              <w:jc w:val="center"/>
              <w:rPr>
                <w:rFonts w:hint="eastAsia" w:ascii="仿宋" w:hAnsi="仿宋" w:eastAsia="仿宋" w:cs="仿宋"/>
                <w:b w:val="0"/>
                <w:bCs w:val="0"/>
                <w:kern w:val="0"/>
                <w:sz w:val="20"/>
                <w:szCs w:val="20"/>
              </w:rPr>
            </w:pPr>
            <w:r>
              <w:rPr>
                <w:rFonts w:hint="eastAsia" w:ascii="仿宋" w:hAnsi="仿宋" w:eastAsia="仿宋" w:cs="仿宋"/>
                <w:sz w:val="20"/>
                <w:szCs w:val="20"/>
                <w:lang w:val="en-US" w:eastAsia="zh-CN"/>
              </w:rPr>
              <w:t>厉行节约，压减经费开支。</w:t>
            </w:r>
            <w:r>
              <w:rPr>
                <w:rFonts w:hint="eastAsia" w:ascii="仿宋" w:hAnsi="仿宋" w:eastAsia="仿宋" w:cs="仿宋"/>
                <w:b w:val="0"/>
                <w:bCs w:val="0"/>
                <w:kern w:val="0"/>
                <w:sz w:val="20"/>
                <w:szCs w:val="20"/>
              </w:rPr>
              <w:t>　</w:t>
            </w:r>
          </w:p>
        </w:tc>
      </w:tr>
    </w:tbl>
    <w:p w14:paraId="00F6D30B">
      <w:pPr>
        <w:pStyle w:val="13"/>
        <w:keepNext/>
        <w:keepLines/>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14:paraId="5D0A20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41"/>
        <w:gridCol w:w="935"/>
        <w:gridCol w:w="1150"/>
        <w:gridCol w:w="1280"/>
        <w:gridCol w:w="1140"/>
        <w:gridCol w:w="700"/>
        <w:gridCol w:w="616"/>
        <w:gridCol w:w="1157"/>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3"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19" w:type="dxa"/>
            <w:gridSpan w:val="8"/>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rPr>
              <w:t>　怀化市土地储备中心</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43"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076"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150"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80" w:type="dxa"/>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40"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0"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6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57"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076"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50" w:type="dxa"/>
            <w:noWrap w:val="0"/>
            <w:vAlign w:val="center"/>
          </w:tcPr>
          <w:p w14:paraId="6292903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506.49</w:t>
            </w:r>
          </w:p>
        </w:tc>
        <w:tc>
          <w:tcPr>
            <w:tcW w:w="1280" w:type="dxa"/>
            <w:noWrap w:val="0"/>
            <w:vAlign w:val="center"/>
          </w:tcPr>
          <w:p w14:paraId="0F0B7C5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34,339.13</w:t>
            </w:r>
          </w:p>
        </w:tc>
        <w:tc>
          <w:tcPr>
            <w:tcW w:w="1140"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b w:val="0"/>
                <w:bCs w:val="0"/>
                <w:kern w:val="0"/>
                <w:sz w:val="20"/>
                <w:szCs w:val="20"/>
                <w:lang w:val="en-US" w:eastAsia="zh-CN"/>
              </w:rPr>
              <w:t>34,339.13</w:t>
            </w:r>
          </w:p>
        </w:tc>
        <w:tc>
          <w:tcPr>
            <w:tcW w:w="700"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6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57"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13"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3"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p>
        </w:tc>
        <w:tc>
          <w:tcPr>
            <w:tcW w:w="3613"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409.99</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3"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r>
              <w:rPr>
                <w:rFonts w:hint="eastAsia" w:ascii="仿宋" w:hAnsi="仿宋" w:eastAsia="仿宋" w:cs="仿宋"/>
                <w:b w:val="0"/>
                <w:bCs w:val="0"/>
                <w:kern w:val="0"/>
                <w:sz w:val="20"/>
                <w:szCs w:val="20"/>
                <w:lang w:val="en-US" w:eastAsia="zh-CN"/>
              </w:rPr>
              <w:t>34,339.13</w:t>
            </w:r>
          </w:p>
        </w:tc>
        <w:tc>
          <w:tcPr>
            <w:tcW w:w="3613"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r>
              <w:rPr>
                <w:rFonts w:hint="eastAsia" w:ascii="仿宋" w:hAnsi="仿宋" w:eastAsia="仿宋" w:cs="仿宋"/>
                <w:b w:val="0"/>
                <w:bCs w:val="0"/>
                <w:kern w:val="0"/>
                <w:sz w:val="20"/>
                <w:szCs w:val="20"/>
                <w:lang w:val="en-US" w:eastAsia="zh-CN"/>
              </w:rPr>
              <w:t>33,929.14</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3"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613"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3"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613"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43"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06" w:type="dxa"/>
            <w:gridSpan w:val="4"/>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13"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43"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06" w:type="dxa"/>
            <w:gridSpan w:val="4"/>
            <w:noWrap w:val="0"/>
            <w:vAlign w:val="center"/>
          </w:tcPr>
          <w:p w14:paraId="5ECC208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highlight w:val="none"/>
                <w:lang w:val="en-US" w:eastAsia="zh-CN"/>
              </w:rPr>
              <w:t>一是保</w:t>
            </w:r>
            <w:r>
              <w:rPr>
                <w:rFonts w:hint="eastAsia" w:ascii="仿宋" w:hAnsi="仿宋" w:eastAsia="仿宋" w:cs="仿宋"/>
                <w:sz w:val="20"/>
                <w:szCs w:val="20"/>
                <w:highlight w:val="none"/>
                <w:lang w:eastAsia="zh-CN"/>
              </w:rPr>
              <w:t>障本年度单位人员</w:t>
            </w:r>
            <w:r>
              <w:rPr>
                <w:rFonts w:hint="eastAsia" w:ascii="仿宋" w:hAnsi="仿宋" w:eastAsia="仿宋" w:cs="仿宋"/>
                <w:sz w:val="20"/>
                <w:szCs w:val="20"/>
                <w:highlight w:val="none"/>
                <w:lang w:val="en-US" w:eastAsia="zh-CN"/>
              </w:rPr>
              <w:t>及公用</w:t>
            </w:r>
            <w:r>
              <w:rPr>
                <w:rFonts w:hint="eastAsia" w:ascii="仿宋" w:hAnsi="仿宋" w:eastAsia="仿宋" w:cs="仿宋"/>
                <w:sz w:val="20"/>
                <w:szCs w:val="20"/>
                <w:highlight w:val="none"/>
                <w:lang w:eastAsia="zh-CN"/>
              </w:rPr>
              <w:t>经费</w:t>
            </w:r>
            <w:r>
              <w:rPr>
                <w:rFonts w:hint="eastAsia" w:ascii="仿宋" w:hAnsi="仿宋" w:eastAsia="仿宋" w:cs="仿宋"/>
                <w:sz w:val="20"/>
                <w:szCs w:val="20"/>
                <w:highlight w:val="none"/>
                <w:lang w:val="en-US" w:eastAsia="zh-CN"/>
              </w:rPr>
              <w:t>；二是完成土地供应计划，保证项目建设用地；二是完成2024年城镇建设用地报批工作；三是完成土地成片区开发方案制定等土地收储相关工作。</w:t>
            </w:r>
            <w:r>
              <w:rPr>
                <w:rFonts w:hint="eastAsia" w:ascii="仿宋" w:hAnsi="仿宋" w:eastAsia="仿宋" w:cs="仿宋"/>
                <w:sz w:val="20"/>
                <w:szCs w:val="20"/>
                <w:highlight w:val="none"/>
              </w:rPr>
              <w:t>　</w:t>
            </w:r>
            <w:r>
              <w:rPr>
                <w:rFonts w:hint="eastAsia" w:ascii="仿宋" w:hAnsi="仿宋" w:eastAsia="仿宋" w:cs="仿宋"/>
                <w:color w:val="000000"/>
                <w:kern w:val="0"/>
                <w:sz w:val="20"/>
                <w:szCs w:val="20"/>
              </w:rPr>
              <w:t>　</w:t>
            </w:r>
          </w:p>
        </w:tc>
        <w:tc>
          <w:tcPr>
            <w:tcW w:w="3613" w:type="dxa"/>
            <w:gridSpan w:val="4"/>
            <w:noWrap w:val="0"/>
            <w:vAlign w:val="center"/>
          </w:tcPr>
          <w:p w14:paraId="697328BF">
            <w:pPr>
              <w:keepNext w:val="0"/>
              <w:keepLines w:val="0"/>
              <w:pageBreakBefore w:val="0"/>
              <w:widowControl/>
              <w:shd w:val="clear"/>
              <w:kinsoku/>
              <w:wordWrap/>
              <w:overflowPunct/>
              <w:topLinePunct w:val="0"/>
              <w:autoSpaceDE/>
              <w:autoSpaceDN/>
              <w:bidi w:val="0"/>
              <w:adjustRightInd/>
              <w:snapToGrid/>
              <w:spacing w:line="240" w:lineRule="exact"/>
              <w:jc w:val="both"/>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完成了本年度单位人员经费保障任务,</w:t>
            </w:r>
          </w:p>
          <w:p w14:paraId="34C574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sz w:val="20"/>
                <w:szCs w:val="20"/>
                <w:lang w:val="en-US" w:eastAsia="zh-CN"/>
              </w:rPr>
              <w:t>完成了2024年度储备土地进储、供应工作。</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43"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41"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35"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50" w:type="dxa"/>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80"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40"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0"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6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57"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43"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935"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50" w:type="dxa"/>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80"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b w:val="0"/>
                <w:bCs w:val="0"/>
                <w:kern w:val="0"/>
                <w:sz w:val="20"/>
                <w:szCs w:val="20"/>
                <w:lang w:val="en-US" w:eastAsia="zh-CN"/>
              </w:rPr>
              <w:t>34,339.13</w:t>
            </w:r>
          </w:p>
        </w:tc>
        <w:tc>
          <w:tcPr>
            <w:tcW w:w="1140"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b w:val="0"/>
                <w:bCs w:val="0"/>
                <w:kern w:val="0"/>
                <w:sz w:val="20"/>
                <w:szCs w:val="20"/>
                <w:lang w:val="en-US" w:eastAsia="zh-CN"/>
              </w:rPr>
              <w:t>34,339.13</w:t>
            </w:r>
          </w:p>
        </w:tc>
        <w:tc>
          <w:tcPr>
            <w:tcW w:w="700"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57"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43"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35"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50" w:type="dxa"/>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80"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40"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00"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57"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43"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35"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150" w:type="dxa"/>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80"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40"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00" w:type="dxa"/>
            <w:shd w:val="clear"/>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616" w:type="dxa"/>
            <w:shd w:val="clear"/>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57"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43"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35"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0" w:type="dxa"/>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业务工作完成率</w:t>
            </w:r>
          </w:p>
        </w:tc>
        <w:tc>
          <w:tcPr>
            <w:tcW w:w="1280"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140"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100</w:t>
            </w:r>
            <w:r>
              <w:rPr>
                <w:rFonts w:hint="eastAsia" w:ascii="仿宋" w:hAnsi="仿宋" w:eastAsia="仿宋" w:cs="仿宋"/>
                <w:color w:val="000000"/>
                <w:kern w:val="0"/>
                <w:sz w:val="20"/>
                <w:szCs w:val="20"/>
                <w:lang w:val="en-US" w:eastAsia="zh-CN"/>
              </w:rPr>
              <w:t>%</w:t>
            </w:r>
          </w:p>
        </w:tc>
        <w:tc>
          <w:tcPr>
            <w:tcW w:w="700"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616"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57"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43"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35"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0" w:type="dxa"/>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项目验收合格率</w:t>
            </w:r>
          </w:p>
        </w:tc>
        <w:tc>
          <w:tcPr>
            <w:tcW w:w="1280"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140"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r>
              <w:rPr>
                <w:rFonts w:hint="eastAsia" w:ascii="仿宋" w:hAnsi="仿宋" w:eastAsia="仿宋" w:cs="仿宋"/>
                <w:color w:val="000000"/>
                <w:kern w:val="0"/>
                <w:sz w:val="20"/>
                <w:szCs w:val="20"/>
                <w:lang w:val="en-US" w:eastAsia="zh-CN"/>
              </w:rPr>
              <w:t>%</w:t>
            </w:r>
          </w:p>
        </w:tc>
        <w:tc>
          <w:tcPr>
            <w:tcW w:w="700" w:type="dxa"/>
            <w:shd w:val="clear"/>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616" w:type="dxa"/>
            <w:shd w:val="clear"/>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157" w:type="dxa"/>
            <w:shd w:val="clear"/>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35"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0" w:type="dxa"/>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80"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40"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00" w:type="dxa"/>
            <w:shd w:val="clear" w:color="auto" w:fill="auto"/>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616" w:type="dxa"/>
            <w:shd w:val="clear" w:color="auto" w:fill="auto"/>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157"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43"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35"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0" w:type="dxa"/>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发挥专项资金使用效益，服务当地经济发展</w:t>
            </w:r>
          </w:p>
        </w:tc>
        <w:tc>
          <w:tcPr>
            <w:tcW w:w="1280"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40"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0"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57"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43"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35"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0" w:type="dxa"/>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专项业务工作保障水平</w:t>
            </w:r>
          </w:p>
        </w:tc>
        <w:tc>
          <w:tcPr>
            <w:tcW w:w="1280"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40"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0"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616"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157"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43"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35"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0" w:type="dxa"/>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生态效益情况</w:t>
            </w:r>
          </w:p>
        </w:tc>
        <w:tc>
          <w:tcPr>
            <w:tcW w:w="1280" w:type="dxa"/>
            <w:shd w:val="clear"/>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40" w:type="dxa"/>
            <w:shd w:val="clear"/>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700" w:type="dxa"/>
            <w:shd w:val="clear"/>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616" w:type="dxa"/>
            <w:shd w:val="clear"/>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57"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3"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41"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35"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50" w:type="dxa"/>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不断完善优化相关工作，提高工作质量</w:t>
            </w:r>
          </w:p>
        </w:tc>
        <w:tc>
          <w:tcPr>
            <w:tcW w:w="1280" w:type="dxa"/>
            <w:shd w:val="clear" w:color="auto" w:fill="auto"/>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40" w:type="dxa"/>
            <w:shd w:val="clear" w:color="auto" w:fill="auto"/>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700" w:type="dxa"/>
            <w:shd w:val="clear" w:color="auto" w:fill="auto"/>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616" w:type="dxa"/>
            <w:shd w:val="clear" w:color="auto" w:fill="auto"/>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57"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3"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41"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35"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150" w:type="dxa"/>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80"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40"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700"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16"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57"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9" w:type="dxa"/>
            <w:gridSpan w:val="6"/>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0"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57"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14:paraId="7FF7D1BE">
      <w:pPr>
        <w:rPr>
          <w:rFonts w:hint="default"/>
          <w:lang w:val="en-US" w:eastAsia="zh-CN"/>
        </w:rPr>
      </w:pPr>
      <w:r>
        <w:rPr>
          <w:rFonts w:hint="default"/>
          <w:lang w:val="en-US" w:eastAsia="zh-CN"/>
        </w:rPr>
        <w:br w:type="page"/>
      </w:r>
    </w:p>
    <w:p w14:paraId="082BD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919"/>
        <w:gridCol w:w="922"/>
        <w:gridCol w:w="1097"/>
        <w:gridCol w:w="1126"/>
        <w:gridCol w:w="1097"/>
        <w:gridCol w:w="699"/>
        <w:gridCol w:w="739"/>
        <w:gridCol w:w="1249"/>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07" w:type="pct"/>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4492" w:type="pct"/>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土地储备专项</w:t>
            </w:r>
            <w:r>
              <w:rPr>
                <w:rFonts w:hint="eastAsia" w:ascii="仿宋" w:hAnsi="仿宋" w:eastAsia="仿宋" w:cs="仿宋"/>
                <w:color w:val="000000"/>
                <w:kern w:val="0"/>
                <w:sz w:val="20"/>
                <w:szCs w:val="20"/>
              </w:rPr>
              <w:t>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2327" w:type="pct"/>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25" w:type="pct"/>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1539" w:type="pct"/>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054" w:type="pct"/>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28" w:type="pct"/>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644" w:type="pct"/>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625" w:type="pct"/>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400" w:type="pct"/>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23" w:type="pct"/>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715" w:type="pct"/>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7" w:type="pct"/>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4" w:type="pct"/>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628" w:type="pct"/>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23.00</w:t>
            </w:r>
          </w:p>
        </w:tc>
        <w:tc>
          <w:tcPr>
            <w:tcW w:w="644" w:type="pct"/>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33929.</w:t>
            </w:r>
            <w:r>
              <w:rPr>
                <w:rFonts w:hint="eastAsia" w:ascii="仿宋" w:hAnsi="仿宋" w:eastAsia="仿宋" w:cs="仿宋"/>
                <w:color w:val="000000"/>
                <w:kern w:val="0"/>
                <w:sz w:val="20"/>
                <w:szCs w:val="20"/>
                <w:lang w:val="en-US" w:eastAsia="zh-CN"/>
              </w:rPr>
              <w:t>14</w:t>
            </w:r>
          </w:p>
        </w:tc>
        <w:tc>
          <w:tcPr>
            <w:tcW w:w="625" w:type="pct"/>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33929.</w:t>
            </w:r>
            <w:r>
              <w:rPr>
                <w:rFonts w:hint="eastAsia" w:ascii="仿宋" w:hAnsi="仿宋" w:eastAsia="仿宋" w:cs="仿宋"/>
                <w:color w:val="000000"/>
                <w:kern w:val="0"/>
                <w:sz w:val="20"/>
                <w:szCs w:val="20"/>
                <w:lang w:val="en-US" w:eastAsia="zh-CN"/>
              </w:rPr>
              <w:t>14</w:t>
            </w:r>
          </w:p>
        </w:tc>
        <w:tc>
          <w:tcPr>
            <w:tcW w:w="400" w:type="pct"/>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423" w:type="pct"/>
            <w:shd w:val="clear"/>
            <w:noWrap w:val="0"/>
            <w:vAlign w:val="center"/>
          </w:tcPr>
          <w:p w14:paraId="1B57F241">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715" w:type="pct"/>
            <w:shd w:val="clear"/>
            <w:noWrap w:val="0"/>
            <w:vAlign w:val="center"/>
          </w:tcPr>
          <w:p w14:paraId="000439D8">
            <w:pPr>
              <w:keepNext w:val="0"/>
              <w:keepLines w:val="0"/>
              <w:pageBreakBefore w:val="0"/>
              <w:widowControl/>
              <w:shd w:val="clea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 xml:space="preserve">  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4" w:type="pct"/>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628" w:type="pct"/>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44" w:type="pct"/>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25" w:type="pct"/>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00" w:type="pct"/>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23" w:type="pct"/>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15" w:type="pct"/>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4" w:type="pct"/>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628" w:type="pct"/>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44" w:type="pct"/>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25" w:type="pct"/>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00" w:type="pct"/>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23" w:type="pct"/>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15" w:type="pct"/>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07" w:type="pct"/>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4" w:type="pct"/>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628" w:type="pct"/>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44" w:type="pct"/>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625" w:type="pct"/>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00" w:type="pct"/>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423" w:type="pct"/>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15" w:type="pct"/>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07" w:type="pct"/>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2327" w:type="pct"/>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2165" w:type="pct"/>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jc w:val="center"/>
        </w:trPr>
        <w:tc>
          <w:tcPr>
            <w:tcW w:w="507" w:type="pct"/>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327" w:type="pct"/>
            <w:gridSpan w:val="4"/>
            <w:noWrap w:val="0"/>
            <w:vAlign w:val="center"/>
          </w:tcPr>
          <w:p w14:paraId="19DC2B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（一）精准编制土储供地计划。在认真研判我市经济形势和土地市场的基础上，以重大产业项目、重点项目、民生项目为重点，坚持“以供定储”的基本原则，扎实精准做好2024年土地储备供地计划编制工作。</w:t>
            </w:r>
          </w:p>
          <w:p w14:paraId="740ED8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加大片区服务力度。积极向先进地区学习储备管理经验，进一步解放思想，开拓思路，守正创新，并结合我市实际情况，积极融入片区开发、招商引资工作中，积极探索片区开发项目的运作及与平台公司的结算模式，不断提高服务质量和办事效率。</w:t>
            </w:r>
          </w:p>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（三）主动服务土地超市。主动服务我市土地超市平台，承载产品上架和更新工作，为我市土地市场健康发展助力。　　</w:t>
            </w:r>
          </w:p>
        </w:tc>
        <w:tc>
          <w:tcPr>
            <w:tcW w:w="2165" w:type="pct"/>
            <w:gridSpan w:val="4"/>
            <w:noWrap w:val="0"/>
            <w:vAlign w:val="center"/>
          </w:tcPr>
          <w:p w14:paraId="393EB38B">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一）经论证优化，共筛选了146个全民所有土地资产管理和供地计划项目，总面积约651.17公顷（约9767.55亩），其中，2024年度供地计划项目共计97个，拟供应面积310.48公顷（约4657.20亩），含商住类供地项目43个，用地面积约70.31公顷（约1054.65亩）。2024年5月16日，经我局报请市人民政府同意，已批准下达《关于怀化市2024年全民所有土地资产管理和土地供应计划的批复》（怀政函[2024]46号），计划已向省厅完成备案。（二）全力推进重点项目收储。重点以湘商大会、旅发大会及仙人桥、高铁新城片区等重点项目为抓手，2024年先后完成了温德姆酒周边配套用地（全球湘商大会项目）、原莱孚铝厂（招商新华集团项目）、盛唐绿洲、高铁新城片区鹏飞电脑学校（新树仁驾校）、鸭嘴岩加油站、中央储粮怀化直属库公司用地新址等一批重点项目收储工作，确保</w:t>
            </w:r>
            <w:r>
              <w:rPr>
                <w:rFonts w:hint="eastAsia" w:ascii="仿宋" w:hAnsi="仿宋" w:eastAsia="仿宋" w:cs="仿宋"/>
                <w:color w:val="000000"/>
                <w:kern w:val="0"/>
                <w:sz w:val="20"/>
                <w:szCs w:val="20"/>
                <w:lang w:val="en-US" w:eastAsia="zh-CN" w:bidi="ar-SA"/>
              </w:rPr>
              <w:t>了重点</w:t>
            </w:r>
            <w:r>
              <w:rPr>
                <w:rFonts w:hint="eastAsia" w:ascii="仿宋" w:hAnsi="仿宋" w:eastAsia="仿宋" w:cs="仿宋"/>
                <w:color w:val="000000"/>
                <w:kern w:val="0"/>
                <w:sz w:val="20"/>
                <w:szCs w:val="20"/>
                <w:lang w:val="en-US" w:eastAsia="zh-CN" w:bidi="ar-SA"/>
              </w:rPr>
              <w:t>项目的供应。（三）认真落实为民办实事。1、积极化解零星处遗用地问题。2、积极处理解决信访交办问题。3、积极解决征拆安置遗留问题。</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07" w:type="pct"/>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526" w:type="pct"/>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527" w:type="pct"/>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628" w:type="pct"/>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644" w:type="pct"/>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625" w:type="pct"/>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400" w:type="pct"/>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23" w:type="pct"/>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715" w:type="pct"/>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07" w:type="pct"/>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527" w:type="pct"/>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628" w:type="pct"/>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lang w:val="en-US" w:eastAsia="zh-CN"/>
              </w:rPr>
              <w:t>投入经费成本</w:t>
            </w:r>
          </w:p>
        </w:tc>
        <w:tc>
          <w:tcPr>
            <w:tcW w:w="644" w:type="pct"/>
            <w:shd w:val="clear"/>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33929.</w:t>
            </w:r>
            <w:r>
              <w:rPr>
                <w:rFonts w:hint="eastAsia" w:ascii="仿宋" w:hAnsi="仿宋" w:eastAsia="仿宋" w:cs="仿宋"/>
                <w:color w:val="000000"/>
                <w:kern w:val="0"/>
                <w:sz w:val="20"/>
                <w:szCs w:val="20"/>
                <w:lang w:val="en-US" w:eastAsia="zh-CN"/>
              </w:rPr>
              <w:t>14</w:t>
            </w:r>
          </w:p>
        </w:tc>
        <w:tc>
          <w:tcPr>
            <w:tcW w:w="625" w:type="pct"/>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33929.</w:t>
            </w:r>
            <w:r>
              <w:rPr>
                <w:rFonts w:hint="eastAsia" w:ascii="仿宋" w:hAnsi="仿宋" w:eastAsia="仿宋" w:cs="仿宋"/>
                <w:color w:val="000000"/>
                <w:kern w:val="0"/>
                <w:sz w:val="20"/>
                <w:szCs w:val="20"/>
                <w:lang w:val="en-US" w:eastAsia="zh-CN"/>
              </w:rPr>
              <w:t>14</w:t>
            </w:r>
          </w:p>
        </w:tc>
        <w:tc>
          <w:tcPr>
            <w:tcW w:w="400" w:type="pct"/>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23" w:type="pct"/>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5" w:type="pct"/>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07" w:type="pct"/>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527" w:type="pct"/>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628" w:type="pct"/>
            <w:noWrap w:val="0"/>
            <w:vAlign w:val="center"/>
          </w:tcPr>
          <w:p w14:paraId="502BEA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644" w:type="pct"/>
            <w:noWrap w:val="0"/>
            <w:vAlign w:val="center"/>
          </w:tcPr>
          <w:p w14:paraId="6EDF71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625" w:type="pct"/>
            <w:noWrap w:val="0"/>
            <w:vAlign w:val="center"/>
          </w:tcPr>
          <w:p w14:paraId="62F2AB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400" w:type="pct"/>
            <w:noWrap w:val="0"/>
            <w:vAlign w:val="center"/>
          </w:tcPr>
          <w:p w14:paraId="590D74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23" w:type="pct"/>
            <w:noWrap w:val="0"/>
            <w:vAlign w:val="center"/>
          </w:tcPr>
          <w:p w14:paraId="3A4EFB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715" w:type="pct"/>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7" w:type="pct"/>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527" w:type="pct"/>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628" w:type="pct"/>
            <w:shd w:val="clear"/>
            <w:noWrap w:val="0"/>
            <w:vAlign w:val="center"/>
          </w:tcPr>
          <w:p w14:paraId="6A3F15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生态环境成本节约率</w:t>
            </w:r>
          </w:p>
        </w:tc>
        <w:tc>
          <w:tcPr>
            <w:tcW w:w="644" w:type="pct"/>
            <w:shd w:val="clear"/>
            <w:noWrap w:val="0"/>
            <w:vAlign w:val="center"/>
          </w:tcPr>
          <w:p w14:paraId="0CC801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625" w:type="pct"/>
            <w:shd w:val="clear"/>
            <w:noWrap w:val="0"/>
            <w:vAlign w:val="center"/>
          </w:tcPr>
          <w:p w14:paraId="56E806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400" w:type="pct"/>
            <w:shd w:val="clear" w:color="auto" w:fill="auto"/>
            <w:noWrap w:val="0"/>
            <w:vAlign w:val="center"/>
          </w:tcPr>
          <w:p w14:paraId="1A93B4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423" w:type="pct"/>
            <w:shd w:val="clear" w:color="auto" w:fill="auto"/>
            <w:noWrap w:val="0"/>
            <w:vAlign w:val="center"/>
          </w:tcPr>
          <w:p w14:paraId="7B20A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15" w:type="pct"/>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pct"/>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527" w:type="pct"/>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628" w:type="pct"/>
            <w:noWrap w:val="0"/>
            <w:vAlign w:val="center"/>
          </w:tcPr>
          <w:p w14:paraId="2DC0BF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供地计划项目备案个数</w:t>
            </w:r>
          </w:p>
        </w:tc>
        <w:tc>
          <w:tcPr>
            <w:tcW w:w="644" w:type="pct"/>
            <w:noWrap w:val="0"/>
            <w:vAlign w:val="center"/>
          </w:tcPr>
          <w:p w14:paraId="5A55B0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97个</w:t>
            </w:r>
          </w:p>
        </w:tc>
        <w:tc>
          <w:tcPr>
            <w:tcW w:w="625" w:type="pct"/>
            <w:noWrap w:val="0"/>
            <w:vAlign w:val="center"/>
          </w:tcPr>
          <w:p w14:paraId="47F9DC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97个</w:t>
            </w:r>
          </w:p>
        </w:tc>
        <w:tc>
          <w:tcPr>
            <w:tcW w:w="400" w:type="pct"/>
            <w:noWrap w:val="0"/>
            <w:vAlign w:val="center"/>
          </w:tcPr>
          <w:p w14:paraId="56EE86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423" w:type="pct"/>
            <w:noWrap w:val="0"/>
            <w:vAlign w:val="center"/>
          </w:tcPr>
          <w:p w14:paraId="63EB25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715" w:type="pct"/>
            <w:noWrap w:val="0"/>
            <w:vAlign w:val="center"/>
          </w:tcPr>
          <w:p w14:paraId="4D4917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07" w:type="pct"/>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7" w:type="pct"/>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628" w:type="pct"/>
            <w:shd w:val="clear"/>
            <w:noWrap w:val="0"/>
            <w:vAlign w:val="center"/>
          </w:tcPr>
          <w:p w14:paraId="109070F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 xml:space="preserve"> 项目绩效目标完成率</w:t>
            </w:r>
          </w:p>
        </w:tc>
        <w:tc>
          <w:tcPr>
            <w:tcW w:w="644" w:type="pct"/>
            <w:shd w:val="clear"/>
            <w:noWrap w:val="0"/>
            <w:vAlign w:val="center"/>
          </w:tcPr>
          <w:p w14:paraId="194F17A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效果明显</w:t>
            </w:r>
          </w:p>
        </w:tc>
        <w:tc>
          <w:tcPr>
            <w:tcW w:w="625" w:type="pct"/>
            <w:noWrap w:val="0"/>
            <w:vAlign w:val="center"/>
          </w:tcPr>
          <w:p w14:paraId="2FCBDB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lang w:val="en-US" w:eastAsia="zh-CN"/>
              </w:rPr>
              <w:t>效果明显</w:t>
            </w:r>
          </w:p>
        </w:tc>
        <w:tc>
          <w:tcPr>
            <w:tcW w:w="400" w:type="pct"/>
            <w:shd w:val="clear"/>
            <w:noWrap w:val="0"/>
            <w:vAlign w:val="center"/>
          </w:tcPr>
          <w:p w14:paraId="113D00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423" w:type="pct"/>
            <w:shd w:val="clear"/>
            <w:noWrap w:val="0"/>
            <w:vAlign w:val="center"/>
          </w:tcPr>
          <w:p w14:paraId="59AEFB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715" w:type="pct"/>
            <w:noWrap w:val="0"/>
            <w:vAlign w:val="center"/>
          </w:tcPr>
          <w:p w14:paraId="2FACC7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7" w:type="pct"/>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7" w:type="pct"/>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628" w:type="pct"/>
            <w:shd w:val="clear"/>
            <w:noWrap w:val="0"/>
            <w:vAlign w:val="center"/>
          </w:tcPr>
          <w:p w14:paraId="2FF5FCE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完成及时率</w:t>
            </w:r>
          </w:p>
        </w:tc>
        <w:tc>
          <w:tcPr>
            <w:tcW w:w="644" w:type="pct"/>
            <w:shd w:val="clear"/>
            <w:noWrap w:val="0"/>
            <w:vAlign w:val="center"/>
          </w:tcPr>
          <w:p w14:paraId="0E9E796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2024年12月之前完成</w:t>
            </w:r>
          </w:p>
        </w:tc>
        <w:tc>
          <w:tcPr>
            <w:tcW w:w="625" w:type="pct"/>
            <w:shd w:val="clear"/>
            <w:noWrap w:val="0"/>
            <w:vAlign w:val="center"/>
          </w:tcPr>
          <w:p w14:paraId="4DF7B56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2024年12月之前完成</w:t>
            </w:r>
          </w:p>
        </w:tc>
        <w:tc>
          <w:tcPr>
            <w:tcW w:w="400" w:type="pct"/>
            <w:shd w:val="clear"/>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423" w:type="pct"/>
            <w:shd w:val="clear"/>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15" w:type="pct"/>
            <w:noWrap w:val="0"/>
            <w:vAlign w:val="center"/>
          </w:tcPr>
          <w:p w14:paraId="07E9FA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07" w:type="pct"/>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7" w:type="pct"/>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628" w:type="pct"/>
            <w:noWrap w:val="0"/>
            <w:vAlign w:val="center"/>
          </w:tcPr>
          <w:p w14:paraId="5ADEAE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lang w:val="en-US" w:eastAsia="zh-CN"/>
              </w:rPr>
              <w:t>为促进经济发展，提供支持</w:t>
            </w:r>
          </w:p>
        </w:tc>
        <w:tc>
          <w:tcPr>
            <w:tcW w:w="644" w:type="pct"/>
            <w:shd w:val="clear"/>
            <w:noWrap w:val="0"/>
            <w:vAlign w:val="center"/>
          </w:tcPr>
          <w:p w14:paraId="5093FE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625" w:type="pct"/>
            <w:shd w:val="clear"/>
            <w:noWrap w:val="0"/>
            <w:vAlign w:val="center"/>
          </w:tcPr>
          <w:p w14:paraId="243479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400" w:type="pct"/>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423" w:type="pct"/>
            <w:shd w:val="clear" w:color="auto" w:fill="auto"/>
            <w:noWrap w:val="0"/>
            <w:vAlign w:val="center"/>
          </w:tcPr>
          <w:p w14:paraId="247EE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15" w:type="pct"/>
            <w:noWrap w:val="0"/>
            <w:vAlign w:val="center"/>
          </w:tcPr>
          <w:p w14:paraId="7B6FBA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7" w:type="pct"/>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7" w:type="pct"/>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628" w:type="pct"/>
            <w:shd w:val="clear"/>
            <w:noWrap w:val="0"/>
            <w:vAlign w:val="center"/>
          </w:tcPr>
          <w:p w14:paraId="277E1B7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维护社会稳定</w:t>
            </w:r>
          </w:p>
        </w:tc>
        <w:tc>
          <w:tcPr>
            <w:tcW w:w="644" w:type="pct"/>
            <w:shd w:val="clear"/>
            <w:noWrap w:val="0"/>
            <w:vAlign w:val="center"/>
          </w:tcPr>
          <w:p w14:paraId="359B39A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效果明显</w:t>
            </w:r>
          </w:p>
        </w:tc>
        <w:tc>
          <w:tcPr>
            <w:tcW w:w="625" w:type="pct"/>
            <w:shd w:val="clear"/>
            <w:noWrap w:val="0"/>
            <w:vAlign w:val="center"/>
          </w:tcPr>
          <w:p w14:paraId="75905C5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效果明显</w:t>
            </w:r>
          </w:p>
        </w:tc>
        <w:tc>
          <w:tcPr>
            <w:tcW w:w="400" w:type="pct"/>
            <w:noWrap w:val="0"/>
            <w:vAlign w:val="center"/>
          </w:tcPr>
          <w:p w14:paraId="4DF34F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23" w:type="pct"/>
            <w:noWrap w:val="0"/>
            <w:vAlign w:val="center"/>
          </w:tcPr>
          <w:p w14:paraId="71ED0F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715" w:type="pct"/>
            <w:noWrap w:val="0"/>
            <w:vAlign w:val="center"/>
          </w:tcPr>
          <w:p w14:paraId="2D23D6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07" w:type="pct"/>
            <w:vMerge w:val="continue"/>
            <w:noWrap w:val="0"/>
            <w:vAlign w:val="center"/>
          </w:tcPr>
          <w:p w14:paraId="4F7336B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p>
        </w:tc>
        <w:tc>
          <w:tcPr>
            <w:tcW w:w="526" w:type="pct"/>
            <w:vMerge w:val="continue"/>
            <w:noWrap w:val="0"/>
            <w:vAlign w:val="center"/>
          </w:tcPr>
          <w:p w14:paraId="3F012EA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p>
        </w:tc>
        <w:tc>
          <w:tcPr>
            <w:tcW w:w="527" w:type="pct"/>
            <w:noWrap w:val="0"/>
            <w:vAlign w:val="center"/>
          </w:tcPr>
          <w:p w14:paraId="242A068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生态效</w:t>
            </w:r>
          </w:p>
          <w:p w14:paraId="61C61D4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益指标</w:t>
            </w:r>
          </w:p>
        </w:tc>
        <w:tc>
          <w:tcPr>
            <w:tcW w:w="628" w:type="pct"/>
            <w:noWrap w:val="0"/>
            <w:vAlign w:val="center"/>
          </w:tcPr>
          <w:p w14:paraId="097FA52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拟定复绿方案，美化了城市形象，提升环境质量</w:t>
            </w:r>
          </w:p>
        </w:tc>
        <w:tc>
          <w:tcPr>
            <w:tcW w:w="644" w:type="pct"/>
            <w:shd w:val="clear" w:color="auto" w:fill="auto"/>
            <w:noWrap w:val="0"/>
            <w:vAlign w:val="center"/>
          </w:tcPr>
          <w:p w14:paraId="1F57024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效果明显</w:t>
            </w:r>
          </w:p>
        </w:tc>
        <w:tc>
          <w:tcPr>
            <w:tcW w:w="625" w:type="pct"/>
            <w:shd w:val="clear" w:color="auto" w:fill="auto"/>
            <w:noWrap w:val="0"/>
            <w:vAlign w:val="center"/>
          </w:tcPr>
          <w:p w14:paraId="77A349D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效果明显</w:t>
            </w:r>
          </w:p>
        </w:tc>
        <w:tc>
          <w:tcPr>
            <w:tcW w:w="400" w:type="pct"/>
            <w:shd w:val="clear" w:color="auto" w:fill="auto"/>
            <w:noWrap w:val="0"/>
            <w:vAlign w:val="center"/>
          </w:tcPr>
          <w:p w14:paraId="3635D0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423" w:type="pct"/>
            <w:shd w:val="clear" w:color="auto" w:fill="auto"/>
            <w:noWrap w:val="0"/>
            <w:vAlign w:val="center"/>
          </w:tcPr>
          <w:p w14:paraId="261329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15" w:type="pct"/>
            <w:noWrap w:val="0"/>
            <w:vAlign w:val="center"/>
          </w:tcPr>
          <w:p w14:paraId="0043A5D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7" w:type="pct"/>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526" w:type="pct"/>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7" w:type="pct"/>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628" w:type="pct"/>
            <w:noWrap w:val="0"/>
            <w:vAlign w:val="center"/>
          </w:tcPr>
          <w:p w14:paraId="793351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644" w:type="pct"/>
            <w:noWrap w:val="0"/>
            <w:vAlign w:val="center"/>
          </w:tcPr>
          <w:p w14:paraId="064DAD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625" w:type="pct"/>
            <w:noWrap w:val="0"/>
            <w:vAlign w:val="center"/>
          </w:tcPr>
          <w:p w14:paraId="66CD1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00" w:type="pct"/>
            <w:noWrap w:val="0"/>
            <w:vAlign w:val="center"/>
          </w:tcPr>
          <w:p w14:paraId="1C5C1E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23" w:type="pct"/>
            <w:noWrap w:val="0"/>
            <w:vAlign w:val="center"/>
          </w:tcPr>
          <w:p w14:paraId="12431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15" w:type="pct"/>
            <w:noWrap w:val="0"/>
            <w:vAlign w:val="center"/>
          </w:tcPr>
          <w:p w14:paraId="6B1F65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07" w:type="pct"/>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 w:type="pct"/>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527" w:type="pct"/>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628" w:type="pct"/>
            <w:shd w:val="clear"/>
            <w:noWrap w:val="0"/>
            <w:vAlign w:val="center"/>
          </w:tcPr>
          <w:p w14:paraId="7CE7ED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社会公众满意度</w:t>
            </w:r>
          </w:p>
        </w:tc>
        <w:tc>
          <w:tcPr>
            <w:tcW w:w="644" w:type="pct"/>
            <w:shd w:val="clear"/>
            <w:noWrap w:val="0"/>
            <w:vAlign w:val="center"/>
          </w:tcPr>
          <w:p w14:paraId="458E70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625" w:type="pct"/>
            <w:shd w:val="clear"/>
            <w:noWrap w:val="0"/>
            <w:vAlign w:val="center"/>
          </w:tcPr>
          <w:p w14:paraId="4405DE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400" w:type="pct"/>
            <w:shd w:val="clear"/>
            <w:noWrap w:val="0"/>
            <w:vAlign w:val="center"/>
          </w:tcPr>
          <w:p w14:paraId="6F9D3A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423" w:type="pct"/>
            <w:shd w:val="clear"/>
            <w:noWrap w:val="0"/>
            <w:vAlign w:val="center"/>
          </w:tcPr>
          <w:p w14:paraId="3C449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15" w:type="pct"/>
            <w:noWrap w:val="0"/>
            <w:vAlign w:val="center"/>
          </w:tcPr>
          <w:p w14:paraId="6ECCFD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0" w:type="pct"/>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400" w:type="pct"/>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23" w:type="pct"/>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15" w:type="pct"/>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bl>
    <w:p w14:paraId="68AA738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w:t>
      </w:r>
    </w:p>
    <w:p w14:paraId="2B064EE8">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5933DCB">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E971113">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E695107">
      <w:pPr>
        <w:widowControl w:val="0"/>
        <w:kinsoku/>
        <w:autoSpaceDE/>
        <w:autoSpaceDN/>
        <w:adjustRightInd/>
        <w:snapToGrid/>
        <w:spacing w:line="240" w:lineRule="auto"/>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w:t>
      </w:r>
      <w:r>
        <w:rPr>
          <w:rFonts w:hint="eastAsia" w:ascii="Times New Roman" w:hAnsi="Times New Roman" w:eastAsia="仿宋_GB2312" w:cs="Times New Roman"/>
          <w:snapToGrid/>
          <w:color w:val="000000"/>
          <w:kern w:val="0"/>
          <w:sz w:val="24"/>
          <w:szCs w:val="24"/>
          <w:lang w:val="en-US" w:eastAsia="zh-CN" w:bidi="ar-SA"/>
        </w:rPr>
        <w:t>4</w:t>
      </w:r>
    </w:p>
    <w:p w14:paraId="16A39887">
      <w:pPr>
        <w:jc w:val="center"/>
        <w:rPr>
          <w:rFonts w:hint="eastAsia" w:ascii="方正小标宋简体" w:hAnsi="Arial" w:eastAsia="方正小标宋简体" w:cs="Arial"/>
          <w:sz w:val="40"/>
          <w:szCs w:val="40"/>
        </w:rPr>
      </w:pPr>
      <w:r>
        <w:rPr>
          <w:rFonts w:hint="eastAsia" w:ascii="方正小标宋简体" w:hAnsi="Arial" w:eastAsia="方正小标宋简体" w:cs="Arial"/>
          <w:sz w:val="40"/>
          <w:szCs w:val="40"/>
        </w:rPr>
        <w:t>项目</w:t>
      </w:r>
      <w:r>
        <w:rPr>
          <w:rFonts w:hint="eastAsia" w:ascii="方正小标宋简体" w:hAnsi="Arial" w:eastAsia="方正小标宋简体" w:cs="Arial"/>
          <w:sz w:val="40"/>
          <w:szCs w:val="40"/>
          <w:lang w:eastAsia="zh-CN"/>
        </w:rPr>
        <w:t>支出</w:t>
      </w:r>
      <w:r>
        <w:rPr>
          <w:rFonts w:hint="eastAsia" w:ascii="方正小标宋简体" w:hAnsi="Arial" w:eastAsia="方正小标宋简体" w:cs="Arial"/>
          <w:sz w:val="40"/>
          <w:szCs w:val="40"/>
        </w:rPr>
        <w:t>自评</w:t>
      </w:r>
      <w:r>
        <w:rPr>
          <w:rFonts w:hint="eastAsia" w:ascii="方正小标宋简体" w:hAnsi="Arial" w:eastAsia="方正小标宋简体" w:cs="Arial"/>
          <w:sz w:val="40"/>
          <w:szCs w:val="40"/>
          <w:lang w:eastAsia="zh-CN"/>
        </w:rPr>
        <w:t>结果汇总分析</w:t>
      </w:r>
      <w:r>
        <w:rPr>
          <w:rFonts w:hint="eastAsia" w:ascii="方正小标宋简体" w:hAnsi="Arial" w:eastAsia="方正小标宋简体" w:cs="Arial"/>
          <w:sz w:val="40"/>
          <w:szCs w:val="40"/>
        </w:rPr>
        <w:t>报告</w:t>
      </w:r>
    </w:p>
    <w:p w14:paraId="6F91B6A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A0365E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6EDA59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（一）项目决策背景</w:t>
      </w:r>
    </w:p>
    <w:p w14:paraId="5E2847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怀化市土地储备中心部门中长期目标是围绕加快建设怀化，立足于保障城建计划和市政府重大项目顺利推进，以提升城市品质、完善城市功能、促进房地产市场平稳健康发展为目标，紧密结合“十四五规划”、国民经济和社会发展计划、土地利用总体规划、城市总体规划、土地储备规划和土地市场供需情况，科学编制土地储备计划，实施精准供地，防范土地储备资金风险，助推全市经济社会发展目标的顺利实现。</w:t>
      </w:r>
    </w:p>
    <w:p w14:paraId="5E9D9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（二）</w:t>
      </w:r>
      <w:r>
        <w:rPr>
          <w:rFonts w:hint="eastAsia" w:ascii="仿宋" w:hAnsi="仿宋" w:eastAsia="仿宋" w:cs="Times New Roman"/>
          <w:spacing w:val="-2"/>
          <w:kern w:val="2"/>
          <w:sz w:val="32"/>
          <w:szCs w:val="32"/>
          <w:lang w:val="en-US" w:eastAsia="zh-CN" w:bidi="ar-SA"/>
        </w:rPr>
        <w:t>项目主要内容</w:t>
      </w:r>
    </w:p>
    <w:p w14:paraId="315A17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根据本地区国民经济和社会发展规划、城镇发展规划、土地储备计划等申报了土地储备合作项目，编制了项目可行性研究报告、实施方案等，明确了项目的具体实施内容及实施期限。</w:t>
      </w:r>
    </w:p>
    <w:p w14:paraId="62388C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（三）项目组织管理机构</w:t>
      </w:r>
    </w:p>
    <w:p w14:paraId="201207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项目组织管理机构为怀化市土地储备中心，主管部门为怀化市自然资源和规划局。</w:t>
      </w:r>
    </w:p>
    <w:p w14:paraId="40A7943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496B17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包括项目单位自评工作覆盖情况，组织开展程序，责任单位等。</w:t>
      </w:r>
    </w:p>
    <w:p w14:paraId="5239943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（一）</w:t>
      </w:r>
      <w:r>
        <w:rPr>
          <w:rFonts w:hint="eastAsia" w:ascii="Times New Roman Regular" w:hAnsi="Times New Roman Regular" w:eastAsia="仿宋_GB2312" w:cs="Times New Roman Regular"/>
          <w:color w:val="auto"/>
          <w:sz w:val="32"/>
          <w:szCs w:val="32"/>
          <w:highlight w:val="none"/>
          <w:lang w:val="en-US" w:eastAsia="zh-CN"/>
        </w:rPr>
        <w:t>项目单位自评工作覆盖情况</w:t>
      </w:r>
    </w:p>
    <w:p w14:paraId="5801586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根据预算绩效管理要求，本次项目支出绩效自评的对象和范围为我中心2024年度市本级财政批复的预算项目1个，涉及市级财政资金</w:t>
      </w:r>
      <w:r>
        <w:rPr>
          <w:rFonts w:hint="eastAsia" w:ascii="仿宋" w:hAnsi="仿宋" w:eastAsia="仿宋" w:cs="Times New Roman"/>
          <w:spacing w:val="-2"/>
          <w:kern w:val="2"/>
          <w:sz w:val="32"/>
          <w:szCs w:val="32"/>
          <w:lang w:val="en-US" w:eastAsia="zh-CN" w:bidi="ar-SA"/>
        </w:rPr>
        <w:t>33,929.14</w:t>
      </w:r>
      <w:r>
        <w:rPr>
          <w:rFonts w:hint="eastAsia" w:ascii="仿宋" w:hAnsi="仿宋" w:eastAsia="仿宋" w:cs="Times New Roman"/>
          <w:spacing w:val="-2"/>
          <w:kern w:val="2"/>
          <w:sz w:val="32"/>
          <w:szCs w:val="32"/>
          <w:lang w:val="en-US" w:eastAsia="zh-CN" w:bidi="ar-SA"/>
        </w:rPr>
        <w:t>万元，自评覆盖率为100%。</w:t>
      </w:r>
    </w:p>
    <w:p w14:paraId="4E8FECD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（二）</w:t>
      </w:r>
      <w:r>
        <w:rPr>
          <w:rFonts w:hint="eastAsia" w:ascii="Times New Roman Regular" w:hAnsi="Times New Roman Regular" w:eastAsia="仿宋_GB2312" w:cs="Times New Roman Regular"/>
          <w:color w:val="auto"/>
          <w:sz w:val="32"/>
          <w:szCs w:val="32"/>
          <w:highlight w:val="none"/>
          <w:lang w:val="en-US" w:eastAsia="zh-CN"/>
        </w:rPr>
        <w:t>组织开展程序</w:t>
      </w:r>
    </w:p>
    <w:p w14:paraId="3536103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根据《怀化市财政局关于开展2024年度市级预算部门绩效自评和部门评价的通知》（怀财绩〔2025〕32号）要求，本单位对2024年度项目资金开展自评，主要包括土地储备专项项目。我单位成立由办公室以及其他业务科室组成的绩效自评工作小组，明确责任分工，细化评价指标和流程。项目负责人在评价执行过程中对各项目进行数据收集与分析，采用合理的评价方法，对项目整体执行情况进行合理的评价与分析，得出合理的结论。</w:t>
      </w:r>
    </w:p>
    <w:p w14:paraId="0CE59B2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(三)责任单位</w:t>
      </w:r>
    </w:p>
    <w:p w14:paraId="4A75AA0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项目支出责任单位为</w:t>
      </w:r>
      <w:r>
        <w:rPr>
          <w:rFonts w:hint="eastAsia" w:ascii="仿宋" w:hAnsi="仿宋" w:eastAsia="仿宋" w:cs="Times New Roman"/>
          <w:spacing w:val="-2"/>
          <w:kern w:val="2"/>
          <w:sz w:val="32"/>
          <w:szCs w:val="32"/>
          <w:lang w:val="en-US" w:eastAsia="zh-CN" w:bidi="ar-SA"/>
        </w:rPr>
        <w:t>怀化市土地储备中心</w:t>
      </w:r>
      <w:r>
        <w:rPr>
          <w:rFonts w:hint="eastAsia" w:ascii="仿宋" w:hAnsi="仿宋" w:eastAsia="仿宋" w:cs="Times New Roman"/>
          <w:spacing w:val="-2"/>
          <w:kern w:val="2"/>
          <w:sz w:val="32"/>
          <w:szCs w:val="32"/>
          <w:lang w:val="en-US" w:eastAsia="zh-CN" w:bidi="ar-SA"/>
        </w:rPr>
        <w:t>，</w:t>
      </w:r>
      <w:r>
        <w:rPr>
          <w:rFonts w:hint="eastAsia" w:ascii="仿宋" w:hAnsi="仿宋" w:eastAsia="仿宋" w:cs="Times New Roman"/>
          <w:spacing w:val="-2"/>
          <w:kern w:val="2"/>
          <w:sz w:val="32"/>
          <w:szCs w:val="32"/>
          <w:lang w:val="en-US" w:eastAsia="zh-CN" w:bidi="ar-SA"/>
        </w:rPr>
        <w:t>为国家和人民生活建设提供土地储备保障，储备土地管理、土地储备规划和计划的编制及执行土地储备资金的筹措规划区内储备土地的前期开发（相关社会服务），同时承接市政府以及我局交办的其他任务。项目主管部门为怀化市自然资源和规划局。</w:t>
      </w:r>
    </w:p>
    <w:p w14:paraId="5D5647A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4CCFB028">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包括项目支出单位自评分数情况及分析，预算执行情况分析、资金管理情况分析、总体绩效目标完成情况分析、绩效指标完成情况分析等。对年度总体绩效目标没有完成的项目、绩效指标完成情况存在偏差的（没有完成、超额完成30%及以上），要分析原因。</w:t>
      </w:r>
    </w:p>
    <w:p w14:paraId="46794692">
      <w:pPr>
        <w:keepNext w:val="0"/>
        <w:keepLines w:val="0"/>
        <w:pageBreakBefore w:val="0"/>
        <w:widowControl w:val="0"/>
        <w:kinsoku/>
        <w:wordWrap/>
        <w:overflowPunct/>
        <w:topLinePunct w:val="0"/>
        <w:autoSpaceDE/>
        <w:autoSpaceDN/>
        <w:bidi w:val="0"/>
        <w:adjustRightInd/>
        <w:snapToGrid w:val="0"/>
        <w:spacing w:line="560" w:lineRule="exact"/>
        <w:ind w:firstLine="635" w:firstLineChars="200"/>
        <w:textAlignment w:val="auto"/>
        <w:rPr>
          <w:rFonts w:hint="eastAsia" w:ascii="仿宋" w:hAnsi="仿宋" w:eastAsia="仿宋" w:cs="Times New Roman"/>
          <w:b/>
          <w:bCs/>
          <w:spacing w:val="-2"/>
          <w:kern w:val="2"/>
          <w:sz w:val="32"/>
          <w:szCs w:val="32"/>
          <w:lang w:val="en-US" w:eastAsia="zh-CN" w:bidi="ar-SA"/>
        </w:rPr>
      </w:pPr>
      <w:r>
        <w:rPr>
          <w:rFonts w:hint="eastAsia" w:ascii="仿宋" w:hAnsi="仿宋" w:eastAsia="仿宋" w:cs="Times New Roman"/>
          <w:b/>
          <w:bCs/>
          <w:spacing w:val="-2"/>
          <w:kern w:val="2"/>
          <w:sz w:val="32"/>
          <w:szCs w:val="32"/>
          <w:lang w:val="en-US" w:eastAsia="zh-CN" w:bidi="ar-SA"/>
        </w:rPr>
        <w:t>（一）项目支出单位自评分数情况及分析</w:t>
      </w:r>
    </w:p>
    <w:p w14:paraId="4FD6896E">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highlight w:val="none"/>
          <w:lang w:val="en-US" w:eastAsia="zh-CN" w:bidi="ar-SA"/>
        </w:rPr>
        <w:t>我中心本次项目支出自评结果为:土地储备资金专项项目自评得分100分。从</w:t>
      </w:r>
      <w:r>
        <w:rPr>
          <w:rFonts w:hint="eastAsia" w:ascii="仿宋" w:hAnsi="仿宋" w:eastAsia="仿宋" w:cs="Times New Roman"/>
          <w:spacing w:val="-2"/>
          <w:kern w:val="2"/>
          <w:sz w:val="32"/>
          <w:szCs w:val="32"/>
          <w:lang w:val="en-US" w:eastAsia="zh-CN" w:bidi="ar-SA"/>
        </w:rPr>
        <w:t>本次绩效自评的整体情况来看，项目支出决策依据充分资金下达及时，资金分配合理，组织实施有序，管理制度完善，项目管理整体情况良好，充分发挥了财政资金使用效益。</w:t>
      </w:r>
    </w:p>
    <w:p w14:paraId="7B3065F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土地储备专项资金项目，符合国家、省、州、县相关规划的要求，项目立项规范，目标合理、明确、细化、量化，项目资金能及时到账，遵循专人管理、专账核算、专项使用的专项资金管理原则，相关管理制度完备，并能严格遵守，达到了预期的各项绩效指标，经济社会效益比较显著，项目生态环境效益良好。</w:t>
      </w:r>
    </w:p>
    <w:p w14:paraId="1481163C">
      <w:pPr>
        <w:keepNext w:val="0"/>
        <w:keepLines w:val="0"/>
        <w:pageBreakBefore w:val="0"/>
        <w:widowControl w:val="0"/>
        <w:kinsoku/>
        <w:wordWrap/>
        <w:overflowPunct/>
        <w:topLinePunct w:val="0"/>
        <w:autoSpaceDE/>
        <w:autoSpaceDN/>
        <w:bidi w:val="0"/>
        <w:adjustRightInd/>
        <w:snapToGrid w:val="0"/>
        <w:spacing w:line="560" w:lineRule="exact"/>
        <w:ind w:firstLine="635" w:firstLineChars="200"/>
        <w:textAlignment w:val="auto"/>
        <w:rPr>
          <w:rFonts w:hint="eastAsia" w:ascii="仿宋" w:hAnsi="仿宋" w:eastAsia="仿宋" w:cs="Times New Roman"/>
          <w:b/>
          <w:bCs/>
          <w:spacing w:val="-2"/>
          <w:kern w:val="2"/>
          <w:sz w:val="32"/>
          <w:szCs w:val="32"/>
          <w:lang w:val="en-US" w:eastAsia="zh-CN" w:bidi="ar-SA"/>
        </w:rPr>
      </w:pPr>
      <w:r>
        <w:rPr>
          <w:rFonts w:hint="eastAsia" w:ascii="仿宋" w:hAnsi="仿宋" w:eastAsia="仿宋" w:cs="Times New Roman"/>
          <w:b/>
          <w:bCs/>
          <w:spacing w:val="-2"/>
          <w:kern w:val="2"/>
          <w:sz w:val="32"/>
          <w:szCs w:val="32"/>
          <w:lang w:val="en-US" w:eastAsia="zh-CN" w:bidi="ar-SA"/>
        </w:rPr>
        <w:t>（二）预算执行情况分析</w:t>
      </w:r>
    </w:p>
    <w:p w14:paraId="2308B17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kern w:val="2"/>
          <w:sz w:val="32"/>
          <w:szCs w:val="32"/>
          <w:lang w:val="en-US" w:eastAsia="zh-CN" w:bidi="ar-SA"/>
        </w:rPr>
        <w:t>我中心</w:t>
      </w:r>
      <w:r>
        <w:rPr>
          <w:rFonts w:hint="eastAsia" w:ascii="仿宋" w:hAnsi="仿宋" w:eastAsia="仿宋" w:cs="Times New Roman"/>
          <w:spacing w:val="-2"/>
          <w:kern w:val="2"/>
          <w:sz w:val="32"/>
          <w:szCs w:val="32"/>
          <w:lang w:val="en-US" w:eastAsia="zh-CN" w:bidi="ar-SA"/>
        </w:rPr>
        <w:t>本部门项目支出主要是土地储备资金专项经费，年初资金专户未纳入本单位预算，纳入财政大预算；2024年度预算执行33,929.14万元</w:t>
      </w:r>
      <w:r>
        <w:rPr>
          <w:rFonts w:hint="eastAsia" w:ascii="仿宋" w:hAnsi="仿宋" w:eastAsia="仿宋" w:cs="Times New Roman"/>
          <w:spacing w:val="-2"/>
          <w:kern w:val="2"/>
          <w:sz w:val="32"/>
          <w:szCs w:val="32"/>
          <w:lang w:val="en-US" w:eastAsia="zh-CN" w:bidi="ar-SA"/>
        </w:rPr>
        <w:t>，预算执行率为100%。</w:t>
      </w:r>
    </w:p>
    <w:p w14:paraId="3584AA88">
      <w:pPr>
        <w:keepNext w:val="0"/>
        <w:keepLines w:val="0"/>
        <w:pageBreakBefore w:val="0"/>
        <w:widowControl w:val="0"/>
        <w:kinsoku/>
        <w:wordWrap/>
        <w:overflowPunct/>
        <w:topLinePunct w:val="0"/>
        <w:autoSpaceDE/>
        <w:autoSpaceDN/>
        <w:bidi w:val="0"/>
        <w:adjustRightInd/>
        <w:snapToGrid w:val="0"/>
        <w:spacing w:line="560" w:lineRule="exact"/>
        <w:ind w:firstLine="635" w:firstLineChars="200"/>
        <w:textAlignment w:val="auto"/>
        <w:rPr>
          <w:rFonts w:hint="eastAsia" w:ascii="仿宋" w:hAnsi="仿宋" w:eastAsia="仿宋" w:cs="Times New Roman"/>
          <w:b/>
          <w:bCs/>
          <w:spacing w:val="-2"/>
          <w:kern w:val="2"/>
          <w:sz w:val="32"/>
          <w:szCs w:val="32"/>
          <w:lang w:val="en-US" w:eastAsia="zh-CN" w:bidi="ar-SA"/>
        </w:rPr>
      </w:pPr>
      <w:r>
        <w:rPr>
          <w:rFonts w:hint="eastAsia" w:ascii="仿宋" w:hAnsi="仿宋" w:eastAsia="仿宋" w:cs="Times New Roman"/>
          <w:b/>
          <w:bCs/>
          <w:spacing w:val="-2"/>
          <w:kern w:val="2"/>
          <w:sz w:val="32"/>
          <w:szCs w:val="32"/>
          <w:lang w:val="en-US" w:eastAsia="zh-CN" w:bidi="ar-SA"/>
        </w:rPr>
        <w:t>(三)资金管理情况分析</w:t>
      </w:r>
    </w:p>
    <w:p w14:paraId="7A53A60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1.资金到位率。2024年本单位专项项目资金投入</w:t>
      </w:r>
      <w:r>
        <w:rPr>
          <w:rFonts w:hint="eastAsia" w:ascii="仿宋" w:hAnsi="仿宋" w:eastAsia="仿宋" w:cs="Times New Roman"/>
          <w:spacing w:val="-2"/>
          <w:kern w:val="2"/>
          <w:sz w:val="32"/>
          <w:szCs w:val="32"/>
          <w:lang w:val="en-US" w:eastAsia="zh-CN" w:bidi="ar-SA"/>
        </w:rPr>
        <w:t>33,929.14</w:t>
      </w:r>
      <w:r>
        <w:rPr>
          <w:rFonts w:hint="eastAsia" w:ascii="仿宋" w:hAnsi="仿宋" w:eastAsia="仿宋" w:cs="Times New Roman"/>
          <w:spacing w:val="-2"/>
          <w:kern w:val="2"/>
          <w:sz w:val="32"/>
          <w:szCs w:val="32"/>
          <w:lang w:val="en-US" w:eastAsia="zh-CN" w:bidi="ar-SA"/>
        </w:rPr>
        <w:t>万元，实际到位</w:t>
      </w:r>
      <w:r>
        <w:rPr>
          <w:rFonts w:hint="eastAsia" w:ascii="仿宋" w:hAnsi="仿宋" w:eastAsia="仿宋" w:cs="Times New Roman"/>
          <w:spacing w:val="-2"/>
          <w:kern w:val="2"/>
          <w:sz w:val="32"/>
          <w:szCs w:val="32"/>
          <w:lang w:val="en-US" w:eastAsia="zh-CN" w:bidi="ar-SA"/>
        </w:rPr>
        <w:t>33,929.14</w:t>
      </w:r>
      <w:r>
        <w:rPr>
          <w:rFonts w:hint="eastAsia" w:ascii="仿宋" w:hAnsi="仿宋" w:eastAsia="仿宋" w:cs="Times New Roman"/>
          <w:spacing w:val="-2"/>
          <w:kern w:val="2"/>
          <w:sz w:val="32"/>
          <w:szCs w:val="32"/>
          <w:lang w:val="en-US" w:eastAsia="zh-CN" w:bidi="ar-SA"/>
        </w:rPr>
        <w:t>万元，资金到位率100%。</w:t>
      </w:r>
    </w:p>
    <w:p w14:paraId="113DF66A">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资金管理制度及执行情况。资金支付符合国家财经法规和财务管理制度以及有关专项资金管理办法的规定，支付手续齐全、审批流程规范，支付凭证合规，不存在现金支付、不合规票据支出等违规现象，没有截留、虚列支出等情况。</w:t>
      </w:r>
    </w:p>
    <w:p w14:paraId="56D865B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仿宋" w:hAnsi="仿宋" w:eastAsia="仿宋" w:cs="Times New Roman"/>
          <w:spacing w:val="-2"/>
          <w:kern w:val="2"/>
          <w:sz w:val="32"/>
          <w:szCs w:val="32"/>
          <w:lang w:val="en-US" w:eastAsia="zh-CN" w:bidi="ar-SA"/>
        </w:rPr>
        <w:t>（四）总体绩效目标完成情况分析</w:t>
      </w:r>
    </w:p>
    <w:p w14:paraId="5F9B65E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1.总体预期目标</w:t>
      </w:r>
    </w:p>
    <w:p w14:paraId="573A865A">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（1）精准编制土储供地计划。在认真研判我市经济形势和土地市场的基础上，以重大产业项目、重点项目、民生项目为重点，坚持“以供定储”的基本原则，扎实精准做好2024年土地储备供地计划编制工作。</w:t>
      </w:r>
    </w:p>
    <w:p w14:paraId="7FC3BD7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加大片区服务力度。积极向先进地区学习储备管理经验，进一步解放思想，开拓思路，守正创新，并结合我市实际情况，积极融入片区开发、招商引资工作中，积极探索片区开发项目的运作及与平台公司的结算模式，不断提高服务质量和办事效率。</w:t>
      </w:r>
    </w:p>
    <w:p w14:paraId="1757AAC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（3）主动服务土地超市。主动服务我市土地超市平台，承载产品上架和更新工作，为我市土地市场健康发展助力。</w:t>
      </w:r>
    </w:p>
    <w:p w14:paraId="624E98E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2.实际完成情况</w:t>
      </w:r>
    </w:p>
    <w:p w14:paraId="648683F0">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w:t>
      </w:r>
      <w:r>
        <w:rPr>
          <w:rFonts w:hint="eastAsia" w:ascii="仿宋" w:hAnsi="仿宋" w:eastAsia="仿宋" w:cs="Times New Roman"/>
          <w:spacing w:val="-2"/>
          <w:kern w:val="2"/>
          <w:sz w:val="32"/>
          <w:szCs w:val="32"/>
          <w:lang w:val="en-US" w:eastAsia="zh-CN" w:bidi="ar-SA"/>
        </w:rPr>
        <w:t>1）科学编制全民所有土地资产管理和土地供应计划。全民所有土地资产管理和供应计划是储备供应工作开展、预算编制的重要依据。根据省厅的工作安排，2024年2月，我局及时向市政府作了请示汇报，落实选定技术单位的方式和编制工作经费，经市政府批准同意后，我中心通过竞争性谈判的方式选定了技术单位，正式启动了计划编制工作。初步成果拟定后，2024年4月9日，我局召集了市发改、交通、民政、城管、住建、教育局及平台公司等相关部门对上报项目进行了会审。4月16日，我局又组织相关科室进行了内部会审。按照“保民生、保重点、保招商引资项目”的原则，经论证优化，共筛选了146个全民所有土地资产管理和供地计划项目，总面积约651.17公顷（约9767.55亩），其中，2024年度供地计划项目共计97个，拟供应面积310.48公顷（约4657.20亩），含商住类供地项目43个，用地面积约70.31公顷（约1054.65亩）。2024年5月16日，经我局报请市人民政府同意，已批准下达《关于怀化市2024年全民所有土地资产管理和土地供应计划的批复》（怀政函[2024]46号），计划已向省厅完成备案。</w:t>
      </w:r>
    </w:p>
    <w:p w14:paraId="64B0AEB3">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全力推进重点项目收储。重点以湘商大会、旅发大会及仙人桥、高铁新城片区等重点项目为抓手，2024年先后完成了温德姆酒周边配套用地（全球湘商大会项目）、原莱孚铝厂（招商新华集团项目）、盛唐绿洲、高铁新城片区鹏飞电脑学校（新树仁驾校）、鸭嘴岩加油站、中央储粮怀化直属库公司用地新址等一批重点项目收储工作，确保了重点项目的供应。特别是鹏飞电脑学校（新树仁驾校）系社会重大风险点项目，矛盾多，问题复杂，为完成政府下达的收回任务，我们通过大量努力，拟定方案，积极沟通汇报，最终在政府及相关部门的共同推进下，顺利完成了收储，有利地消除了社会不稳定因素。另，中储粮项目，我们根据政府和市发改委的要求也做了大量工作，通过沟通协调，2024年初已完成初步评估工作。</w:t>
      </w:r>
    </w:p>
    <w:p w14:paraId="44CA1E2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（3）认真落实为民办实事</w:t>
      </w:r>
    </w:p>
    <w:p w14:paraId="7F790E2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积极化解零星处遗用地问题。根据局工作安排，由我中心负责对8个零星处遗项目开发情况及存在问题进行核实，2024年初，我中心积极主动对接市区两级处遗部门，因相关部门所反映的项目情况不够详实，又通过逐一对接开发企业，对项目用地、规划、消防质检、征拆及成本等有关情况进行梳理，将有关情况形成了汇报材料报市处遗办。截止目前，我中心按照工作职能职责分工，已完成了石门农贸市场、“蔚蓝水岸”、“宏大榆树湾”等3个项目土地出入库及滚动资金池请款工作，为企业代缴土地出让价款5801.9625万元，解决了土地出让及办证问题，其中宏大榆树湾项目按忠建书记接访批示要求，10月1日已开工；飞达新世纪广场已进入供地程序，正在走处遗资金池请款拨付程序，待财政资金下达后完成土地出让代缴工作；中医新村项目、凤凰城、碧水河畔正在走规划、成本复核等认定程序。</w:t>
      </w:r>
    </w:p>
    <w:p w14:paraId="6E38691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积极处理解决信访交办问题。根据局领导对信访交办件的批示要求，我中心及时对李传武、京城房地产公司、宏大榆树湾、石门客车厂、湖天5号安置区、王志考、华团公司、仙人桥片区湖天桥村村民等土地补偿及安置信访问题进行了调查，并根据有关政策认真耐心地对信访人进行答复，积极化解矛盾纠纷，消除了社会不稳定因素。</w:t>
      </w:r>
    </w:p>
    <w:p w14:paraId="0EDB4353">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积极解决征拆安置遗留问题。因土地市场下行，财政紧张等原因，我市部分已启动实施的征拆项目不得已暂时停滞，从而导致部分村民安置问题未得到解决，对此，村民曾多次到政府上访。为解决安置补偿问题，我中心及时对接了项目部及鹤城区相关部门，也向政府领导多次作了汇报，提出解决方案，对签订了征拆协议已倒房的，通过货币补偿的由财政安排资金先行支付，采取就地安置的，经多次做村民思想工作，采取了异地安置方式处理。截止目前，已将应民路片区约55户纳入异地安置方案。另，对签订协议未倒房的，我们通过加大政策宣导，稳定村民情绪，告之项目后续征拆实施时会补偿到位。</w:t>
      </w:r>
    </w:p>
    <w:p w14:paraId="133A04AA">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4）配合市绿化办完成绿化工作。根据市人民政府、市绿化办关于开展“三城同创”的要求，今年我中心对金丰地块、金为潇湘首座旁、汽车东站对面用地、汽车南站旁项目等项目拟定了复绿方案，并按程序由施工方对项目进行了绿化，美化了城市形象。</w:t>
      </w:r>
    </w:p>
    <w:p w14:paraId="18F48BD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（五）绩效指标完成情况分析</w:t>
      </w:r>
    </w:p>
    <w:p w14:paraId="2EB1FE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 xml:space="preserve">    1.成本指标</w:t>
      </w:r>
    </w:p>
    <w:p w14:paraId="288E44C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投入经费成本</w:t>
      </w:r>
      <w:r>
        <w:rPr>
          <w:rFonts w:hint="eastAsia" w:ascii="仿宋" w:hAnsi="仿宋" w:eastAsia="仿宋" w:cs="Times New Roman"/>
          <w:spacing w:val="-2"/>
          <w:kern w:val="2"/>
          <w:sz w:val="32"/>
          <w:szCs w:val="32"/>
          <w:lang w:val="en-US" w:eastAsia="zh-CN" w:bidi="ar-SA"/>
        </w:rPr>
        <w:t>33,929.14万元;社会成本节约率0%；生态环境成本节约率</w:t>
      </w:r>
      <w:r>
        <w:rPr>
          <w:rFonts w:hint="eastAsia" w:ascii="仿宋" w:hAnsi="仿宋" w:eastAsia="仿宋" w:cs="Times New Roman"/>
          <w:spacing w:val="-2"/>
          <w:kern w:val="2"/>
          <w:sz w:val="32"/>
          <w:szCs w:val="32"/>
          <w:lang w:val="en-US" w:eastAsia="zh-CN" w:bidi="ar-SA"/>
        </w:rPr>
        <w:t>0%，完成年初目标。</w:t>
      </w:r>
    </w:p>
    <w:p w14:paraId="7651F78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2.产出指标</w:t>
      </w:r>
    </w:p>
    <w:p w14:paraId="51CAAC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Times New Roman"/>
          <w:spacing w:val="-2"/>
          <w:kern w:val="2"/>
          <w:sz w:val="32"/>
          <w:szCs w:val="32"/>
          <w:lang w:val="en-US" w:eastAsia="zh-CN" w:bidi="ar-SA"/>
        </w:rPr>
        <w:t>（1）数量指标：</w:t>
      </w:r>
      <w:r>
        <w:rPr>
          <w:rFonts w:hint="eastAsia" w:ascii="仿宋" w:hAnsi="仿宋" w:eastAsia="仿宋" w:cs="仿宋"/>
          <w:b w:val="0"/>
          <w:bCs w:val="0"/>
          <w:sz w:val="32"/>
          <w:szCs w:val="32"/>
          <w:lang w:val="en-US" w:eastAsia="zh-CN"/>
        </w:rPr>
        <w:t>共筛选了146个全民所有土地资产管理和供地计划项目，总面积约651.17公顷（约9767.55亩），</w:t>
      </w:r>
      <w:r>
        <w:rPr>
          <w:rFonts w:hint="eastAsia" w:ascii="仿宋" w:hAnsi="仿宋" w:eastAsia="仿宋" w:cs="仿宋"/>
          <w:b w:val="0"/>
          <w:bCs w:val="0"/>
          <w:color w:val="auto"/>
          <w:sz w:val="32"/>
          <w:szCs w:val="32"/>
          <w:lang w:val="en-US" w:eastAsia="zh-CN"/>
        </w:rPr>
        <w:t>其中，2024年度供地计划项目共计97个，拟供应面积</w:t>
      </w:r>
      <w:r>
        <w:rPr>
          <w:rFonts w:hint="eastAsia" w:ascii="仿宋" w:hAnsi="仿宋" w:eastAsia="仿宋" w:cs="仿宋"/>
          <w:b w:val="0"/>
          <w:bCs w:val="0"/>
          <w:sz w:val="32"/>
          <w:szCs w:val="32"/>
          <w:lang w:val="en-US" w:eastAsia="zh-CN"/>
        </w:rPr>
        <w:t>310.48公顷（约4657.20亩），含商住类供地项目43</w:t>
      </w:r>
      <w:r>
        <w:rPr>
          <w:rFonts w:hint="eastAsia" w:ascii="仿宋" w:hAnsi="仿宋" w:eastAsia="仿宋" w:cs="仿宋"/>
          <w:b w:val="0"/>
          <w:bCs w:val="0"/>
          <w:sz w:val="32"/>
          <w:szCs w:val="32"/>
          <w:lang w:eastAsia="zh-CN"/>
        </w:rPr>
        <w:t>个，用地面积约</w:t>
      </w:r>
      <w:r>
        <w:rPr>
          <w:rFonts w:hint="eastAsia" w:ascii="仿宋" w:hAnsi="仿宋" w:eastAsia="仿宋" w:cs="仿宋"/>
          <w:b w:val="0"/>
          <w:bCs w:val="0"/>
          <w:sz w:val="32"/>
          <w:szCs w:val="32"/>
          <w:lang w:val="en-US" w:eastAsia="zh-CN"/>
        </w:rPr>
        <w:t>70.31公顷（约1054.65</w:t>
      </w:r>
      <w:r>
        <w:rPr>
          <w:rFonts w:hint="eastAsia" w:ascii="仿宋" w:hAnsi="仿宋" w:eastAsia="仿宋" w:cs="仿宋"/>
          <w:b w:val="0"/>
          <w:bCs w:val="0"/>
          <w:sz w:val="32"/>
          <w:szCs w:val="32"/>
          <w:lang w:eastAsia="zh-CN"/>
        </w:rPr>
        <w:t>亩）</w:t>
      </w:r>
      <w:r>
        <w:rPr>
          <w:rFonts w:hint="eastAsia" w:ascii="仿宋" w:hAnsi="仿宋" w:eastAsia="仿宋" w:cs="仿宋"/>
          <w:b w:val="0"/>
          <w:bCs w:val="0"/>
          <w:sz w:val="32"/>
          <w:szCs w:val="32"/>
          <w:lang w:val="en-US" w:eastAsia="zh-CN"/>
        </w:rPr>
        <w:t>。</w:t>
      </w:r>
    </w:p>
    <w:p w14:paraId="129052D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Times New Roman"/>
          <w:spacing w:val="-2"/>
          <w:kern w:val="2"/>
          <w:sz w:val="32"/>
          <w:szCs w:val="32"/>
          <w:lang w:val="en-US" w:eastAsia="zh-CN" w:bidi="ar-SA"/>
        </w:rPr>
        <w:t>（2）质量指标：</w:t>
      </w:r>
      <w:r>
        <w:rPr>
          <w:rFonts w:hint="eastAsia" w:ascii="仿宋" w:hAnsi="仿宋" w:eastAsia="仿宋" w:cs="仿宋"/>
          <w:b w:val="0"/>
          <w:bCs w:val="0"/>
          <w:sz w:val="32"/>
          <w:szCs w:val="32"/>
          <w:lang w:val="en-US" w:eastAsia="zh-CN"/>
        </w:rPr>
        <w:t>2024年5月16日，经我局报请市人民政府同意，已批准下达《关于怀化市2024年全民所有土地资产管理和土地供应计划的批复》（怀政函[2024]46号），计划已向省厅完成备案；</w:t>
      </w:r>
      <w:r>
        <w:rPr>
          <w:rFonts w:hint="eastAsia" w:ascii="仿宋" w:hAnsi="仿宋" w:eastAsia="仿宋" w:cs="仿宋"/>
          <w:b w:val="0"/>
          <w:bCs w:val="0"/>
          <w:sz w:val="32"/>
          <w:szCs w:val="32"/>
          <w:u w:val="none"/>
          <w:lang w:val="en-US" w:eastAsia="zh-CN"/>
        </w:rPr>
        <w:t>重点以湘商大会、旅发大会及仙人桥、高铁新城片区等重点项目为抓手，2024年先后</w:t>
      </w:r>
      <w:r>
        <w:rPr>
          <w:rFonts w:hint="eastAsia" w:ascii="仿宋" w:hAnsi="仿宋" w:eastAsia="仿宋" w:cs="仿宋"/>
          <w:b w:val="0"/>
          <w:bCs w:val="0"/>
          <w:color w:val="auto"/>
          <w:sz w:val="30"/>
          <w:szCs w:val="30"/>
          <w:u w:val="none"/>
          <w:lang w:val="en-US" w:eastAsia="zh-CN"/>
        </w:rPr>
        <w:t>完成了温德姆酒周边配套用地（全球湘商大会项目）、原莱孚铝厂（招商新华集团项目）、盛唐绿洲、高铁新城片区鹏飞电脑学校（新树仁驾校）、鸭嘴岩加油站、中央储粮怀化直属库公司用地新址等一批重点项目收储工作，确保了重点项目的供应。</w:t>
      </w:r>
    </w:p>
    <w:p w14:paraId="4350B54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（3）时效指标：完成及时，2024年12月底之前完成。</w:t>
      </w:r>
    </w:p>
    <w:p w14:paraId="7193486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3.效益指标</w:t>
      </w:r>
    </w:p>
    <w:p w14:paraId="48760EB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（1）项目的经济效益</w:t>
      </w:r>
    </w:p>
    <w:p w14:paraId="025769E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通过实施该项目，</w:t>
      </w:r>
      <w:r>
        <w:rPr>
          <w:rFonts w:hint="eastAsia" w:ascii="仿宋" w:hAnsi="仿宋" w:eastAsia="仿宋" w:cs="Times New Roman"/>
          <w:spacing w:val="-2"/>
          <w:kern w:val="2"/>
          <w:sz w:val="32"/>
          <w:szCs w:val="32"/>
          <w:highlight w:val="none"/>
          <w:lang w:val="en-US" w:eastAsia="zh-CN" w:bidi="ar-SA"/>
        </w:rPr>
        <w:t>积极开展怀化市建设用地项目的报批工作，推进公共设施事业发展；依法征地拆迁，积极开展征拆工作，为项目的建设提供了充足的土地储备保障，加快了经济全面发展；坚持城乡规划引领城镇发展，科学合理布局生产建设、生活居住、公共设施，减少了重复建设，提高了经济效益；发放征地拆迁补偿资金，增加了农民的收入。该项目经济效益显著。</w:t>
      </w:r>
    </w:p>
    <w:p w14:paraId="5EC0979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（2）项目的社会效益。</w:t>
      </w:r>
    </w:p>
    <w:p w14:paraId="21A5F87E">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通过实施该项目，做好安置点建设，维护群众利益；依法征地拆迁，及时化解因征拆土地权属等纠纷产生的矛盾问题，密切了干群关系，维护社会稳定；各项征拆工作顺利开展，切实改变城乡面貌，不断提升城市品质。项目社会效益显著。</w:t>
      </w:r>
    </w:p>
    <w:p w14:paraId="6E4A1DC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（3）项目的生态效益</w:t>
      </w:r>
    </w:p>
    <w:p w14:paraId="30BA023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通过实施该项目，依法征地拆迁，坚持城乡规划引领城镇发展，科学合理布局生产建设、生活居住、公共设施，统筹工业区、商业区、生活区等的空间布局，实现人与自然的和谐，项目生态环境效益良好。</w:t>
      </w:r>
    </w:p>
    <w:p w14:paraId="6FF0353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16" w:firstLineChars="100"/>
        <w:jc w:val="both"/>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 xml:space="preserve"> 4.满意度指标人民群众满意度达 95%。完成年初目标。</w:t>
      </w:r>
    </w:p>
    <w:p w14:paraId="63F6CDC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四、项目自评发现的问题及整改措施</w:t>
      </w:r>
    </w:p>
    <w:p w14:paraId="372477C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我单位财政支出绩效管理工作还存在绩效目标申报不够全面，绩效指标量化不够，绩效评价手段和方法有待优化，绩效自评组织实施还不够规范等问题。</w:t>
      </w:r>
    </w:p>
    <w:p w14:paraId="0B4F8A4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下一步加强对各部门申报项目的指导，使项目编制更加符合绩效评价相关要求，适时开展学习培训，提高各科室对专项资金使用绩效评价工作，重要意义的认识，牢固树立绩效管理理念，同时进一步提高绩效评价工作方式、方法，将已完成的所有工作绩效成果充分体现出来。</w:t>
      </w:r>
    </w:p>
    <w:p w14:paraId="69C528F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五、项目自评工作建议及预算安排建议</w:t>
      </w:r>
    </w:p>
    <w:p w14:paraId="7301321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建议强化绩效管理意识，建立科学的指标体系，明确项目的具体任务和要求，对项目关键内容进行细化、量化，进一步明确项目的具体绩效目标。健全组织机构，完善项目各项管理制度，细化制度内容，明确项目流程，建立监督体系，制定保障措施。</w:t>
      </w:r>
    </w:p>
    <w:p w14:paraId="32F857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3FB83A8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无</w:t>
      </w:r>
    </w:p>
    <w:p w14:paraId="1394EE6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BF6E92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45EBF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A4979E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453D5FE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4933F50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67AF59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78A99D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F84725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403F3A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33FA83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871960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2C2C3A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0FF3C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p>
    <w:p w14:paraId="7186B2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32350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800" w:firstLineChars="2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2024度怀化市土地储备中心整体支出</w:t>
      </w:r>
    </w:p>
    <w:p w14:paraId="5AD8FC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3EB9A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07893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FB933B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50BFF5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Times New Roman"/>
          <w:spacing w:val="-2"/>
          <w:kern w:val="2"/>
          <w:sz w:val="32"/>
          <w:szCs w:val="32"/>
          <w:lang w:val="en-US" w:eastAsia="zh-CN" w:bidi="ar-SA"/>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方正小标宋_GBK" w:hAnsi="方正小标宋_GBK" w:eastAsia="方正小标宋_GBK" w:cs="方正小标宋_GBK"/>
          <w:i w:val="0"/>
          <w:iCs w:val="0"/>
          <w:caps w:val="0"/>
          <w:color w:val="000000"/>
          <w:spacing w:val="0"/>
          <w:kern w:val="0"/>
          <w:sz w:val="32"/>
          <w:szCs w:val="32"/>
          <w:shd w:val="clear" w:fill="FFFFFF"/>
          <w:lang w:val="en-US" w:eastAsia="zh-CN" w:bidi="ar"/>
        </w:rPr>
        <w:t xml:space="preserve"> </w:t>
      </w:r>
      <w:r>
        <w:rPr>
          <w:rFonts w:hint="eastAsia" w:ascii="仿宋" w:hAnsi="仿宋" w:eastAsia="仿宋" w:cs="Times New Roman"/>
          <w:spacing w:val="-2"/>
          <w:kern w:val="2"/>
          <w:sz w:val="32"/>
          <w:szCs w:val="32"/>
          <w:lang w:val="en-US" w:eastAsia="zh-CN" w:bidi="ar-SA"/>
        </w:rPr>
        <w:t>单位名称（盖章）：</w:t>
      </w: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5D28B65D">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1.机构设置</w:t>
      </w:r>
    </w:p>
    <w:p w14:paraId="31469AFA">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val="en"/>
        </w:rPr>
        <w:t>怀化市土地储备中心（以下简称市土地储备中心）作为</w:t>
      </w:r>
      <w:r>
        <w:rPr>
          <w:rFonts w:hint="eastAsia" w:ascii="仿宋" w:hAnsi="仿宋" w:eastAsia="仿宋"/>
          <w:spacing w:val="-2"/>
          <w:sz w:val="32"/>
          <w:szCs w:val="32"/>
          <w:lang w:eastAsia="zh-CN"/>
        </w:rPr>
        <w:t>怀化市自然资源和规划局的</w:t>
      </w:r>
      <w:r>
        <w:rPr>
          <w:rFonts w:hint="eastAsia" w:ascii="仿宋" w:hAnsi="仿宋" w:eastAsia="仿宋"/>
          <w:spacing w:val="-2"/>
          <w:sz w:val="32"/>
          <w:szCs w:val="32"/>
        </w:rPr>
        <w:t>二</w:t>
      </w:r>
      <w:r>
        <w:rPr>
          <w:rFonts w:hint="eastAsia" w:ascii="仿宋" w:hAnsi="仿宋" w:eastAsia="仿宋"/>
          <w:spacing w:val="-2"/>
          <w:sz w:val="32"/>
          <w:szCs w:val="32"/>
          <w:lang w:val="en"/>
        </w:rPr>
        <w:t>级部门预算单位，内设科室为：</w:t>
      </w:r>
      <w:r>
        <w:rPr>
          <w:rFonts w:hint="eastAsia" w:ascii="仿宋" w:hAnsi="仿宋" w:eastAsia="仿宋"/>
          <w:spacing w:val="-2"/>
          <w:sz w:val="32"/>
          <w:szCs w:val="32"/>
          <w:lang w:eastAsia="zh-CN"/>
        </w:rPr>
        <w:t>报批组、存量组、办公室、财务组、土地开发组。</w:t>
      </w:r>
    </w:p>
    <w:p w14:paraId="1F73B126">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市土地储备中心纳入市财政二级预算。202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w:t>
      </w:r>
      <w:r>
        <w:rPr>
          <w:rFonts w:hint="eastAsia" w:ascii="仿宋" w:hAnsi="仿宋" w:eastAsia="仿宋"/>
          <w:spacing w:val="-2"/>
          <w:sz w:val="32"/>
          <w:szCs w:val="32"/>
          <w:lang w:val="en-US" w:eastAsia="zh-CN"/>
        </w:rPr>
        <w:t>单位编制人数20</w:t>
      </w:r>
      <w:r>
        <w:rPr>
          <w:rFonts w:hint="eastAsia" w:ascii="仿宋" w:hAnsi="仿宋" w:eastAsia="仿宋"/>
          <w:spacing w:val="-2"/>
          <w:sz w:val="32"/>
          <w:szCs w:val="32"/>
          <w:lang w:val="en"/>
        </w:rPr>
        <w:t>人，</w:t>
      </w:r>
      <w:r>
        <w:rPr>
          <w:rFonts w:hint="eastAsia" w:ascii="仿宋" w:hAnsi="仿宋" w:eastAsia="仿宋"/>
          <w:spacing w:val="-2"/>
          <w:sz w:val="32"/>
          <w:szCs w:val="32"/>
          <w:lang w:val="en-US" w:eastAsia="zh-CN"/>
        </w:rPr>
        <w:t>实际在职人数25</w:t>
      </w:r>
      <w:r>
        <w:rPr>
          <w:rFonts w:hint="eastAsia" w:ascii="仿宋" w:hAnsi="仿宋" w:eastAsia="仿宋"/>
          <w:spacing w:val="-2"/>
          <w:sz w:val="32"/>
          <w:szCs w:val="32"/>
          <w:lang w:val="en"/>
        </w:rPr>
        <w:t>人。</w:t>
      </w:r>
    </w:p>
    <w:p w14:paraId="24986FE7">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2.主要职能</w:t>
      </w:r>
    </w:p>
    <w:p w14:paraId="392B1C7B">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以加强土地调控、规范土地市场运行、促进土地节约集约利用为目标，积极发挥收储职能，加大土地收储力度，不断提高建设用地保障能力。</w:t>
      </w:r>
    </w:p>
    <w:p w14:paraId="42FF96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4B2E048E">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1</w:t>
      </w:r>
      <w:r>
        <w:rPr>
          <w:rFonts w:hint="eastAsia" w:ascii="仿宋" w:hAnsi="仿宋" w:eastAsia="仿宋"/>
          <w:spacing w:val="-2"/>
          <w:sz w:val="32"/>
          <w:szCs w:val="32"/>
          <w:lang w:val="en" w:eastAsia="zh-CN"/>
        </w:rPr>
        <w:t>、</w:t>
      </w:r>
      <w:r>
        <w:rPr>
          <w:rFonts w:hint="eastAsia" w:ascii="仿宋" w:hAnsi="仿宋" w:eastAsia="仿宋"/>
          <w:spacing w:val="-2"/>
          <w:sz w:val="32"/>
          <w:szCs w:val="32"/>
          <w:lang w:val="en"/>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年部门预算情况</w:t>
      </w:r>
    </w:p>
    <w:p w14:paraId="766C7BA5">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收入预算，202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年年初预算数</w:t>
      </w:r>
      <w:r>
        <w:rPr>
          <w:rFonts w:hint="eastAsia" w:ascii="仿宋" w:hAnsi="仿宋" w:eastAsia="仿宋"/>
          <w:spacing w:val="-2"/>
          <w:sz w:val="32"/>
          <w:szCs w:val="32"/>
          <w:lang w:val="en-US" w:eastAsia="zh-CN"/>
        </w:rPr>
        <w:t>506.49</w:t>
      </w:r>
      <w:r>
        <w:rPr>
          <w:rFonts w:hint="eastAsia" w:ascii="仿宋" w:hAnsi="仿宋" w:eastAsia="仿宋"/>
          <w:spacing w:val="-2"/>
          <w:sz w:val="32"/>
          <w:szCs w:val="32"/>
          <w:lang w:val="en"/>
        </w:rPr>
        <w:t>万元，其中，一般公共预算拨款0万元，政府性基金预算拨款</w:t>
      </w:r>
      <w:r>
        <w:rPr>
          <w:rFonts w:hint="eastAsia" w:ascii="仿宋" w:hAnsi="仿宋" w:eastAsia="仿宋"/>
          <w:spacing w:val="-2"/>
          <w:sz w:val="32"/>
          <w:szCs w:val="32"/>
          <w:lang w:val="en-US" w:eastAsia="zh-CN"/>
        </w:rPr>
        <w:t>506.49</w:t>
      </w:r>
      <w:r>
        <w:rPr>
          <w:rFonts w:hint="eastAsia" w:ascii="仿宋" w:hAnsi="仿宋" w:eastAsia="仿宋"/>
          <w:spacing w:val="-2"/>
          <w:sz w:val="32"/>
          <w:szCs w:val="32"/>
          <w:lang w:val="en"/>
        </w:rPr>
        <w:t>万元，纳入财政专户管理的非税收入拨款0万元，国有资本经营预算拨款0万元。</w:t>
      </w:r>
    </w:p>
    <w:p w14:paraId="22ADFAC3">
      <w:pPr>
        <w:widowControl/>
        <w:shd w:val="clear" w:color="auto" w:fill="FFFFFF"/>
        <w:spacing w:line="600" w:lineRule="atLeast"/>
        <w:ind w:firstLine="632" w:firstLineChars="200"/>
        <w:rPr>
          <w:rFonts w:hint="eastAsia" w:ascii="仿宋" w:hAnsi="仿宋" w:eastAsia="仿宋" w:cs="仿宋"/>
          <w:spacing w:val="-2"/>
          <w:sz w:val="32"/>
          <w:szCs w:val="21"/>
        </w:rPr>
      </w:pPr>
      <w:r>
        <w:rPr>
          <w:rFonts w:hint="eastAsia" w:ascii="仿宋" w:hAnsi="仿宋" w:eastAsia="仿宋"/>
          <w:spacing w:val="-2"/>
          <w:sz w:val="32"/>
          <w:szCs w:val="32"/>
          <w:lang w:val="en"/>
        </w:rPr>
        <w:t>支出预算，20</w:t>
      </w:r>
      <w:r>
        <w:rPr>
          <w:rFonts w:hint="eastAsia" w:ascii="仿宋" w:hAnsi="仿宋" w:eastAsia="仿宋"/>
          <w:spacing w:val="-2"/>
          <w:sz w:val="32"/>
          <w:szCs w:val="32"/>
        </w:rPr>
        <w:t>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年年初预算数</w:t>
      </w:r>
      <w:r>
        <w:rPr>
          <w:rFonts w:hint="eastAsia" w:ascii="仿宋" w:hAnsi="仿宋" w:eastAsia="仿宋"/>
          <w:spacing w:val="-2"/>
          <w:sz w:val="32"/>
          <w:szCs w:val="32"/>
          <w:lang w:val="en-US" w:eastAsia="zh-CN"/>
        </w:rPr>
        <w:t>506.49</w:t>
      </w:r>
      <w:r>
        <w:rPr>
          <w:rFonts w:hint="eastAsia" w:ascii="仿宋" w:hAnsi="仿宋" w:eastAsia="仿宋"/>
          <w:spacing w:val="-2"/>
          <w:sz w:val="32"/>
          <w:szCs w:val="32"/>
          <w:lang w:val="en"/>
        </w:rPr>
        <w:t>万元，其中，主要是工资福利支出</w:t>
      </w:r>
      <w:r>
        <w:rPr>
          <w:rFonts w:hint="eastAsia" w:ascii="仿宋" w:hAnsi="仿宋" w:eastAsia="仿宋"/>
          <w:spacing w:val="-2"/>
          <w:sz w:val="32"/>
          <w:szCs w:val="32"/>
          <w:lang w:val="en-US" w:eastAsia="zh-CN"/>
        </w:rPr>
        <w:t>405.54</w:t>
      </w:r>
      <w:r>
        <w:rPr>
          <w:rFonts w:hint="eastAsia" w:ascii="仿宋" w:hAnsi="仿宋" w:eastAsia="仿宋"/>
          <w:spacing w:val="-2"/>
          <w:sz w:val="32"/>
          <w:szCs w:val="32"/>
          <w:lang w:val="en"/>
        </w:rPr>
        <w:t>万元，商品和服务支出</w:t>
      </w:r>
      <w:r>
        <w:rPr>
          <w:rFonts w:hint="eastAsia" w:ascii="仿宋" w:hAnsi="仿宋" w:eastAsia="仿宋"/>
          <w:spacing w:val="-2"/>
          <w:sz w:val="32"/>
          <w:szCs w:val="32"/>
          <w:lang w:val="en-US" w:eastAsia="zh-CN"/>
        </w:rPr>
        <w:t>68.95</w:t>
      </w:r>
      <w:r>
        <w:rPr>
          <w:rFonts w:hint="eastAsia" w:ascii="仿宋" w:hAnsi="仿宋" w:eastAsia="仿宋"/>
          <w:spacing w:val="-2"/>
          <w:sz w:val="32"/>
          <w:szCs w:val="32"/>
          <w:lang w:val="en"/>
        </w:rPr>
        <w:t>万元，对个人和家庭的补助支出</w:t>
      </w:r>
      <w:r>
        <w:rPr>
          <w:rFonts w:hint="eastAsia" w:ascii="仿宋" w:hAnsi="仿宋" w:eastAsia="仿宋"/>
          <w:spacing w:val="-2"/>
          <w:sz w:val="32"/>
          <w:szCs w:val="32"/>
          <w:lang w:val="en-US" w:eastAsia="zh-CN"/>
        </w:rPr>
        <w:t>9</w:t>
      </w:r>
      <w:r>
        <w:rPr>
          <w:rFonts w:hint="eastAsia" w:ascii="仿宋" w:hAnsi="仿宋" w:eastAsia="仿宋"/>
          <w:spacing w:val="-2"/>
          <w:sz w:val="32"/>
          <w:szCs w:val="32"/>
          <w:lang w:val="en"/>
        </w:rPr>
        <w:t>万元；项目支出</w:t>
      </w:r>
      <w:r>
        <w:rPr>
          <w:rFonts w:hint="eastAsia" w:ascii="仿宋" w:hAnsi="仿宋" w:eastAsia="仿宋"/>
          <w:spacing w:val="-2"/>
          <w:sz w:val="32"/>
          <w:szCs w:val="32"/>
          <w:lang w:val="en-US" w:eastAsia="zh-CN"/>
        </w:rPr>
        <w:t>23.00</w:t>
      </w:r>
      <w:r>
        <w:rPr>
          <w:rFonts w:hint="eastAsia" w:ascii="仿宋" w:hAnsi="仿宋" w:eastAsia="仿宋"/>
          <w:spacing w:val="-2"/>
          <w:sz w:val="32"/>
          <w:szCs w:val="32"/>
          <w:lang w:val="en"/>
        </w:rPr>
        <w:t>万元</w:t>
      </w:r>
      <w:r>
        <w:rPr>
          <w:rFonts w:hint="eastAsia" w:ascii="仿宋" w:hAnsi="仿宋" w:eastAsia="仿宋" w:cs="仿宋"/>
          <w:spacing w:val="-2"/>
          <w:sz w:val="32"/>
          <w:szCs w:val="21"/>
        </w:rPr>
        <w:t>。</w:t>
      </w:r>
    </w:p>
    <w:p w14:paraId="6A379A5F">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2</w:t>
      </w:r>
      <w:r>
        <w:rPr>
          <w:rFonts w:hint="eastAsia" w:ascii="仿宋" w:hAnsi="仿宋" w:eastAsia="仿宋"/>
          <w:spacing w:val="-2"/>
          <w:sz w:val="32"/>
          <w:szCs w:val="32"/>
          <w:lang w:eastAsia="zh-CN"/>
        </w:rPr>
        <w:t>、</w:t>
      </w: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年部门决算情况</w:t>
      </w:r>
    </w:p>
    <w:p w14:paraId="5154858E">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lang w:val="en"/>
        </w:rPr>
        <w:t>20</w:t>
      </w:r>
      <w:r>
        <w:rPr>
          <w:rFonts w:hint="eastAsia" w:ascii="仿宋" w:hAnsi="仿宋" w:eastAsia="仿宋"/>
          <w:spacing w:val="-2"/>
          <w:sz w:val="32"/>
          <w:szCs w:val="32"/>
        </w:rPr>
        <w:t>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年度决算总收入</w:t>
      </w:r>
      <w:r>
        <w:rPr>
          <w:rFonts w:hint="eastAsia" w:ascii="仿宋" w:hAnsi="仿宋" w:eastAsia="仿宋"/>
          <w:spacing w:val="-2"/>
          <w:sz w:val="32"/>
          <w:szCs w:val="32"/>
          <w:lang w:val="en-US" w:eastAsia="zh-CN"/>
        </w:rPr>
        <w:t>34,339.13</w:t>
      </w:r>
      <w:r>
        <w:rPr>
          <w:rFonts w:hint="eastAsia" w:ascii="仿宋" w:hAnsi="仿宋" w:eastAsia="仿宋"/>
          <w:spacing w:val="-2"/>
          <w:sz w:val="32"/>
          <w:szCs w:val="32"/>
          <w:lang w:val="en"/>
        </w:rPr>
        <w:t>万元</w:t>
      </w:r>
      <w:r>
        <w:rPr>
          <w:rFonts w:hint="eastAsia" w:ascii="仿宋" w:hAnsi="仿宋" w:eastAsia="仿宋"/>
          <w:spacing w:val="-2"/>
          <w:sz w:val="32"/>
          <w:szCs w:val="32"/>
          <w:lang w:val="en" w:eastAsia="zh-CN"/>
        </w:rPr>
        <w:t>，</w:t>
      </w:r>
      <w:r>
        <w:rPr>
          <w:rFonts w:hint="eastAsia" w:ascii="仿宋" w:hAnsi="仿宋" w:eastAsia="仿宋"/>
          <w:spacing w:val="-2"/>
          <w:sz w:val="32"/>
          <w:szCs w:val="32"/>
          <w:lang w:val="en"/>
        </w:rPr>
        <w:t>20</w:t>
      </w:r>
      <w:r>
        <w:rPr>
          <w:rFonts w:hint="eastAsia" w:ascii="仿宋" w:hAnsi="仿宋" w:eastAsia="仿宋"/>
          <w:spacing w:val="-2"/>
          <w:sz w:val="32"/>
          <w:szCs w:val="32"/>
        </w:rPr>
        <w:t>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rPr>
        <w:t>年度决算总支出</w:t>
      </w:r>
      <w:r>
        <w:rPr>
          <w:rFonts w:hint="eastAsia" w:ascii="仿宋" w:hAnsi="仿宋" w:eastAsia="仿宋"/>
          <w:spacing w:val="-2"/>
          <w:sz w:val="32"/>
          <w:szCs w:val="32"/>
          <w:lang w:val="en-US" w:eastAsia="zh-CN"/>
        </w:rPr>
        <w:t>34,339.13</w:t>
      </w:r>
      <w:r>
        <w:rPr>
          <w:rFonts w:hint="eastAsia" w:ascii="仿宋" w:hAnsi="仿宋" w:eastAsia="仿宋"/>
          <w:spacing w:val="-2"/>
          <w:sz w:val="32"/>
          <w:szCs w:val="32"/>
          <w:lang w:val="en"/>
        </w:rPr>
        <w:t>万元，其中：基本支出</w:t>
      </w:r>
      <w:r>
        <w:rPr>
          <w:rFonts w:hint="eastAsia" w:ascii="仿宋" w:hAnsi="仿宋" w:eastAsia="仿宋"/>
          <w:spacing w:val="-2"/>
          <w:sz w:val="32"/>
          <w:szCs w:val="32"/>
          <w:lang w:val="en-US" w:eastAsia="zh-CN"/>
        </w:rPr>
        <w:t>409.99</w:t>
      </w:r>
      <w:r>
        <w:rPr>
          <w:rFonts w:hint="eastAsia" w:ascii="仿宋" w:hAnsi="仿宋" w:eastAsia="仿宋"/>
          <w:spacing w:val="-2"/>
          <w:sz w:val="32"/>
          <w:szCs w:val="32"/>
          <w:lang w:val="en"/>
        </w:rPr>
        <w:t>万元，占总支出的</w:t>
      </w:r>
      <w:r>
        <w:rPr>
          <w:rFonts w:hint="eastAsia" w:ascii="仿宋" w:hAnsi="仿宋" w:eastAsia="仿宋"/>
          <w:spacing w:val="-2"/>
          <w:sz w:val="32"/>
          <w:szCs w:val="32"/>
          <w:lang w:val="en-US" w:eastAsia="zh-CN"/>
        </w:rPr>
        <w:t>1.19</w:t>
      </w:r>
      <w:r>
        <w:rPr>
          <w:rFonts w:hint="eastAsia" w:ascii="仿宋" w:hAnsi="仿宋" w:eastAsia="仿宋"/>
          <w:spacing w:val="-2"/>
          <w:sz w:val="32"/>
          <w:szCs w:val="32"/>
          <w:lang w:val="en"/>
        </w:rPr>
        <w:t>%；</w:t>
      </w:r>
      <w:r>
        <w:rPr>
          <w:rFonts w:hint="eastAsia" w:ascii="仿宋" w:hAnsi="仿宋" w:eastAsia="仿宋"/>
          <w:spacing w:val="-2"/>
          <w:sz w:val="32"/>
          <w:szCs w:val="32"/>
        </w:rPr>
        <w:t>项目支出</w:t>
      </w:r>
      <w:r>
        <w:rPr>
          <w:rFonts w:hint="eastAsia" w:ascii="仿宋" w:hAnsi="仿宋" w:eastAsia="仿宋"/>
          <w:spacing w:val="-2"/>
          <w:sz w:val="32"/>
          <w:szCs w:val="32"/>
          <w:lang w:val="en-US" w:eastAsia="zh-CN"/>
        </w:rPr>
        <w:t>33,929.14</w:t>
      </w:r>
      <w:r>
        <w:rPr>
          <w:rFonts w:hint="eastAsia" w:ascii="仿宋" w:hAnsi="仿宋" w:eastAsia="仿宋"/>
          <w:spacing w:val="-2"/>
          <w:sz w:val="32"/>
          <w:szCs w:val="32"/>
        </w:rPr>
        <w:t>万元，</w:t>
      </w:r>
      <w:r>
        <w:rPr>
          <w:rFonts w:hint="eastAsia" w:ascii="仿宋" w:hAnsi="仿宋" w:eastAsia="仿宋"/>
          <w:spacing w:val="-2"/>
          <w:sz w:val="32"/>
          <w:szCs w:val="32"/>
          <w:lang w:val="en"/>
        </w:rPr>
        <w:t>占总支出的</w:t>
      </w:r>
      <w:r>
        <w:rPr>
          <w:rFonts w:hint="eastAsia" w:ascii="仿宋" w:hAnsi="仿宋" w:eastAsia="仿宋"/>
          <w:spacing w:val="-2"/>
          <w:sz w:val="32"/>
          <w:szCs w:val="32"/>
          <w:lang w:val="en-US" w:eastAsia="zh-CN"/>
        </w:rPr>
        <w:t>98.81</w:t>
      </w:r>
      <w:r>
        <w:rPr>
          <w:rFonts w:hint="eastAsia" w:ascii="仿宋" w:hAnsi="仿宋" w:eastAsia="仿宋"/>
          <w:spacing w:val="-2"/>
          <w:sz w:val="32"/>
          <w:szCs w:val="32"/>
          <w:lang w:val="en"/>
        </w:rPr>
        <w:t>%</w:t>
      </w:r>
      <w:r>
        <w:rPr>
          <w:rFonts w:ascii="仿宋" w:hAnsi="仿宋" w:eastAsia="仿宋"/>
          <w:spacing w:val="-2"/>
          <w:sz w:val="32"/>
          <w:szCs w:val="32"/>
          <w:lang w:val="en"/>
        </w:rPr>
        <w:t>,</w:t>
      </w:r>
      <w:r>
        <w:rPr>
          <w:rFonts w:hint="eastAsia" w:ascii="仿宋" w:hAnsi="仿宋" w:eastAsia="仿宋"/>
          <w:spacing w:val="-2"/>
          <w:sz w:val="32"/>
          <w:szCs w:val="32"/>
          <w:lang w:val="en"/>
        </w:rPr>
        <w:t>主要为土地储备专户资金支出。</w:t>
      </w: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5EB7EDCE">
      <w:pPr>
        <w:widowControl/>
        <w:shd w:val="clear" w:color="auto" w:fill="FFFFFF"/>
        <w:spacing w:line="600" w:lineRule="atLeast"/>
        <w:ind w:firstLine="640"/>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介绍基本支出的主要用途、范围以及资金的管理情况，尤其是“三公”经费的使用和管理情况。</w:t>
      </w:r>
    </w:p>
    <w:p w14:paraId="524259A0">
      <w:pPr>
        <w:widowControl/>
        <w:shd w:val="clear" w:color="auto" w:fill="FFFFFF"/>
        <w:spacing w:line="600" w:lineRule="atLeast"/>
        <w:ind w:firstLine="640"/>
        <w:rPr>
          <w:rFonts w:hint="eastAsia" w:ascii="仿宋" w:hAnsi="仿宋" w:eastAsia="仿宋"/>
          <w:spacing w:val="-2"/>
          <w:sz w:val="32"/>
          <w:szCs w:val="32"/>
          <w:lang w:val="en" w:eastAsia="zh-CN"/>
        </w:rPr>
      </w:pPr>
      <w:r>
        <w:rPr>
          <w:rFonts w:hint="eastAsia" w:ascii="仿宋" w:hAnsi="仿宋" w:eastAsia="仿宋"/>
          <w:spacing w:val="-2"/>
          <w:sz w:val="32"/>
          <w:szCs w:val="32"/>
          <w:lang w:val="en" w:eastAsia="zh-CN"/>
        </w:rPr>
        <w:t>20</w:t>
      </w:r>
      <w:r>
        <w:rPr>
          <w:rFonts w:hint="eastAsia" w:ascii="仿宋" w:hAnsi="仿宋" w:eastAsia="仿宋"/>
          <w:spacing w:val="-2"/>
          <w:sz w:val="32"/>
          <w:szCs w:val="32"/>
          <w:lang w:val="en-US" w:eastAsia="zh-CN"/>
        </w:rPr>
        <w:t>24</w:t>
      </w:r>
      <w:r>
        <w:rPr>
          <w:rFonts w:hint="eastAsia" w:ascii="仿宋" w:hAnsi="仿宋" w:eastAsia="仿宋"/>
          <w:spacing w:val="-2"/>
          <w:sz w:val="32"/>
          <w:szCs w:val="32"/>
          <w:lang w:val="en" w:eastAsia="zh-CN"/>
        </w:rPr>
        <w:t>年基本支出</w:t>
      </w:r>
      <w:r>
        <w:rPr>
          <w:rFonts w:hint="eastAsia" w:ascii="仿宋" w:hAnsi="仿宋" w:eastAsia="仿宋"/>
          <w:spacing w:val="-2"/>
          <w:sz w:val="32"/>
          <w:szCs w:val="32"/>
          <w:lang w:val="en-US" w:eastAsia="zh-CN"/>
        </w:rPr>
        <w:t>409.99</w:t>
      </w:r>
      <w:r>
        <w:rPr>
          <w:rFonts w:hint="eastAsia" w:ascii="仿宋" w:hAnsi="仿宋" w:eastAsia="仿宋"/>
          <w:spacing w:val="-2"/>
          <w:sz w:val="32"/>
          <w:szCs w:val="32"/>
          <w:lang w:val="en" w:eastAsia="zh-CN"/>
        </w:rPr>
        <w:t>万元，</w:t>
      </w:r>
      <w:r>
        <w:rPr>
          <w:rFonts w:hint="eastAsia" w:ascii="仿宋" w:hAnsi="仿宋" w:eastAsia="仿宋"/>
          <w:spacing w:val="-2"/>
          <w:sz w:val="32"/>
          <w:szCs w:val="32"/>
          <w:lang w:val="en-US" w:eastAsia="zh-CN"/>
        </w:rPr>
        <w:t>主要保障我单位正常运转、完成日常工作任务而发生的人员经费和日常公用经费。</w:t>
      </w:r>
      <w:r>
        <w:rPr>
          <w:rFonts w:hint="eastAsia" w:ascii="仿宋" w:hAnsi="仿宋" w:eastAsia="仿宋"/>
          <w:spacing w:val="-2"/>
          <w:sz w:val="32"/>
          <w:szCs w:val="32"/>
          <w:lang w:val="en" w:eastAsia="zh-CN"/>
        </w:rPr>
        <w:t>其中：工资福利支出</w:t>
      </w:r>
      <w:r>
        <w:rPr>
          <w:rFonts w:hint="eastAsia" w:ascii="仿宋" w:hAnsi="仿宋" w:eastAsia="仿宋"/>
          <w:spacing w:val="-2"/>
          <w:sz w:val="32"/>
          <w:szCs w:val="32"/>
          <w:lang w:val="en-US" w:eastAsia="zh-CN"/>
        </w:rPr>
        <w:t>368.67</w:t>
      </w:r>
      <w:r>
        <w:rPr>
          <w:rFonts w:hint="eastAsia" w:ascii="仿宋" w:hAnsi="仿宋" w:eastAsia="仿宋"/>
          <w:spacing w:val="-2"/>
          <w:sz w:val="32"/>
          <w:szCs w:val="32"/>
          <w:lang w:val="en" w:eastAsia="zh-CN"/>
        </w:rPr>
        <w:t>万元，商品和服务支出</w:t>
      </w:r>
      <w:r>
        <w:rPr>
          <w:rFonts w:hint="eastAsia" w:ascii="仿宋" w:hAnsi="仿宋" w:eastAsia="仿宋"/>
          <w:spacing w:val="-2"/>
          <w:sz w:val="32"/>
          <w:szCs w:val="32"/>
          <w:lang w:val="en-US" w:eastAsia="zh-CN"/>
        </w:rPr>
        <w:t>31.22</w:t>
      </w:r>
      <w:r>
        <w:rPr>
          <w:rFonts w:hint="eastAsia" w:ascii="仿宋" w:hAnsi="仿宋" w:eastAsia="仿宋"/>
          <w:spacing w:val="-2"/>
          <w:sz w:val="32"/>
          <w:szCs w:val="32"/>
          <w:lang w:val="en" w:eastAsia="zh-CN"/>
        </w:rPr>
        <w:t>万元，对个人和家庭的补助支出</w:t>
      </w:r>
      <w:r>
        <w:rPr>
          <w:rFonts w:hint="eastAsia" w:ascii="仿宋" w:hAnsi="仿宋" w:eastAsia="仿宋"/>
          <w:spacing w:val="-2"/>
          <w:sz w:val="32"/>
          <w:szCs w:val="32"/>
          <w:lang w:val="en-US" w:eastAsia="zh-CN"/>
        </w:rPr>
        <w:t>10.11</w:t>
      </w:r>
      <w:r>
        <w:rPr>
          <w:rFonts w:hint="eastAsia" w:ascii="仿宋" w:hAnsi="仿宋" w:eastAsia="仿宋"/>
          <w:spacing w:val="-2"/>
          <w:sz w:val="32"/>
          <w:szCs w:val="32"/>
          <w:lang w:val="en" w:eastAsia="zh-CN"/>
        </w:rPr>
        <w:t>万元。</w:t>
      </w:r>
    </w:p>
    <w:p w14:paraId="11C3C904">
      <w:pPr>
        <w:widowControl/>
        <w:shd w:val="clear" w:color="auto" w:fill="FFFFFF"/>
        <w:spacing w:line="600" w:lineRule="atLeast"/>
        <w:ind w:firstLine="640"/>
        <w:rPr>
          <w:rFonts w:hint="eastAsia" w:ascii="仿宋" w:hAnsi="仿宋" w:eastAsia="仿宋"/>
          <w:spacing w:val="-2"/>
          <w:sz w:val="32"/>
          <w:szCs w:val="32"/>
          <w:lang w:val="en" w:eastAsia="zh-CN"/>
        </w:rPr>
      </w:pPr>
      <w:r>
        <w:rPr>
          <w:rFonts w:hint="eastAsia" w:ascii="仿宋" w:hAnsi="仿宋" w:eastAsia="仿宋"/>
          <w:spacing w:val="-2"/>
          <w:sz w:val="32"/>
          <w:szCs w:val="32"/>
          <w:lang w:val="en" w:eastAsia="zh-CN"/>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lang w:val="en" w:eastAsia="zh-CN"/>
        </w:rPr>
        <w:t>年三公经费预算支出</w:t>
      </w:r>
      <w:r>
        <w:rPr>
          <w:rFonts w:hint="eastAsia" w:ascii="仿宋" w:hAnsi="仿宋" w:eastAsia="仿宋"/>
          <w:spacing w:val="-2"/>
          <w:sz w:val="32"/>
          <w:szCs w:val="32"/>
          <w:lang w:val="en-US" w:eastAsia="zh-CN"/>
        </w:rPr>
        <w:t>2.50</w:t>
      </w:r>
      <w:r>
        <w:rPr>
          <w:rFonts w:hint="eastAsia" w:ascii="仿宋" w:hAnsi="仿宋" w:eastAsia="仿宋"/>
          <w:spacing w:val="-2"/>
          <w:sz w:val="32"/>
          <w:szCs w:val="32"/>
          <w:lang w:val="en" w:eastAsia="zh-CN"/>
        </w:rPr>
        <w:t>万元，其中，公务接待费</w:t>
      </w:r>
      <w:r>
        <w:rPr>
          <w:rFonts w:hint="eastAsia" w:ascii="仿宋" w:hAnsi="仿宋" w:eastAsia="仿宋"/>
          <w:spacing w:val="-2"/>
          <w:sz w:val="32"/>
          <w:szCs w:val="32"/>
          <w:lang w:val="en-US" w:eastAsia="zh-CN"/>
        </w:rPr>
        <w:t xml:space="preserve">  0.50</w:t>
      </w:r>
      <w:r>
        <w:rPr>
          <w:rFonts w:hint="default" w:ascii="仿宋" w:hAnsi="仿宋" w:eastAsia="仿宋"/>
          <w:spacing w:val="-2"/>
          <w:sz w:val="32"/>
          <w:szCs w:val="32"/>
          <w:lang w:val="en" w:eastAsia="zh-CN"/>
        </w:rPr>
        <w:t>万元，公务用车购置费0万元，公务用车运行费</w:t>
      </w:r>
      <w:r>
        <w:rPr>
          <w:rFonts w:hint="eastAsia" w:ascii="仿宋" w:hAnsi="仿宋" w:eastAsia="仿宋"/>
          <w:spacing w:val="-2"/>
          <w:sz w:val="32"/>
          <w:szCs w:val="32"/>
          <w:lang w:val="en-US" w:eastAsia="zh-CN"/>
        </w:rPr>
        <w:t>2</w:t>
      </w:r>
      <w:r>
        <w:rPr>
          <w:rFonts w:hint="default" w:ascii="仿宋" w:hAnsi="仿宋" w:eastAsia="仿宋"/>
          <w:spacing w:val="-2"/>
          <w:sz w:val="32"/>
          <w:szCs w:val="32"/>
          <w:lang w:val="en" w:eastAsia="zh-CN"/>
        </w:rPr>
        <w:t>万元，因公出国（境）费0万元。</w:t>
      </w:r>
      <w:r>
        <w:rPr>
          <w:rFonts w:hint="eastAsia" w:ascii="仿宋" w:hAnsi="仿宋" w:eastAsia="仿宋"/>
          <w:spacing w:val="-2"/>
          <w:sz w:val="32"/>
          <w:szCs w:val="32"/>
          <w:lang w:val="en" w:eastAsia="zh-CN"/>
        </w:rPr>
        <w:t>“三公”经费支出</w:t>
      </w:r>
      <w:r>
        <w:rPr>
          <w:rFonts w:hint="eastAsia" w:ascii="仿宋" w:hAnsi="仿宋" w:eastAsia="仿宋"/>
          <w:spacing w:val="-2"/>
          <w:sz w:val="32"/>
          <w:szCs w:val="32"/>
          <w:lang w:val="en-US" w:eastAsia="zh-CN"/>
        </w:rPr>
        <w:t>1.57</w:t>
      </w:r>
      <w:r>
        <w:rPr>
          <w:rFonts w:hint="eastAsia" w:ascii="仿宋" w:hAnsi="仿宋" w:eastAsia="仿宋"/>
          <w:spacing w:val="-2"/>
          <w:sz w:val="32"/>
          <w:szCs w:val="32"/>
          <w:lang w:val="en" w:eastAsia="zh-CN"/>
        </w:rPr>
        <w:t>万元，</w:t>
      </w:r>
      <w:r>
        <w:rPr>
          <w:rFonts w:hint="eastAsia" w:ascii="仿宋" w:hAnsi="仿宋" w:eastAsia="仿宋"/>
          <w:spacing w:val="-2"/>
          <w:sz w:val="32"/>
          <w:szCs w:val="32"/>
          <w:lang w:val="en-US" w:eastAsia="zh-CN"/>
        </w:rPr>
        <w:t>其中：公务用车购置费0万元，公务用车运行维护费1.57万元，公务接待费0万元</w:t>
      </w:r>
      <w:r>
        <w:rPr>
          <w:rFonts w:hint="eastAsia" w:ascii="仿宋" w:hAnsi="仿宋" w:eastAsia="仿宋"/>
          <w:spacing w:val="-2"/>
          <w:sz w:val="32"/>
          <w:szCs w:val="32"/>
          <w:lang w:val="en" w:eastAsia="zh-CN"/>
        </w:rPr>
        <w:t>。结余</w:t>
      </w:r>
      <w:r>
        <w:rPr>
          <w:rFonts w:hint="eastAsia" w:ascii="仿宋" w:hAnsi="仿宋" w:eastAsia="仿宋"/>
          <w:spacing w:val="-2"/>
          <w:sz w:val="32"/>
          <w:szCs w:val="32"/>
          <w:lang w:val="en-US" w:eastAsia="zh-CN"/>
        </w:rPr>
        <w:t>0.93</w:t>
      </w:r>
      <w:r>
        <w:rPr>
          <w:rFonts w:hint="eastAsia" w:ascii="仿宋" w:hAnsi="仿宋" w:eastAsia="仿宋"/>
          <w:spacing w:val="-2"/>
          <w:sz w:val="32"/>
          <w:szCs w:val="32"/>
          <w:lang w:val="en" w:eastAsia="zh-CN"/>
        </w:rPr>
        <w:t>万元，三公经费总额控制在预算范围内。</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324F4DE">
      <w:pPr>
        <w:widowControl/>
        <w:shd w:val="clear" w:color="auto" w:fill="FFFFFF"/>
        <w:spacing w:line="600" w:lineRule="atLeast"/>
        <w:ind w:firstLine="640"/>
        <w:rPr>
          <w:rFonts w:hint="default" w:ascii="仿宋" w:hAnsi="仿宋" w:eastAsia="仿宋"/>
          <w:spacing w:val="-2"/>
          <w:sz w:val="30"/>
          <w:szCs w:val="30"/>
          <w:lang w:val="en-US" w:eastAsia="zh-CN"/>
        </w:rPr>
      </w:pPr>
      <w:r>
        <w:rPr>
          <w:rFonts w:hint="default" w:ascii="仿宋" w:hAnsi="仿宋" w:eastAsia="仿宋"/>
          <w:spacing w:val="-2"/>
          <w:sz w:val="30"/>
          <w:szCs w:val="30"/>
          <w:lang w:val="en-US" w:eastAsia="zh-CN"/>
        </w:rPr>
        <w:t>1、项目资金（包括财政资金、自筹资金等）安排落实、总投入等情况分析。</w:t>
      </w:r>
    </w:p>
    <w:p w14:paraId="3E0DE7AF">
      <w:pPr>
        <w:widowControl/>
        <w:shd w:val="clear" w:color="auto" w:fill="FFFFFF"/>
        <w:spacing w:line="600" w:lineRule="atLeast"/>
        <w:ind w:firstLine="640"/>
        <w:rPr>
          <w:rFonts w:hint="default" w:ascii="仿宋" w:hAnsi="仿宋" w:eastAsia="仿宋"/>
          <w:spacing w:val="-2"/>
          <w:sz w:val="30"/>
          <w:szCs w:val="30"/>
          <w:lang w:val="en-US" w:eastAsia="zh-CN"/>
        </w:rPr>
      </w:pPr>
      <w:r>
        <w:rPr>
          <w:rFonts w:hint="eastAsia" w:ascii="仿宋" w:hAnsi="仿宋" w:eastAsia="仿宋"/>
          <w:spacing w:val="-2"/>
          <w:sz w:val="30"/>
          <w:szCs w:val="30"/>
          <w:lang w:val="en-US" w:eastAsia="zh-CN"/>
        </w:rPr>
        <w:t>2024年财政共下达项目资金</w:t>
      </w:r>
      <w:r>
        <w:rPr>
          <w:rFonts w:hint="eastAsia" w:ascii="仿宋" w:hAnsi="仿宋" w:eastAsia="仿宋"/>
          <w:spacing w:val="-2"/>
          <w:sz w:val="32"/>
          <w:szCs w:val="32"/>
          <w:lang w:val="en-US" w:eastAsia="zh-CN"/>
        </w:rPr>
        <w:t>33,929.14</w:t>
      </w:r>
      <w:r>
        <w:rPr>
          <w:rFonts w:hint="eastAsia" w:ascii="仿宋" w:hAnsi="仿宋" w:eastAsia="仿宋"/>
          <w:spacing w:val="-2"/>
          <w:sz w:val="30"/>
          <w:szCs w:val="30"/>
          <w:lang w:val="en-US" w:eastAsia="zh-CN"/>
        </w:rPr>
        <w:t>万元，主要用于专项土地储备专项资金</w:t>
      </w:r>
      <w:r>
        <w:rPr>
          <w:rFonts w:hint="eastAsia" w:ascii="仿宋" w:hAnsi="仿宋" w:eastAsia="仿宋"/>
          <w:spacing w:val="-2"/>
          <w:sz w:val="32"/>
          <w:szCs w:val="32"/>
          <w:lang w:val="en-US" w:eastAsia="zh-CN"/>
        </w:rPr>
        <w:t>33,929.14</w:t>
      </w:r>
      <w:r>
        <w:rPr>
          <w:rFonts w:hint="eastAsia" w:ascii="仿宋" w:hAnsi="仿宋" w:eastAsia="仿宋"/>
          <w:spacing w:val="-2"/>
          <w:sz w:val="30"/>
          <w:szCs w:val="30"/>
          <w:lang w:val="en-US" w:eastAsia="zh-CN"/>
        </w:rPr>
        <w:t>万元。</w:t>
      </w:r>
    </w:p>
    <w:p w14:paraId="1F94C084">
      <w:pPr>
        <w:widowControl/>
        <w:shd w:val="clear" w:color="auto" w:fill="FFFFFF"/>
        <w:spacing w:line="600" w:lineRule="atLeast"/>
        <w:ind w:firstLine="640"/>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2、项目资金（主要指财政资金）实际使用情况分析。</w:t>
      </w:r>
    </w:p>
    <w:p w14:paraId="2DBED58C">
      <w:pPr>
        <w:widowControl/>
        <w:shd w:val="clear" w:color="auto" w:fill="FFFFFF"/>
        <w:spacing w:line="600" w:lineRule="atLeast"/>
        <w:ind w:firstLine="640"/>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2024年度专项资金实际使用执行率为100%。</w:t>
      </w:r>
    </w:p>
    <w:p w14:paraId="1D04E3C3">
      <w:pPr>
        <w:widowControl/>
        <w:shd w:val="clear" w:color="auto" w:fill="FFFFFF"/>
        <w:spacing w:line="600" w:lineRule="atLeast"/>
        <w:ind w:firstLine="640"/>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3、项目资金管理情况分析，主要包括管理制度、办法的制订及执行情况。</w:t>
      </w:r>
    </w:p>
    <w:p w14:paraId="08A28911">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lang w:val="en" w:eastAsia="zh-CN"/>
        </w:rPr>
        <w:t>我们制定专项资金管理制度，分别对专项资金的分配、使用、管理严格按制度执行，支出开会集体审议，确保资金使用公开、公正、科学、高效，专款专用、不被挤占、挪用、借用或随意调整，实行报账制管理等原则执行。</w:t>
      </w: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（一）项目组织情况分析，主要包括项目招投标、调整、竣工验收等情况。</w:t>
      </w:r>
    </w:p>
    <w:p w14:paraId="78D87A0D">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我单位遵循专款专用、独立核算的原则，预算专项资金严格按照财政资金管理要求进行申报，财政拨款到位后及时支付。涉及的项目政府采购事项，我单位均严格按照相关要求执行，进行政府采购，同时严格合同签订，做好资金支付审核审批手续。</w:t>
      </w:r>
    </w:p>
    <w:p w14:paraId="4E7AEDC3">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（二）项目管理情况分析，主要包括项目管理制度建设、日常检查监督管理等情况。</w:t>
      </w:r>
    </w:p>
    <w:p w14:paraId="1A57E8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heme="minorBidi"/>
          <w:spacing w:val="-2"/>
          <w:kern w:val="2"/>
          <w:sz w:val="32"/>
          <w:szCs w:val="32"/>
          <w:lang w:val="en" w:eastAsia="zh-CN" w:bidi="ar-SA"/>
        </w:rPr>
      </w:pPr>
      <w:r>
        <w:rPr>
          <w:rFonts w:hint="eastAsia" w:ascii="仿宋" w:hAnsi="仿宋" w:eastAsia="仿宋" w:cstheme="minorBidi"/>
          <w:spacing w:val="-2"/>
          <w:kern w:val="2"/>
          <w:sz w:val="32"/>
          <w:szCs w:val="32"/>
          <w:lang w:val="en-US" w:eastAsia="zh-CN" w:bidi="ar-SA"/>
        </w:rPr>
        <w:t>1.</w:t>
      </w:r>
      <w:r>
        <w:rPr>
          <w:rFonts w:hint="eastAsia" w:ascii="仿宋" w:hAnsi="仿宋" w:eastAsia="仿宋" w:cstheme="minorBidi"/>
          <w:spacing w:val="-2"/>
          <w:kern w:val="2"/>
          <w:sz w:val="32"/>
          <w:szCs w:val="32"/>
          <w:lang w:val="en" w:eastAsia="zh-CN" w:bidi="ar-SA"/>
        </w:rPr>
        <w:t>项目组织情况分析</w:t>
      </w:r>
    </w:p>
    <w:p w14:paraId="2CA036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为了加强对项目实施，单位确定各业务、专职干部与相关部门汇报、沟通和衔接，争取更多资金，切实对项目实行跟踪式服务，从项目的联系洽谈、项目跟进、资金投入等环节实行全程专人负责，确保项目落地投产。</w:t>
      </w:r>
    </w:p>
    <w:p w14:paraId="1477EB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heme="minorBidi"/>
          <w:spacing w:val="-2"/>
          <w:kern w:val="2"/>
          <w:sz w:val="32"/>
          <w:szCs w:val="32"/>
          <w:lang w:val="en" w:eastAsia="zh-CN" w:bidi="ar-SA"/>
        </w:rPr>
      </w:pPr>
      <w:r>
        <w:rPr>
          <w:rFonts w:hint="eastAsia" w:ascii="仿宋" w:hAnsi="仿宋" w:eastAsia="仿宋" w:cstheme="minorBidi"/>
          <w:spacing w:val="-2"/>
          <w:kern w:val="2"/>
          <w:sz w:val="32"/>
          <w:szCs w:val="32"/>
          <w:lang w:val="en-US" w:eastAsia="zh-CN" w:bidi="ar-SA"/>
        </w:rPr>
        <w:t>2.</w:t>
      </w:r>
      <w:r>
        <w:rPr>
          <w:rFonts w:hint="eastAsia" w:ascii="仿宋" w:hAnsi="仿宋" w:eastAsia="仿宋" w:cstheme="minorBidi"/>
          <w:spacing w:val="-2"/>
          <w:kern w:val="2"/>
          <w:sz w:val="32"/>
          <w:szCs w:val="32"/>
          <w:lang w:val="en" w:eastAsia="zh-CN" w:bidi="ar-SA"/>
        </w:rPr>
        <w:t>项目管理情况分析</w:t>
      </w:r>
    </w:p>
    <w:p w14:paraId="29F6AE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为规范、合理、安全、有效使用专项资金，我单位制定了《财务管理制度》等相关制度，专项资金的管理和使用，遵循公开、公平、公正和统筹兼顾、突出重点、讲求效益的原则，确保专项资金使用的规范、安全和高效。为规范项目建设管理，我单位切实对项目实行跟踪式服务，从项目资金的下拨、项目跟进、资金投入等环节设置专门科室负责监督和管理，确保项目的实施和建设。</w:t>
      </w: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BEBD0CD">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反映部门资产的配置、管理、处置等综合情况。包括制度建设、管理措施、配置处置的程序等。</w:t>
      </w:r>
    </w:p>
    <w:p w14:paraId="31734A8F">
      <w:pPr>
        <w:widowControl/>
        <w:shd w:val="clear" w:color="auto" w:fill="FFFFFF"/>
        <w:spacing w:line="600" w:lineRule="atLeast"/>
        <w:ind w:firstLine="640"/>
        <w:rPr>
          <w:rFonts w:hint="eastAsia" w:ascii="仿宋" w:hAnsi="仿宋" w:eastAsia="仿宋" w:cs="Times New Roman"/>
          <w:spacing w:val="-2"/>
          <w:sz w:val="32"/>
          <w:szCs w:val="32"/>
          <w:lang w:val="en" w:eastAsia="zh-CN"/>
        </w:rPr>
      </w:pPr>
      <w:r>
        <w:rPr>
          <w:rFonts w:hint="eastAsia" w:ascii="仿宋" w:hAnsi="仿宋" w:eastAsia="仿宋" w:cs="Times New Roman"/>
          <w:spacing w:val="-2"/>
          <w:sz w:val="32"/>
          <w:szCs w:val="32"/>
          <w:lang w:val="en-US" w:eastAsia="zh-CN"/>
        </w:rPr>
        <w:t>（一）</w:t>
      </w:r>
      <w:r>
        <w:rPr>
          <w:rFonts w:hint="eastAsia" w:ascii="仿宋" w:hAnsi="仿宋" w:eastAsia="仿宋" w:cs="Times New Roman"/>
          <w:spacing w:val="-2"/>
          <w:sz w:val="32"/>
          <w:szCs w:val="32"/>
          <w:lang w:val="en" w:eastAsia="zh-CN"/>
        </w:rPr>
        <w:t>资产管理安全性</w:t>
      </w:r>
    </w:p>
    <w:p w14:paraId="26EEEB08">
      <w:pPr>
        <w:widowControl/>
        <w:shd w:val="clear" w:color="auto" w:fill="FFFFFF"/>
        <w:spacing w:line="600" w:lineRule="atLeast"/>
        <w:ind w:firstLine="640"/>
        <w:rPr>
          <w:rFonts w:hint="eastAsia" w:ascii="仿宋" w:hAnsi="仿宋" w:eastAsia="仿宋" w:cs="Times New Roman"/>
          <w:spacing w:val="-2"/>
          <w:sz w:val="32"/>
          <w:szCs w:val="32"/>
          <w:lang w:val="en" w:eastAsia="zh-CN"/>
        </w:rPr>
      </w:pPr>
      <w:r>
        <w:rPr>
          <w:rFonts w:hint="eastAsia" w:ascii="仿宋" w:hAnsi="仿宋" w:eastAsia="仿宋" w:cs="Times New Roman"/>
          <w:spacing w:val="-2"/>
          <w:sz w:val="32"/>
          <w:szCs w:val="32"/>
          <w:lang w:val="en" w:eastAsia="zh-CN"/>
        </w:rPr>
        <w:t>我单位制定资产管理制度，实行登记造册、专人管理，确保保存完整、使用合规、配置合理、处置规范。</w:t>
      </w:r>
    </w:p>
    <w:p w14:paraId="747C302F">
      <w:pPr>
        <w:widowControl/>
        <w:shd w:val="clear" w:color="auto" w:fill="FFFFFF"/>
        <w:spacing w:line="600" w:lineRule="atLeast"/>
        <w:ind w:firstLine="640"/>
        <w:rPr>
          <w:rFonts w:hint="eastAsia" w:ascii="仿宋" w:hAnsi="仿宋" w:eastAsia="仿宋" w:cs="Times New Roman"/>
          <w:spacing w:val="-2"/>
          <w:sz w:val="32"/>
          <w:szCs w:val="32"/>
          <w:lang w:val="en" w:eastAsia="zh-CN"/>
        </w:rPr>
      </w:pPr>
      <w:r>
        <w:rPr>
          <w:rFonts w:hint="eastAsia" w:ascii="仿宋" w:hAnsi="仿宋" w:eastAsia="仿宋" w:cs="Times New Roman"/>
          <w:spacing w:val="-2"/>
          <w:sz w:val="32"/>
          <w:szCs w:val="32"/>
          <w:lang w:val="en" w:eastAsia="zh-CN"/>
        </w:rPr>
        <w:t>（</w:t>
      </w:r>
      <w:r>
        <w:rPr>
          <w:rFonts w:hint="eastAsia" w:ascii="仿宋" w:hAnsi="仿宋" w:eastAsia="仿宋" w:cs="Times New Roman"/>
          <w:spacing w:val="-2"/>
          <w:sz w:val="32"/>
          <w:szCs w:val="32"/>
          <w:lang w:val="en-US" w:eastAsia="zh-CN"/>
        </w:rPr>
        <w:t>二</w:t>
      </w:r>
      <w:r>
        <w:rPr>
          <w:rFonts w:hint="eastAsia" w:ascii="仿宋" w:hAnsi="仿宋" w:eastAsia="仿宋" w:cs="Times New Roman"/>
          <w:spacing w:val="-2"/>
          <w:sz w:val="32"/>
          <w:szCs w:val="32"/>
          <w:lang w:val="en" w:eastAsia="zh-CN"/>
        </w:rPr>
        <w:t>）固定资产利用率</w:t>
      </w:r>
    </w:p>
    <w:p w14:paraId="636F958E">
      <w:pPr>
        <w:widowControl/>
        <w:shd w:val="clear" w:color="auto" w:fill="FFFFFF"/>
        <w:spacing w:line="600" w:lineRule="atLeast"/>
        <w:ind w:firstLine="64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sz w:val="32"/>
          <w:szCs w:val="32"/>
          <w:lang w:val="en" w:eastAsia="zh-CN"/>
        </w:rPr>
        <w:t>我单位实有固定资产总额为</w:t>
      </w:r>
      <w:r>
        <w:rPr>
          <w:rFonts w:hint="eastAsia" w:ascii="仿宋" w:hAnsi="仿宋" w:eastAsia="仿宋" w:cs="Times New Roman"/>
          <w:spacing w:val="-2"/>
          <w:sz w:val="32"/>
          <w:szCs w:val="32"/>
          <w:lang w:val="en-US" w:eastAsia="zh-CN"/>
        </w:rPr>
        <w:t>117.86</w:t>
      </w:r>
      <w:r>
        <w:rPr>
          <w:rFonts w:hint="eastAsia" w:ascii="仿宋" w:hAnsi="仿宋" w:eastAsia="仿宋" w:cs="Times New Roman"/>
          <w:spacing w:val="-2"/>
          <w:sz w:val="32"/>
          <w:szCs w:val="32"/>
          <w:lang w:val="en" w:eastAsia="zh-CN"/>
        </w:rPr>
        <w:t>万元，在用固定资产总额为</w:t>
      </w:r>
      <w:r>
        <w:rPr>
          <w:rFonts w:hint="eastAsia" w:ascii="仿宋" w:hAnsi="仿宋" w:eastAsia="仿宋" w:cs="Times New Roman"/>
          <w:spacing w:val="-2"/>
          <w:sz w:val="32"/>
          <w:szCs w:val="32"/>
          <w:lang w:val="en-US" w:eastAsia="zh-CN"/>
        </w:rPr>
        <w:t>117.86</w:t>
      </w:r>
      <w:r>
        <w:rPr>
          <w:rFonts w:hint="eastAsia" w:ascii="仿宋" w:hAnsi="仿宋" w:eastAsia="仿宋" w:cs="Times New Roman"/>
          <w:spacing w:val="-2"/>
          <w:sz w:val="32"/>
          <w:szCs w:val="32"/>
          <w:lang w:val="en" w:eastAsia="zh-CN"/>
        </w:rPr>
        <w:t>万元，占用比例100%。</w:t>
      </w:r>
    </w:p>
    <w:p w14:paraId="7C2AACF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009BF024">
      <w:pPr>
        <w:widowControl/>
        <w:shd w:val="clear" w:color="auto" w:fill="FFFFFF"/>
        <w:spacing w:line="600" w:lineRule="atLeast"/>
        <w:ind w:firstLine="64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sz w:val="32"/>
          <w:szCs w:val="32"/>
          <w:lang w:val="en-US" w:eastAsia="zh-CN"/>
        </w:rPr>
        <w:t>我单位2024年度我单位政府性基金拨款支出</w:t>
      </w:r>
      <w:r>
        <w:rPr>
          <w:rFonts w:hint="eastAsia" w:ascii="仿宋" w:hAnsi="仿宋" w:eastAsia="仿宋"/>
          <w:spacing w:val="-2"/>
          <w:sz w:val="32"/>
          <w:szCs w:val="32"/>
          <w:lang w:val="en-US" w:eastAsia="zh-CN"/>
        </w:rPr>
        <w:t>34,339.13</w:t>
      </w:r>
      <w:r>
        <w:rPr>
          <w:rFonts w:hint="eastAsia" w:ascii="仿宋" w:hAnsi="仿宋" w:eastAsia="仿宋" w:cs="Times New Roman"/>
          <w:spacing w:val="-2"/>
          <w:sz w:val="32"/>
          <w:szCs w:val="32"/>
          <w:lang w:val="en-US" w:eastAsia="zh-CN"/>
        </w:rPr>
        <w:t>万元。</w:t>
      </w:r>
    </w:p>
    <w:p w14:paraId="3488626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627333DE">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我单位2024年度无国有资本经营预算支出。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35B84F60">
      <w:pPr>
        <w:widowControl/>
        <w:shd w:val="clear" w:color="auto" w:fill="FFFFFF"/>
        <w:spacing w:line="600" w:lineRule="atLeast"/>
        <w:ind w:firstLine="64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sz w:val="32"/>
          <w:szCs w:val="32"/>
          <w:lang w:val="en-US" w:eastAsia="zh-CN"/>
        </w:rPr>
        <w:t>我单位2024年度无社会保险基金预算支出。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C2E6BB1">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（一）综合评价结论。反映自评得分及评价等级。</w:t>
      </w:r>
    </w:p>
    <w:p w14:paraId="7EB69C44">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怀化市土地储备中心2024年认真履职，按年初计划完成了各项工作任务，部门整体支出绩效自评分为100分，自评等级为优。</w:t>
      </w:r>
    </w:p>
    <w:p w14:paraId="042D10BE">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二）评价指标分析（或综合评价情况）。围绕部门职责、行业发展规划，以预算资金管理为主线，从整体绩效目标设定、预算配置、预算执行、预算管理、资产管理、职责履行、履职效益等方面综合分析。总结归纳本部门"四本预算"支出的绩效目标完成情况，实现产出和取得效益的情况。</w:t>
      </w:r>
    </w:p>
    <w:p w14:paraId="31236CCC">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1.目标设定</w:t>
      </w:r>
    </w:p>
    <w:p w14:paraId="22EACA63">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①绩效目标合理性：本部门设立的整体绩效目标符合国家法律法规、国民经济和社会发展总体规划、符合“三定”方案确定的职责与部门制定的中长期实施规划。根据评价标准该项得满分3分。</w:t>
      </w:r>
    </w:p>
    <w:p w14:paraId="2C75E31C">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②绩效指标明确性：本部门设定的绩效指标清晰、细化、可衡量，与部门年度的任务数相对应，并与本年度部门预算资金相匹配。</w:t>
      </w:r>
    </w:p>
    <w:p w14:paraId="2A1C6B8C">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2.预算配置</w:t>
      </w:r>
    </w:p>
    <w:p w14:paraId="26DEACD8">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截至2024年12月31日我单位事业编制20名，实有在职人数25人，在职人员控制率为125% 。2023年度“三公经费”预算为8万元，2024年度“三公经费”预算为2.50万元，“三公经费”下降68.75%。</w:t>
      </w:r>
    </w:p>
    <w:p w14:paraId="6008686F">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3.预算执行</w:t>
      </w:r>
    </w:p>
    <w:p w14:paraId="1CBE7EC1">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2024年我单位预算数为：总收、支预算</w:t>
      </w:r>
      <w:r>
        <w:rPr>
          <w:rFonts w:hint="eastAsia" w:ascii="仿宋" w:hAnsi="仿宋" w:eastAsia="仿宋"/>
          <w:spacing w:val="-2"/>
          <w:sz w:val="32"/>
          <w:szCs w:val="32"/>
          <w:lang w:val="en-US" w:eastAsia="zh-CN"/>
        </w:rPr>
        <w:t>34,339.13</w:t>
      </w:r>
      <w:r>
        <w:rPr>
          <w:rFonts w:hint="eastAsia" w:ascii="仿宋" w:hAnsi="仿宋" w:eastAsia="仿宋" w:cs="Times New Roman"/>
          <w:spacing w:val="-2"/>
          <w:sz w:val="32"/>
          <w:szCs w:val="32"/>
          <w:lang w:val="en-US" w:eastAsia="zh-CN"/>
        </w:rPr>
        <w:t>元。2024年我单位本年收入</w:t>
      </w:r>
      <w:r>
        <w:rPr>
          <w:rFonts w:hint="eastAsia" w:ascii="仿宋" w:hAnsi="仿宋" w:eastAsia="仿宋"/>
          <w:spacing w:val="-2"/>
          <w:sz w:val="32"/>
          <w:szCs w:val="32"/>
          <w:lang w:val="en-US" w:eastAsia="zh-CN"/>
        </w:rPr>
        <w:t>34,339.13</w:t>
      </w:r>
      <w:r>
        <w:rPr>
          <w:rFonts w:hint="eastAsia" w:ascii="仿宋" w:hAnsi="仿宋" w:eastAsia="仿宋" w:cs="Times New Roman"/>
          <w:spacing w:val="-2"/>
          <w:sz w:val="32"/>
          <w:szCs w:val="32"/>
          <w:lang w:val="en-US" w:eastAsia="zh-CN"/>
        </w:rPr>
        <w:t>万元(全为政府性基金预算财政拨款收入)，本年支出</w:t>
      </w:r>
      <w:r>
        <w:rPr>
          <w:rFonts w:hint="eastAsia" w:ascii="仿宋" w:hAnsi="仿宋" w:eastAsia="仿宋"/>
          <w:spacing w:val="-2"/>
          <w:sz w:val="32"/>
          <w:szCs w:val="32"/>
          <w:lang w:val="en-US" w:eastAsia="zh-CN"/>
        </w:rPr>
        <w:t>34,339.13</w:t>
      </w:r>
      <w:r>
        <w:rPr>
          <w:rFonts w:hint="eastAsia" w:ascii="仿宋" w:hAnsi="仿宋" w:eastAsia="仿宋" w:cs="Times New Roman"/>
          <w:spacing w:val="-2"/>
          <w:sz w:val="32"/>
          <w:szCs w:val="32"/>
          <w:lang w:val="en-US" w:eastAsia="zh-CN"/>
        </w:rPr>
        <w:t>万元。其中基本支出409.99万元，项目支出33,929.14万元。</w:t>
      </w:r>
    </w:p>
    <w:p w14:paraId="2630BF40">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4.预算管理</w:t>
      </w:r>
    </w:p>
    <w:p w14:paraId="26618084">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公用经费支出是指部门基本支出中的一般商品和服务支出，2024年公用经费实际支出为31.22万元，年初预算安排公用经费总额为73.81万元，公用经费控制率为42.29%。</w:t>
      </w:r>
    </w:p>
    <w:p w14:paraId="11FE0BBA">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2024年“三公经费”实际支出数为1.57万元，“三公经费”预算安排数为2.50万元，“三公经费”控制率为62.68%。2024年实际政府采购金额为218.43万元，政府采购预算数为0万元，政府采购执行率为0%。导致政府采购执行率低的主要原因一是一次性采购未达采购限额的零散采购较多，根据相关文件精神不需要政府采购。</w:t>
      </w:r>
    </w:p>
    <w:p w14:paraId="184ACB8E">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我单位在资金使用上，严格遵守各项财经法规和财务管理制度规定，资金拔付有完整的审批程序和手续，支出符合部门预算批复的用途,无截留、挤占、挪用、虚列支出等情况。</w:t>
      </w:r>
    </w:p>
    <w:p w14:paraId="5BE8B2D2">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我单位准时在我市政府门户网站上对2024年部门预算和“三公”经费预算进行了公开，基础数据信息和会计信息资料真实、完整。</w:t>
      </w:r>
    </w:p>
    <w:p w14:paraId="386F1A47">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5.资产管理</w:t>
      </w:r>
    </w:p>
    <w:p w14:paraId="172FAC9F">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为加强资产管理、规范资产管理行为，我单位制定了《国有资产管理办法》，该资产管理制度合法、合规、完整，并得到有效执行。资产保存完整，账务管理合规，账实相符，资产有偿使用及处置收入及时足额上缴。2024年末我单位共有固定资产（净值）2.46万元，在用固定资产（净值）2.46万元，固定资产利用率为100%。达到目标值。</w:t>
      </w:r>
    </w:p>
    <w:p w14:paraId="60214D49">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 xml:space="preserve">6.职责履行及效益。 </w:t>
      </w:r>
    </w:p>
    <w:p w14:paraId="03488C61">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2024年，在局党组正确领导下，我中心坚持以党的二十大精神为指导，积极发挥土地收储职能，加大土地收储力度。</w:t>
      </w:r>
    </w:p>
    <w:p w14:paraId="7347A3A2">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2024年是土地储备工作面临较大挑战的一年，在房地产经济下行、地方财力吃紧及土地储备资源缩减的情况下，我们通过积极沟通协调，努力克服困难，深挖潜力，截止2024年11月底，新增完成土地出入库81宗，面积约4100亩，其中商住用地46宗，面积约1701亩，招拍挂出让土地30宗，面积1545.68亩，挂牌总价约20.8亿元。</w:t>
      </w:r>
    </w:p>
    <w:p w14:paraId="7943E2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0F2F9C9E">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一是绩效评价管理制度尚不健全。还尚未制定相关的管理办法和实施细则，无与实际相结合并具有指导意义的绩效管理工作机制和流程，绩效评价开展缺乏强有力的制度保障。</w:t>
      </w:r>
    </w:p>
    <w:p w14:paraId="0A38EFEC">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二是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14:paraId="750448D1">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三是对绩效评价工作的认识不够。单位对财务绩效不重视，认为绩效评价只是财务部门的事情，相关项目职责部门配合不够，往往只能提供有限的财经资料或简单的工作计划、工作总结，绩效评价工作资料非常有限，内容粗浅。大多数时候只能借用工作计划，工作总结等作为绩效自评报告的主要内容。</w:t>
      </w:r>
    </w:p>
    <w:p w14:paraId="76394A77">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四是人员素质有待进一步提高。由于预算绩效管理工作开展时间短，涉及面广，专业性强，加上缺乏系统的培训，单位对预算绩效管理理解不充分，对预算绩效管理业务不精通，在一定程度上影响了绩效评价工作质量。</w:t>
      </w:r>
    </w:p>
    <w:p w14:paraId="4F0F780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0DADD4B0">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一是加强预算管理，科学编制预算。建立合理的资金筹措和运转机制，规范土地储备资金的运营。</w:t>
      </w:r>
    </w:p>
    <w:p w14:paraId="02DC2C56">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二是严格执行部门年度各项计划，确保各项工作顺利进行。根据时间和工作进度完成各项任务，做到各种任务年初有计划、年中有监督、年终有总结，确保各项工作按年初计划有序进行，以确保顺利完成各项任务。</w:t>
      </w:r>
    </w:p>
    <w:p w14:paraId="4C6833AE">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三是加强与各单位的联系和协作，发挥社会参与功能，整合社会资源，优化资源配置，建立监督机制；加强绩效管理力度，建立绩效评价的长期机制。</w:t>
      </w:r>
    </w:p>
    <w:p w14:paraId="6A2EBD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538A87D6">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仿宋" w:hAnsi="仿宋" w:eastAsia="仿宋" w:cs="Times New Roman"/>
          <w:spacing w:val="-2"/>
          <w:sz w:val="32"/>
          <w:szCs w:val="32"/>
          <w:lang w:val="en-US" w:eastAsia="zh-CN"/>
        </w:rPr>
        <w:t>单位</w:t>
      </w:r>
      <w:r>
        <w:rPr>
          <w:rFonts w:hint="default" w:ascii="仿宋" w:hAnsi="仿宋" w:eastAsia="仿宋" w:cs="Times New Roman"/>
          <w:spacing w:val="-2"/>
          <w:sz w:val="32"/>
          <w:szCs w:val="32"/>
          <w:lang w:val="en-US" w:eastAsia="zh-CN"/>
        </w:rPr>
        <w:t>各部</w:t>
      </w:r>
      <w:r>
        <w:rPr>
          <w:rFonts w:hint="eastAsia" w:ascii="仿宋" w:hAnsi="仿宋" w:eastAsia="仿宋" w:cs="Times New Roman"/>
          <w:spacing w:val="-2"/>
          <w:sz w:val="32"/>
          <w:szCs w:val="32"/>
          <w:lang w:val="en-US" w:eastAsia="zh-CN"/>
        </w:rPr>
        <w:t>门</w:t>
      </w:r>
      <w:r>
        <w:rPr>
          <w:rFonts w:hint="default" w:ascii="仿宋" w:hAnsi="仿宋" w:eastAsia="仿宋" w:cs="Times New Roman"/>
          <w:spacing w:val="-2"/>
          <w:sz w:val="32"/>
          <w:szCs w:val="32"/>
          <w:lang w:val="en-US" w:eastAsia="zh-CN"/>
        </w:rPr>
        <w:t>增强责任和</w:t>
      </w:r>
      <w:r>
        <w:rPr>
          <w:rFonts w:hint="eastAsia" w:ascii="仿宋" w:hAnsi="仿宋" w:eastAsia="仿宋" w:cs="Times New Roman"/>
          <w:spacing w:val="-2"/>
          <w:sz w:val="32"/>
          <w:szCs w:val="32"/>
          <w:lang w:val="en-US" w:eastAsia="zh-CN"/>
        </w:rPr>
        <w:t>社会</w:t>
      </w:r>
      <w:r>
        <w:rPr>
          <w:rFonts w:hint="default" w:ascii="仿宋" w:hAnsi="仿宋" w:eastAsia="仿宋" w:cs="Times New Roman"/>
          <w:spacing w:val="-2"/>
          <w:sz w:val="32"/>
          <w:szCs w:val="32"/>
          <w:lang w:val="en-US" w:eastAsia="zh-CN"/>
        </w:rPr>
        <w:t>观念，提高财政资金支出决策水平和管理水平。</w:t>
      </w:r>
    </w:p>
    <w:p w14:paraId="449A0788">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拟用于作为下一年度预算编制的参考依据，绩效自评结果按照财政要求及时公开。</w:t>
      </w:r>
    </w:p>
    <w:p w14:paraId="0D944C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0840FA4">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无</w:t>
      </w:r>
    </w:p>
    <w:p w14:paraId="0F19B5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77F64B7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458B4AE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95B56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87330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、国有资本经营预算支出情况表</w:t>
      </w:r>
    </w:p>
    <w:p w14:paraId="270852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、社会保险基金预算支出情况表</w:t>
      </w:r>
    </w:p>
    <w:p w14:paraId="3DF12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F2BC8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9DEFB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52D0A44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1A5B2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496CF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6D512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20C1D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3CBEC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ACF75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04C529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ED6F10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CE334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637B6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C1A37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D88E0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DC6D6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C0AEF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A101D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0E20C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743A1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3BC5EF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default"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w:t>
      </w: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6</w:t>
      </w:r>
    </w:p>
    <w:p w14:paraId="1868A4E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怀化市土地储备中心</w:t>
      </w: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2024</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年度</w:t>
      </w: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土地储备</w:t>
      </w:r>
    </w:p>
    <w:p w14:paraId="2E4394E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项目支出绩效自评报告</w:t>
      </w:r>
    </w:p>
    <w:p w14:paraId="0A0949D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p>
    <w:p w14:paraId="01EFDAD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w:t>
      </w:r>
      <w:r>
        <w:rPr>
          <w:rFonts w:hint="default" w:ascii="方正黑体_GBK" w:hAnsi="方正黑体_GBK" w:eastAsia="方正黑体_GBK" w:cs="方正黑体_GBK"/>
          <w:b/>
          <w:bCs/>
          <w:color w:val="auto"/>
          <w:sz w:val="32"/>
          <w:szCs w:val="32"/>
          <w:highlight w:val="none"/>
          <w:lang w:val="en-US" w:eastAsia="zh-CN"/>
        </w:rPr>
        <w:t>项目概况</w:t>
      </w:r>
    </w:p>
    <w:p w14:paraId="38D42AD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项目基本情况</w:t>
      </w:r>
    </w:p>
    <w:p w14:paraId="2ADDF441">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1.</w:t>
      </w:r>
      <w:r>
        <w:rPr>
          <w:rFonts w:hint="default" w:ascii="仿宋" w:hAnsi="仿宋" w:eastAsia="仿宋" w:cs="Times New Roman"/>
          <w:spacing w:val="-2"/>
          <w:sz w:val="32"/>
          <w:szCs w:val="32"/>
          <w:lang w:val="en-US" w:eastAsia="zh-CN"/>
        </w:rPr>
        <w:t>说明项目主管部门在该项目管理中的职能。</w:t>
      </w:r>
    </w:p>
    <w:p w14:paraId="688361F1">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怀化市自然资源和规划局</w:t>
      </w:r>
      <w:r>
        <w:rPr>
          <w:rFonts w:hint="default" w:ascii="仿宋" w:hAnsi="仿宋" w:eastAsia="仿宋" w:cs="Times New Roman"/>
          <w:spacing w:val="-2"/>
          <w:sz w:val="32"/>
          <w:szCs w:val="32"/>
          <w:lang w:val="en-US" w:eastAsia="zh-CN"/>
        </w:rPr>
        <w:t>在整个项目实施的过程中附有审批、监管的职能职责。</w:t>
      </w:r>
    </w:p>
    <w:p w14:paraId="70679466">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w:t>
      </w:r>
      <w:r>
        <w:rPr>
          <w:rFonts w:hint="default" w:ascii="仿宋" w:hAnsi="仿宋" w:eastAsia="仿宋" w:cs="Times New Roman"/>
          <w:spacing w:val="-2"/>
          <w:sz w:val="32"/>
          <w:szCs w:val="32"/>
          <w:lang w:val="en-US" w:eastAsia="zh-CN"/>
        </w:rPr>
        <w:t>项目立项、资金申报的依据。</w:t>
      </w:r>
    </w:p>
    <w:p w14:paraId="3A01ED6C">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《湖南省国有土地使用权出让收支管理办法》（湘政办发〔2015〕1号）、《土地储备资金财务管理办法》</w:t>
      </w:r>
    </w:p>
    <w:p w14:paraId="36C16D73">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3.</w:t>
      </w:r>
      <w:r>
        <w:rPr>
          <w:rFonts w:hint="default" w:ascii="仿宋" w:hAnsi="仿宋" w:eastAsia="仿宋" w:cs="Times New Roman"/>
          <w:spacing w:val="-2"/>
          <w:sz w:val="32"/>
          <w:szCs w:val="32"/>
          <w:lang w:val="en-US" w:eastAsia="zh-CN"/>
        </w:rPr>
        <w:t>资金管理办法制定情况,资金支持具体项目的条件、范围与支持方式概况。</w:t>
      </w:r>
    </w:p>
    <w:p w14:paraId="506B14E1">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spacing w:val="-2"/>
          <w:sz w:val="32"/>
          <w:szCs w:val="32"/>
          <w:lang w:val="en-US" w:eastAsia="zh-CN"/>
        </w:rPr>
        <w:t>按照资金管理办法要求，严格执行相关法律法规、财务规章制度，制定了单位财务管理制度、内部控制制度。严格执行项目资金管理办法和财务管理制度。项目资金支付专户管理、专项核算、专款专用和市财政局国库集中拨付，财务处理和会计核算真实、完整、及时、规范。</w:t>
      </w:r>
    </w:p>
    <w:p w14:paraId="48210A12">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eastAsia"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项目资金支出范围</w:t>
      </w:r>
      <w:r>
        <w:rPr>
          <w:rFonts w:hint="eastAsia" w:ascii="仿宋" w:hAnsi="仿宋" w:eastAsia="仿宋" w:cs="Times New Roman"/>
          <w:spacing w:val="-2"/>
          <w:sz w:val="32"/>
          <w:szCs w:val="32"/>
          <w:lang w:val="en-US" w:eastAsia="zh-CN"/>
        </w:rPr>
        <w:t>：用于土地储备专项支出。</w:t>
      </w:r>
    </w:p>
    <w:p w14:paraId="2999264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320" w:firstLineChars="100"/>
        <w:textAlignment w:val="auto"/>
        <w:rPr>
          <w:rFonts w:hint="eastAsia" w:ascii="Times New Roman Regular" w:hAnsi="Times New Roman Regular" w:eastAsia="仿宋_GB2312" w:cs="Times New Roman Regular"/>
          <w:color w:val="auto"/>
          <w:sz w:val="32"/>
          <w:szCs w:val="32"/>
          <w:highlight w:val="none"/>
          <w:lang w:val="en-US" w:eastAsia="zh-CN"/>
        </w:rPr>
      </w:pPr>
    </w:p>
    <w:p w14:paraId="38D6F27A">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4.</w:t>
      </w:r>
      <w:r>
        <w:rPr>
          <w:rFonts w:hint="default" w:ascii="仿宋" w:hAnsi="仿宋" w:eastAsia="仿宋" w:cs="Times New Roman"/>
          <w:spacing w:val="-2"/>
          <w:sz w:val="32"/>
          <w:szCs w:val="32"/>
          <w:lang w:val="en-US" w:eastAsia="zh-CN"/>
        </w:rPr>
        <w:t>资金分配的原则及考虑因素</w:t>
      </w:r>
      <w:r>
        <w:rPr>
          <w:rFonts w:hint="eastAsia" w:ascii="仿宋" w:hAnsi="仿宋" w:eastAsia="仿宋" w:cs="Times New Roman"/>
          <w:spacing w:val="-2"/>
          <w:sz w:val="32"/>
          <w:szCs w:val="32"/>
          <w:lang w:val="en-US" w:eastAsia="zh-CN"/>
        </w:rPr>
        <w:t>。</w:t>
      </w:r>
    </w:p>
    <w:p w14:paraId="549541C3">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32" w:firstLineChars="20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量入为出，突出重点、注重绩效、专款专用原则，考虑各类费用因素所占比重与部门预算支出经济分类科目相结合的分配方式。</w:t>
      </w:r>
    </w:p>
    <w:p w14:paraId="210E051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项目绩效目标</w:t>
      </w:r>
    </w:p>
    <w:p w14:paraId="784A351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项目主要内容。</w:t>
      </w:r>
    </w:p>
    <w:p w14:paraId="72C0B7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根据本地区国民经济和社会发展规划、城镇发展规划、土地储备计划等申报了土地储备合作项目，编制了项目可行性研究报告、实施方案等，明确了项目的具体实施内容及实施期限。</w:t>
      </w:r>
    </w:p>
    <w:p w14:paraId="19F573D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w:t>
      </w:r>
      <w:r>
        <w:rPr>
          <w:rFonts w:hint="default" w:ascii="仿宋" w:hAnsi="仿宋" w:eastAsia="仿宋" w:cs="Times New Roman"/>
          <w:spacing w:val="-2"/>
          <w:kern w:val="2"/>
          <w:sz w:val="32"/>
          <w:szCs w:val="32"/>
          <w:lang w:val="en-US" w:eastAsia="zh-CN" w:bidi="ar-SA"/>
        </w:rPr>
        <w:t>项目应实现的具体绩效目标,包括目标的量化、细化情况以及项目实施进度计划等。</w:t>
      </w:r>
    </w:p>
    <w:p w14:paraId="04925093">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（1）经济成本指标：项目成本控制≤</w:t>
      </w:r>
      <w:r>
        <w:rPr>
          <w:rFonts w:hint="eastAsia" w:ascii="仿宋" w:hAnsi="仿宋" w:eastAsia="仿宋" w:cs="Times New Roman"/>
          <w:spacing w:val="-2"/>
          <w:kern w:val="2"/>
          <w:sz w:val="32"/>
          <w:szCs w:val="32"/>
          <w:lang w:val="en-US" w:eastAsia="zh-CN" w:bidi="ar-SA"/>
        </w:rPr>
        <w:t>33929.14万元；</w:t>
      </w:r>
    </w:p>
    <w:p w14:paraId="7942589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Times New Roman"/>
          <w:spacing w:val="-2"/>
          <w:kern w:val="2"/>
          <w:sz w:val="32"/>
          <w:szCs w:val="32"/>
          <w:lang w:val="en-US" w:eastAsia="zh-CN" w:bidi="ar-SA"/>
        </w:rPr>
        <w:t>（2）数量指标：</w:t>
      </w:r>
      <w:r>
        <w:rPr>
          <w:rFonts w:hint="eastAsia" w:ascii="仿宋" w:hAnsi="仿宋" w:eastAsia="仿宋" w:cs="仿宋"/>
          <w:b w:val="0"/>
          <w:bCs w:val="0"/>
          <w:sz w:val="32"/>
          <w:szCs w:val="32"/>
          <w:lang w:val="en-US" w:eastAsia="zh-CN"/>
        </w:rPr>
        <w:t>共筛选了146个全民所有土地资产管理和供地计划项目，总面积约651.17公顷（约9767.55亩），</w:t>
      </w:r>
      <w:r>
        <w:rPr>
          <w:rFonts w:hint="eastAsia" w:ascii="仿宋" w:hAnsi="仿宋" w:eastAsia="仿宋" w:cs="仿宋"/>
          <w:b w:val="0"/>
          <w:bCs w:val="0"/>
          <w:color w:val="auto"/>
          <w:sz w:val="32"/>
          <w:szCs w:val="32"/>
          <w:lang w:val="en-US" w:eastAsia="zh-CN"/>
        </w:rPr>
        <w:t>其中，2024年度供地计划项目共计97个，拟供应面积</w:t>
      </w:r>
      <w:r>
        <w:rPr>
          <w:rFonts w:hint="eastAsia" w:ascii="仿宋" w:hAnsi="仿宋" w:eastAsia="仿宋" w:cs="仿宋"/>
          <w:b w:val="0"/>
          <w:bCs w:val="0"/>
          <w:sz w:val="32"/>
          <w:szCs w:val="32"/>
          <w:lang w:val="en-US" w:eastAsia="zh-CN"/>
        </w:rPr>
        <w:t>310.48公顷（约4657.20亩），含商住类供地项目43</w:t>
      </w:r>
      <w:r>
        <w:rPr>
          <w:rFonts w:hint="eastAsia" w:ascii="仿宋" w:hAnsi="仿宋" w:eastAsia="仿宋" w:cs="仿宋"/>
          <w:b w:val="0"/>
          <w:bCs w:val="0"/>
          <w:sz w:val="32"/>
          <w:szCs w:val="32"/>
          <w:lang w:eastAsia="zh-CN"/>
        </w:rPr>
        <w:t>个，用地面积约</w:t>
      </w:r>
      <w:r>
        <w:rPr>
          <w:rFonts w:hint="eastAsia" w:ascii="仿宋" w:hAnsi="仿宋" w:eastAsia="仿宋" w:cs="仿宋"/>
          <w:b w:val="0"/>
          <w:bCs w:val="0"/>
          <w:sz w:val="32"/>
          <w:szCs w:val="32"/>
          <w:lang w:val="en-US" w:eastAsia="zh-CN"/>
        </w:rPr>
        <w:t>70.31公顷（约1054.65</w:t>
      </w:r>
      <w:r>
        <w:rPr>
          <w:rFonts w:hint="eastAsia" w:ascii="仿宋" w:hAnsi="仿宋" w:eastAsia="仿宋" w:cs="仿宋"/>
          <w:b w:val="0"/>
          <w:bCs w:val="0"/>
          <w:sz w:val="32"/>
          <w:szCs w:val="32"/>
          <w:lang w:eastAsia="zh-CN"/>
        </w:rPr>
        <w:t>亩）</w:t>
      </w:r>
      <w:r>
        <w:rPr>
          <w:rFonts w:hint="eastAsia" w:ascii="仿宋" w:hAnsi="仿宋" w:eastAsia="仿宋" w:cs="仿宋"/>
          <w:b w:val="0"/>
          <w:bCs w:val="0"/>
          <w:sz w:val="32"/>
          <w:szCs w:val="32"/>
          <w:lang w:val="en-US" w:eastAsia="zh-CN"/>
        </w:rPr>
        <w:t>。</w:t>
      </w:r>
    </w:p>
    <w:p w14:paraId="050A5CD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Times New Roman"/>
          <w:spacing w:val="-2"/>
          <w:kern w:val="2"/>
          <w:sz w:val="32"/>
          <w:szCs w:val="32"/>
          <w:lang w:val="en-US" w:eastAsia="zh-CN" w:bidi="ar-SA"/>
        </w:rPr>
        <w:t>（3）质量指标：</w:t>
      </w:r>
      <w:r>
        <w:rPr>
          <w:rFonts w:hint="eastAsia" w:ascii="仿宋" w:hAnsi="仿宋" w:eastAsia="仿宋" w:cs="仿宋"/>
          <w:b w:val="0"/>
          <w:bCs w:val="0"/>
          <w:sz w:val="32"/>
          <w:szCs w:val="32"/>
          <w:lang w:val="en-US" w:eastAsia="zh-CN"/>
        </w:rPr>
        <w:t>2024年5月16日，经我局报请市人民政府同意，已批准下达《关于怀化市2024年全民所有土地资产管理和土地供应计划的批复》（怀政函[2024]46号），计划已向省厅完成备案；</w:t>
      </w:r>
      <w:r>
        <w:rPr>
          <w:rFonts w:hint="eastAsia" w:ascii="仿宋" w:hAnsi="仿宋" w:eastAsia="仿宋" w:cs="仿宋"/>
          <w:b w:val="0"/>
          <w:bCs w:val="0"/>
          <w:sz w:val="32"/>
          <w:szCs w:val="32"/>
          <w:u w:val="none"/>
          <w:lang w:val="en-US" w:eastAsia="zh-CN"/>
        </w:rPr>
        <w:t>重点以湘商大会、旅发大会及仙人桥、高铁新城片区等重点项目为抓手，2024年先后</w:t>
      </w:r>
      <w:r>
        <w:rPr>
          <w:rFonts w:hint="eastAsia" w:ascii="仿宋" w:hAnsi="仿宋" w:eastAsia="仿宋" w:cs="仿宋"/>
          <w:b w:val="0"/>
          <w:bCs w:val="0"/>
          <w:color w:val="auto"/>
          <w:sz w:val="30"/>
          <w:szCs w:val="30"/>
          <w:u w:val="none"/>
          <w:lang w:val="en-US" w:eastAsia="zh-CN"/>
        </w:rPr>
        <w:t>完成了温德姆酒周边配套用地（全球湘商大会项目）、原莱孚铝厂（招商新华集团项目）、盛唐绿洲、高铁新城片区鹏飞电脑学校（新树仁驾校）、鸭嘴岩加油站、中央储粮怀化直属库公司用地新址等一批重点项目收储工作，确保了重点项目的供应。</w:t>
      </w:r>
    </w:p>
    <w:p w14:paraId="335FA0A8">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（4）时效指标：工作完成及时性，2024年12月之前完成目标；</w:t>
      </w:r>
    </w:p>
    <w:p w14:paraId="215A755D">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（5）社会效益指标：积极化解矛盾纠纷，消除了社会不稳定因素；</w:t>
      </w:r>
    </w:p>
    <w:p w14:paraId="21330816">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（6）满意度指标：社会公众满意度</w:t>
      </w:r>
      <w:r>
        <w:rPr>
          <w:rFonts w:hint="eastAsia" w:ascii="仿宋" w:hAnsi="仿宋" w:eastAsia="仿宋" w:cs="Times New Roman"/>
          <w:spacing w:val="-2"/>
          <w:kern w:val="2"/>
          <w:sz w:val="32"/>
          <w:szCs w:val="32"/>
          <w:lang w:val="en-US" w:eastAsia="zh-CN" w:bidi="ar-SA"/>
        </w:rPr>
        <w:t>≥90%。</w:t>
      </w:r>
    </w:p>
    <w:p w14:paraId="1B6305A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分析评价申报内容是否与实际相符,申报目标是否合理可行</w:t>
      </w:r>
      <w:r>
        <w:rPr>
          <w:rFonts w:hint="eastAsia" w:ascii="Times New Roman Regular" w:hAnsi="Times New Roman Regular" w:eastAsia="仿宋_GB2312" w:cs="Times New Roman Regular"/>
          <w:color w:val="auto"/>
          <w:sz w:val="32"/>
          <w:szCs w:val="32"/>
          <w:highlight w:val="none"/>
          <w:lang w:val="en-US" w:eastAsia="zh-CN"/>
        </w:rPr>
        <w:t>。</w:t>
      </w:r>
    </w:p>
    <w:p w14:paraId="3F311D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分析评价申报内容与实际相符，申报目标合理可行</w:t>
      </w:r>
      <w:r>
        <w:rPr>
          <w:rFonts w:hint="eastAsia" w:ascii="Times New Roman Regular" w:hAnsi="Times New Roman Regular" w:eastAsia="仿宋_GB2312" w:cs="Times New Roman Regular"/>
          <w:color w:val="auto"/>
          <w:sz w:val="32"/>
          <w:szCs w:val="32"/>
          <w:highlight w:val="none"/>
          <w:lang w:val="en-US" w:eastAsia="zh-CN"/>
        </w:rPr>
        <w:t>。</w:t>
      </w:r>
    </w:p>
    <w:p w14:paraId="3433A06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81" w:firstLineChars="1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项目自评步骤及方法</w:t>
      </w:r>
    </w:p>
    <w:p w14:paraId="08206F4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说明项目绩效自评采用的组织实施步骤及方法。</w:t>
      </w:r>
    </w:p>
    <w:p w14:paraId="533A95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eastAsia"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（一）准备阶段：组织学习财政支出绩效自评的相关规定，确定评价范围和对象，明确评价的目的、内容、任务、依据，掌握评价的时间和有关要求。</w:t>
      </w:r>
    </w:p>
    <w:p w14:paraId="0F103F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eastAsia"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（二）实施阶段：下发绩效自评工作通知，安排绩效自评工作，制定评价指标体系；组织部门自评并上报自评报告，汇总绩效自评后，上报财政局审核。</w:t>
      </w:r>
    </w:p>
    <w:p w14:paraId="0D03B9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eastAsia"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（三）总结阶段：总结评价工作经验，进行一步完善绩效自评指标体系，装订归档绩效自评资料。在单位门户网站公示绩效自评报告，接受监督检查。</w:t>
      </w:r>
    </w:p>
    <w:p w14:paraId="523CB30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14:paraId="63B6AA1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项目资金申报及批复情况</w:t>
      </w:r>
    </w:p>
    <w:p w14:paraId="438AD0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default" w:ascii="仿宋" w:hAnsi="Calibri" w:eastAsia="仿宋" w:cs="Times New Roman"/>
          <w:kern w:val="2"/>
          <w:sz w:val="32"/>
          <w:szCs w:val="32"/>
          <w:lang w:val="en-US" w:eastAsia="zh-CN" w:bidi="ar-SA"/>
        </w:rPr>
        <w:t>严格按照项目资金相关程序、规定和要求，对项目进行申报及批复</w:t>
      </w:r>
      <w:r>
        <w:rPr>
          <w:rFonts w:hint="eastAsia" w:ascii="仿宋" w:hAnsi="Calibri" w:eastAsia="仿宋" w:cs="Times New Roman"/>
          <w:kern w:val="2"/>
          <w:sz w:val="32"/>
          <w:szCs w:val="32"/>
          <w:lang w:val="en-US" w:eastAsia="zh-CN" w:bidi="ar-SA"/>
        </w:rPr>
        <w:t>。2024年度土地储备专项经费批复33,929.14万元</w:t>
      </w:r>
      <w:r>
        <w:rPr>
          <w:rFonts w:hint="default" w:ascii="仿宋" w:hAnsi="Calibri" w:eastAsia="仿宋" w:cs="Times New Roman"/>
          <w:kern w:val="2"/>
          <w:sz w:val="32"/>
          <w:szCs w:val="32"/>
          <w:lang w:val="en-US" w:eastAsia="zh-CN" w:bidi="ar-SA"/>
        </w:rPr>
        <w:t>。</w:t>
      </w:r>
    </w:p>
    <w:p w14:paraId="4DB9EED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资金计划、到位及使用情况(可用表格形式反映)</w:t>
      </w:r>
    </w:p>
    <w:p w14:paraId="35E38D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default" w:ascii="仿宋" w:hAnsi="Calibri" w:eastAsia="仿宋" w:cs="Times New Roman"/>
          <w:kern w:val="2"/>
          <w:sz w:val="32"/>
          <w:szCs w:val="32"/>
          <w:lang w:val="en-US" w:eastAsia="zh-CN" w:bidi="ar-SA"/>
        </w:rPr>
        <w:t>1.资金计划。</w:t>
      </w:r>
    </w:p>
    <w:p w14:paraId="798C02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default" w:ascii="仿宋" w:hAnsi="Calibri" w:eastAsia="仿宋" w:cs="Times New Roman"/>
          <w:kern w:val="2"/>
          <w:sz w:val="32"/>
          <w:szCs w:val="32"/>
          <w:lang w:val="en-US" w:eastAsia="zh-CN" w:bidi="ar-SA"/>
        </w:rPr>
        <w:t>202</w:t>
      </w:r>
      <w:r>
        <w:rPr>
          <w:rFonts w:hint="eastAsia" w:ascii="仿宋" w:hAnsi="Calibri" w:eastAsia="仿宋" w:cs="Times New Roman"/>
          <w:kern w:val="2"/>
          <w:sz w:val="32"/>
          <w:szCs w:val="32"/>
          <w:lang w:val="en-US" w:eastAsia="zh-CN" w:bidi="ar-SA"/>
        </w:rPr>
        <w:t>4</w:t>
      </w:r>
      <w:r>
        <w:rPr>
          <w:rFonts w:hint="default" w:ascii="仿宋" w:hAnsi="Calibri" w:eastAsia="仿宋" w:cs="Times New Roman"/>
          <w:kern w:val="2"/>
          <w:sz w:val="32"/>
          <w:szCs w:val="32"/>
          <w:lang w:val="en-US" w:eastAsia="zh-CN" w:bidi="ar-SA"/>
        </w:rPr>
        <w:t>年</w:t>
      </w:r>
      <w:r>
        <w:rPr>
          <w:rFonts w:hint="eastAsia" w:ascii="仿宋" w:hAnsi="Calibri" w:eastAsia="仿宋" w:cs="Times New Roman"/>
          <w:kern w:val="2"/>
          <w:sz w:val="32"/>
          <w:szCs w:val="32"/>
          <w:lang w:val="en-US" w:eastAsia="zh-CN" w:bidi="ar-SA"/>
        </w:rPr>
        <w:t>度</w:t>
      </w:r>
      <w:r>
        <w:rPr>
          <w:rFonts w:hint="default" w:ascii="仿宋" w:hAnsi="Calibri" w:eastAsia="仿宋" w:cs="Times New Roman"/>
          <w:kern w:val="2"/>
          <w:sz w:val="32"/>
          <w:szCs w:val="32"/>
          <w:lang w:val="en-US" w:eastAsia="zh-CN" w:bidi="ar-SA"/>
        </w:rPr>
        <w:t>资金计划为下达</w:t>
      </w:r>
      <w:r>
        <w:rPr>
          <w:rFonts w:hint="eastAsia" w:ascii="仿宋" w:hAnsi="Calibri" w:eastAsia="仿宋" w:cs="Times New Roman"/>
          <w:kern w:val="2"/>
          <w:sz w:val="32"/>
          <w:szCs w:val="32"/>
          <w:lang w:val="en-US" w:eastAsia="zh-CN" w:bidi="ar-SA"/>
        </w:rPr>
        <w:t>本单位</w:t>
      </w:r>
      <w:r>
        <w:rPr>
          <w:rFonts w:hint="default" w:ascii="仿宋" w:hAnsi="Calibri" w:eastAsia="仿宋" w:cs="Times New Roman"/>
          <w:kern w:val="2"/>
          <w:sz w:val="32"/>
          <w:szCs w:val="32"/>
          <w:lang w:val="en-US" w:eastAsia="zh-CN" w:bidi="ar-SA"/>
        </w:rPr>
        <w:t>财政资金</w:t>
      </w:r>
      <w:r>
        <w:rPr>
          <w:rFonts w:hint="eastAsia" w:ascii="仿宋" w:hAnsi="Calibri" w:eastAsia="仿宋" w:cs="Times New Roman"/>
          <w:kern w:val="2"/>
          <w:sz w:val="32"/>
          <w:szCs w:val="32"/>
          <w:lang w:val="en-US" w:eastAsia="zh-CN" w:bidi="ar-SA"/>
        </w:rPr>
        <w:t>33,929.14</w:t>
      </w:r>
      <w:r>
        <w:rPr>
          <w:rFonts w:hint="default" w:ascii="仿宋" w:hAnsi="Calibri" w:eastAsia="仿宋" w:cs="Times New Roman"/>
          <w:kern w:val="2"/>
          <w:sz w:val="32"/>
          <w:szCs w:val="32"/>
          <w:lang w:val="en-US" w:eastAsia="zh-CN" w:bidi="ar-SA"/>
        </w:rPr>
        <w:t>万元，</w:t>
      </w:r>
      <w:r>
        <w:rPr>
          <w:rFonts w:hint="eastAsia" w:ascii="仿宋" w:hAnsi="Calibri" w:eastAsia="仿宋" w:cs="Times New Roman"/>
          <w:kern w:val="2"/>
          <w:sz w:val="32"/>
          <w:szCs w:val="32"/>
          <w:lang w:val="en-US" w:eastAsia="zh-CN" w:bidi="ar-SA"/>
        </w:rPr>
        <w:t>为市财政局拨付</w:t>
      </w:r>
      <w:r>
        <w:rPr>
          <w:rFonts w:hint="default" w:ascii="仿宋" w:hAnsi="Calibri" w:eastAsia="仿宋" w:cs="Times New Roman"/>
          <w:kern w:val="2"/>
          <w:sz w:val="32"/>
          <w:szCs w:val="32"/>
          <w:lang w:val="en-US" w:eastAsia="zh-CN" w:bidi="ar-SA"/>
        </w:rPr>
        <w:t>。</w:t>
      </w:r>
    </w:p>
    <w:p w14:paraId="23533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2.</w:t>
      </w:r>
      <w:r>
        <w:rPr>
          <w:rFonts w:hint="default" w:ascii="仿宋" w:hAnsi="Calibri" w:eastAsia="仿宋" w:cs="Times New Roman"/>
          <w:kern w:val="2"/>
          <w:sz w:val="32"/>
          <w:szCs w:val="32"/>
          <w:lang w:val="en-US" w:eastAsia="zh-CN" w:bidi="ar-SA"/>
        </w:rPr>
        <w:t>资金到位。</w:t>
      </w:r>
    </w:p>
    <w:p w14:paraId="133F43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default" w:ascii="仿宋" w:hAnsi="Calibri" w:eastAsia="仿宋" w:cs="Times New Roman"/>
          <w:kern w:val="2"/>
          <w:sz w:val="32"/>
          <w:szCs w:val="32"/>
          <w:lang w:val="en-US" w:eastAsia="zh-CN" w:bidi="ar-SA"/>
        </w:rPr>
        <w:t>202</w:t>
      </w:r>
      <w:r>
        <w:rPr>
          <w:rFonts w:hint="eastAsia" w:ascii="仿宋" w:hAnsi="Calibri" w:eastAsia="仿宋" w:cs="Times New Roman"/>
          <w:kern w:val="2"/>
          <w:sz w:val="32"/>
          <w:szCs w:val="32"/>
          <w:lang w:val="en-US" w:eastAsia="zh-CN" w:bidi="ar-SA"/>
        </w:rPr>
        <w:t>4</w:t>
      </w:r>
      <w:r>
        <w:rPr>
          <w:rFonts w:hint="default" w:ascii="仿宋" w:hAnsi="Calibri" w:eastAsia="仿宋" w:cs="Times New Roman"/>
          <w:kern w:val="2"/>
          <w:sz w:val="32"/>
          <w:szCs w:val="32"/>
          <w:lang w:val="en-US" w:eastAsia="zh-CN" w:bidi="ar-SA"/>
        </w:rPr>
        <w:t>年项目资金下达</w:t>
      </w:r>
      <w:r>
        <w:rPr>
          <w:rFonts w:hint="eastAsia" w:ascii="仿宋" w:hAnsi="Calibri" w:eastAsia="仿宋" w:cs="Times New Roman"/>
          <w:kern w:val="2"/>
          <w:sz w:val="32"/>
          <w:szCs w:val="32"/>
          <w:lang w:val="en-US" w:eastAsia="zh-CN" w:bidi="ar-SA"/>
        </w:rPr>
        <w:t>33,929.14</w:t>
      </w:r>
      <w:r>
        <w:rPr>
          <w:rFonts w:hint="default" w:ascii="仿宋" w:hAnsi="Calibri" w:eastAsia="仿宋" w:cs="Times New Roman"/>
          <w:kern w:val="2"/>
          <w:sz w:val="32"/>
          <w:szCs w:val="32"/>
          <w:lang w:val="en-US" w:eastAsia="zh-CN" w:bidi="ar-SA"/>
        </w:rPr>
        <w:t>万元，资金全部到位。资金到位</w:t>
      </w:r>
      <w:r>
        <w:rPr>
          <w:rFonts w:hint="eastAsia" w:ascii="仿宋" w:hAnsi="Calibri" w:eastAsia="仿宋" w:cs="Times New Roman"/>
          <w:kern w:val="2"/>
          <w:sz w:val="32"/>
          <w:szCs w:val="32"/>
          <w:lang w:val="en-US" w:eastAsia="zh-CN" w:bidi="ar-SA"/>
        </w:rPr>
        <w:t>率</w:t>
      </w:r>
      <w:r>
        <w:rPr>
          <w:rFonts w:hint="default" w:ascii="仿宋" w:hAnsi="Calibri" w:eastAsia="仿宋" w:cs="Times New Roman"/>
          <w:kern w:val="2"/>
          <w:sz w:val="32"/>
          <w:szCs w:val="32"/>
          <w:lang w:val="en-US" w:eastAsia="zh-CN" w:bidi="ar-SA"/>
        </w:rPr>
        <w:t>100%，配套资金筹措有力，资金及时到位。</w:t>
      </w:r>
    </w:p>
    <w:p w14:paraId="24D52B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3.</w:t>
      </w:r>
      <w:r>
        <w:rPr>
          <w:rFonts w:hint="default" w:ascii="仿宋" w:hAnsi="Calibri" w:eastAsia="仿宋" w:cs="Times New Roman"/>
          <w:kern w:val="2"/>
          <w:sz w:val="32"/>
          <w:szCs w:val="32"/>
          <w:lang w:val="en-US" w:eastAsia="zh-CN" w:bidi="ar-SA"/>
        </w:rPr>
        <w:t>资金使用。</w:t>
      </w:r>
    </w:p>
    <w:p w14:paraId="072C50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default" w:ascii="仿宋" w:hAnsi="Calibri" w:eastAsia="仿宋" w:cs="Times New Roman"/>
          <w:kern w:val="2"/>
          <w:sz w:val="32"/>
          <w:szCs w:val="32"/>
          <w:lang w:val="en-US" w:eastAsia="zh-CN" w:bidi="ar-SA"/>
        </w:rPr>
        <w:t>202</w:t>
      </w:r>
      <w:r>
        <w:rPr>
          <w:rFonts w:hint="eastAsia" w:ascii="仿宋" w:hAnsi="Calibri" w:eastAsia="仿宋" w:cs="Times New Roman"/>
          <w:kern w:val="2"/>
          <w:sz w:val="32"/>
          <w:szCs w:val="32"/>
          <w:lang w:val="en-US" w:eastAsia="zh-CN" w:bidi="ar-SA"/>
        </w:rPr>
        <w:t>4</w:t>
      </w:r>
      <w:r>
        <w:rPr>
          <w:rFonts w:hint="default" w:ascii="仿宋" w:hAnsi="Calibri" w:eastAsia="仿宋" w:cs="Times New Roman"/>
          <w:kern w:val="2"/>
          <w:sz w:val="32"/>
          <w:szCs w:val="32"/>
          <w:lang w:val="en-US" w:eastAsia="zh-CN" w:bidi="ar-SA"/>
        </w:rPr>
        <w:t>年项目资金支付</w:t>
      </w:r>
      <w:r>
        <w:rPr>
          <w:rFonts w:hint="eastAsia" w:ascii="仿宋" w:hAnsi="Calibri" w:eastAsia="仿宋" w:cs="Times New Roman"/>
          <w:kern w:val="2"/>
          <w:sz w:val="32"/>
          <w:szCs w:val="32"/>
          <w:lang w:val="en-US" w:eastAsia="zh-CN" w:bidi="ar-SA"/>
        </w:rPr>
        <w:t>33,929.14</w:t>
      </w:r>
      <w:r>
        <w:rPr>
          <w:rFonts w:hint="default" w:ascii="仿宋" w:hAnsi="Calibri" w:eastAsia="仿宋" w:cs="Times New Roman"/>
          <w:kern w:val="2"/>
          <w:sz w:val="32"/>
          <w:szCs w:val="32"/>
          <w:lang w:val="en-US" w:eastAsia="zh-CN" w:bidi="ar-SA"/>
        </w:rPr>
        <w:t>万元。资金开支范围、标准及支付进度等合规合法，资金支付预算相符。</w:t>
      </w:r>
    </w:p>
    <w:p w14:paraId="364FA7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14:paraId="32E0CE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4" w:lineRule="atLeast"/>
        <w:ind w:left="0" w:right="0" w:firstLine="640" w:firstLineChars="200"/>
        <w:jc w:val="left"/>
        <w:textAlignment w:val="auto"/>
        <w:rPr>
          <w:rFonts w:hint="default" w:ascii="仿宋" w:hAnsi="Calibri" w:eastAsia="仿宋" w:cs="Times New Roman"/>
          <w:kern w:val="2"/>
          <w:sz w:val="32"/>
          <w:szCs w:val="32"/>
          <w:lang w:val="en-US" w:eastAsia="zh-CN" w:bidi="ar-SA"/>
        </w:rPr>
      </w:pPr>
      <w:r>
        <w:rPr>
          <w:rFonts w:hint="eastAsia" w:ascii="仿宋" w:hAnsi="Calibri" w:eastAsia="仿宋" w:cs="Times New Roman"/>
          <w:kern w:val="2"/>
          <w:sz w:val="32"/>
          <w:szCs w:val="32"/>
          <w:lang w:val="en-US" w:eastAsia="zh-CN" w:bidi="ar-SA"/>
        </w:rPr>
        <w:t>在制度建设方面，紧扣制度建设重点，围绕预算编制、预算执行、支付管理、监督保障等方面，不断建立完善了各项规章制度，建立用制度管人、管事、管财的长效机制，并在实际工作中不断健全完善管理办法和内控制度，认真贯彻执行，确保资金使用安全、合规。在预算执行管理方面，严格按照市财政局关于进一步加强预算执行管理的通知要求，切实履行预算管理职责，加强预算执行的监督管理，维护预算的严肃性。按照财政预算执行进度要求，定期通报预算执行进度情况，分析解决预算执行中存在的问题和困难，根据预算项目用途，确保专款专用，加快预算执行进度。</w:t>
      </w:r>
      <w:r>
        <w:rPr>
          <w:rFonts w:hint="default" w:ascii="仿宋" w:hAnsi="Calibri" w:eastAsia="仿宋" w:cs="Times New Roman"/>
          <w:kern w:val="2"/>
          <w:sz w:val="32"/>
          <w:szCs w:val="32"/>
          <w:lang w:val="en-US" w:eastAsia="zh-CN" w:bidi="ar-SA"/>
        </w:rPr>
        <w:t>严格实行</w:t>
      </w:r>
      <w:r>
        <w:rPr>
          <w:rFonts w:hint="eastAsia" w:ascii="仿宋" w:hAnsi="Calibri" w:eastAsia="仿宋" w:cs="Times New Roman"/>
          <w:kern w:val="2"/>
          <w:sz w:val="32"/>
          <w:szCs w:val="32"/>
          <w:lang w:val="en-US" w:eastAsia="zh-CN" w:bidi="ar-SA"/>
        </w:rPr>
        <w:t> 专项资金管理制度，专户管理、专项核算、专款专用，账务处理及时，会计核算规范</w:t>
      </w:r>
      <w:r>
        <w:rPr>
          <w:rFonts w:hint="default" w:ascii="仿宋" w:hAnsi="Calibri" w:eastAsia="仿宋" w:cs="Times New Roman"/>
          <w:kern w:val="2"/>
          <w:sz w:val="32"/>
          <w:szCs w:val="32"/>
          <w:lang w:val="en-US" w:eastAsia="zh-CN" w:bidi="ar-SA"/>
        </w:rPr>
        <w:t>。</w:t>
      </w:r>
    </w:p>
    <w:p w14:paraId="579C036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14:paraId="1C45045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项目组织架构及实施流程</w:t>
      </w:r>
    </w:p>
    <w:p w14:paraId="2F0A6B6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为了加强对项目实施，单位确定各业务、专职干部与相关部门汇报、沟通和衔接，争取更多资金，切实对项目实行跟踪式服务，从项目的联系洽谈、项目跟进、资金投入等环节实行全程专人负责，确保项目落地投产。</w:t>
      </w:r>
    </w:p>
    <w:p w14:paraId="587B13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项目管理情况</w:t>
      </w:r>
    </w:p>
    <w:p w14:paraId="4235DA7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为规范、合理、安全、有效使用专项资金，我单位制定了《财务管理制度》等相关制度，专项资金的管理和使用，遵循公开、公平、公正和统筹兼顾、突出重点、讲求效益的原则，确保专项资金使用的规范、安全和高效。为规范项目建设管理，我单位切实对项目实行跟踪式服务，从项目资金的下拨、项目跟进、资金投入等环节设置专门科室负责监督和管理，确保项目的实施和建设。</w:t>
      </w:r>
    </w:p>
    <w:p w14:paraId="79FD4BD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项目监管情况</w:t>
      </w:r>
    </w:p>
    <w:p w14:paraId="061BCCC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按照本单位采取的项目管理办法对项目的执行进度严格监管，项目资金严格把控审批与支付流程，对</w:t>
      </w:r>
      <w:r>
        <w:rPr>
          <w:rFonts w:hint="default" w:ascii="仿宋" w:hAnsi="仿宋" w:eastAsia="仿宋" w:cs="Times New Roman"/>
          <w:spacing w:val="-2"/>
          <w:kern w:val="2"/>
          <w:sz w:val="32"/>
          <w:szCs w:val="32"/>
          <w:lang w:val="en-US" w:eastAsia="zh-CN" w:bidi="ar-SA"/>
        </w:rPr>
        <w:t>项目资金阶段性完成情况进行动态跟踪监控、监督检查纠偏处理、改进完善等管理活动。</w:t>
      </w:r>
    </w:p>
    <w:p w14:paraId="07DA9A5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四、项目绩效情况</w:t>
      </w:r>
    </w:p>
    <w:p w14:paraId="2A6416F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项目完成情况</w:t>
      </w:r>
    </w:p>
    <w:p w14:paraId="16439BF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1.成本指标</w:t>
      </w:r>
    </w:p>
    <w:p w14:paraId="106EAD9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投入经费成本33,929.14万元;社会成本节约率0%；生态环境成本节约率0%，完成年初目标。</w:t>
      </w:r>
    </w:p>
    <w:p w14:paraId="194B26A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2.产出指标</w:t>
      </w:r>
    </w:p>
    <w:p w14:paraId="4920AF3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Times New Roman"/>
          <w:spacing w:val="-2"/>
          <w:kern w:val="2"/>
          <w:sz w:val="32"/>
          <w:szCs w:val="32"/>
          <w:lang w:val="en-US" w:eastAsia="zh-CN" w:bidi="ar-SA"/>
        </w:rPr>
        <w:t>（1）数量指标：</w:t>
      </w:r>
      <w:r>
        <w:rPr>
          <w:rFonts w:hint="eastAsia" w:ascii="仿宋" w:hAnsi="仿宋" w:eastAsia="仿宋" w:cs="仿宋"/>
          <w:b w:val="0"/>
          <w:bCs w:val="0"/>
          <w:sz w:val="32"/>
          <w:szCs w:val="32"/>
          <w:lang w:val="en-US" w:eastAsia="zh-CN"/>
        </w:rPr>
        <w:t>共筛选了146个全民所有土地资产管理和供地计划项目，总面积约651.17公顷（约9767.55亩），</w:t>
      </w:r>
      <w:r>
        <w:rPr>
          <w:rFonts w:hint="eastAsia" w:ascii="仿宋" w:hAnsi="仿宋" w:eastAsia="仿宋" w:cs="仿宋"/>
          <w:b w:val="0"/>
          <w:bCs w:val="0"/>
          <w:color w:val="auto"/>
          <w:sz w:val="32"/>
          <w:szCs w:val="32"/>
          <w:lang w:val="en-US" w:eastAsia="zh-CN"/>
        </w:rPr>
        <w:t>其中，2024年度供地计划项目共计97个，拟供应面积</w:t>
      </w:r>
      <w:r>
        <w:rPr>
          <w:rFonts w:hint="eastAsia" w:ascii="仿宋" w:hAnsi="仿宋" w:eastAsia="仿宋" w:cs="仿宋"/>
          <w:b w:val="0"/>
          <w:bCs w:val="0"/>
          <w:sz w:val="32"/>
          <w:szCs w:val="32"/>
          <w:lang w:val="en-US" w:eastAsia="zh-CN"/>
        </w:rPr>
        <w:t>310.48公顷（约4657.20亩），含商住类供地项目43</w:t>
      </w:r>
      <w:r>
        <w:rPr>
          <w:rFonts w:hint="eastAsia" w:ascii="仿宋" w:hAnsi="仿宋" w:eastAsia="仿宋" w:cs="仿宋"/>
          <w:b w:val="0"/>
          <w:bCs w:val="0"/>
          <w:sz w:val="32"/>
          <w:szCs w:val="32"/>
          <w:lang w:eastAsia="zh-CN"/>
        </w:rPr>
        <w:t>个，用地面积约</w:t>
      </w:r>
      <w:r>
        <w:rPr>
          <w:rFonts w:hint="eastAsia" w:ascii="仿宋" w:hAnsi="仿宋" w:eastAsia="仿宋" w:cs="仿宋"/>
          <w:b w:val="0"/>
          <w:bCs w:val="0"/>
          <w:sz w:val="32"/>
          <w:szCs w:val="32"/>
          <w:lang w:val="en-US" w:eastAsia="zh-CN"/>
        </w:rPr>
        <w:t>70.31公顷（约1054.65</w:t>
      </w:r>
      <w:r>
        <w:rPr>
          <w:rFonts w:hint="eastAsia" w:ascii="仿宋" w:hAnsi="仿宋" w:eastAsia="仿宋" w:cs="仿宋"/>
          <w:b w:val="0"/>
          <w:bCs w:val="0"/>
          <w:sz w:val="32"/>
          <w:szCs w:val="32"/>
          <w:lang w:eastAsia="zh-CN"/>
        </w:rPr>
        <w:t>亩）</w:t>
      </w:r>
      <w:r>
        <w:rPr>
          <w:rFonts w:hint="eastAsia" w:ascii="仿宋" w:hAnsi="仿宋" w:eastAsia="仿宋" w:cs="仿宋"/>
          <w:b w:val="0"/>
          <w:bCs w:val="0"/>
          <w:sz w:val="32"/>
          <w:szCs w:val="32"/>
          <w:lang w:val="en-US" w:eastAsia="zh-CN"/>
        </w:rPr>
        <w:t>。</w:t>
      </w:r>
    </w:p>
    <w:p w14:paraId="47F9F66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2）质量指标：2024年5月16日，经我局报请市人民政府同意，已批准下达《关于怀化市2024年全民所有土地资产管理和土地供应计划的批复》（怀政函[2024]46号），计划已向省厅完成备案；重点以湘商大会、旅发大会及仙人桥、高铁新城片区等重点项目为抓手，2024年先后完成了温德姆酒周边配套用地（全球湘商大会项目）、原莱孚铝厂（招商新华集团项目）、盛唐绿洲、高铁新城片区鹏飞电脑学校（新树仁驾校）、鸭嘴岩加油站、中央储粮怀化直属库公司用地新址等一批重点项目收储工作，确保了重点项目的供应。</w:t>
      </w:r>
    </w:p>
    <w:p w14:paraId="4489E7A8">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highlight w:val="none"/>
          <w:lang w:val="en-US" w:eastAsia="zh-CN" w:bidi="ar-SA"/>
        </w:rPr>
        <w:t>（3）时效指标：完成及时，2024年12月底之前完成</w:t>
      </w:r>
      <w:r>
        <w:rPr>
          <w:rFonts w:hint="eastAsia" w:ascii="仿宋" w:hAnsi="仿宋" w:eastAsia="仿宋" w:cs="Times New Roman"/>
          <w:spacing w:val="-2"/>
          <w:kern w:val="2"/>
          <w:sz w:val="32"/>
          <w:szCs w:val="32"/>
          <w:lang w:val="en-US" w:eastAsia="zh-CN" w:bidi="ar-SA"/>
        </w:rPr>
        <w:t>。</w:t>
      </w:r>
    </w:p>
    <w:p w14:paraId="1D3D368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项目效益情况</w:t>
      </w:r>
    </w:p>
    <w:p w14:paraId="58ECC7C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1.项目的经济效益</w:t>
      </w:r>
    </w:p>
    <w:p w14:paraId="047C314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通过实施该项目，积极开展怀化市建设用地项目的报批工作，推进公共设施事业发展；依法征地拆迁，积极开展征拆工作，为项目的建设提供了充足的土地储备保障，加快了经济全面发展；坚持城乡规划引领城镇发展，科学合理布局生产建设、生活居住、公共设施，减少了重复建设，提高了经济效益；发放征地拆迁补偿资金，增加了农民的收入。该项目经济效益显著。</w:t>
      </w:r>
    </w:p>
    <w:p w14:paraId="3A678B0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2.项目的社会效益</w:t>
      </w:r>
    </w:p>
    <w:p w14:paraId="35E56E1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通过实施该项目，做好安置点建设，维护群众利益；依法征地拆迁，及时化解因征拆土地权属等纠纷产生的矛盾问题，密切了干群关系，维护社会稳定；各项征拆工作顺利开展，切实改变城乡面貌，不断提升城市品质。项目社会效益显著。</w:t>
      </w:r>
    </w:p>
    <w:p w14:paraId="1F2C6F17">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3.项目的生态效益</w:t>
      </w:r>
    </w:p>
    <w:p w14:paraId="57D9974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通过实施该项目，依法征地拆迁，坚持城乡规划引领城镇发展，科学合理布局生产建设、生活居住、公共设施，统筹工业区、商业区、生活区等的空间布局，实现人与自然的和谐，项目生态环境效益良好。</w:t>
      </w:r>
    </w:p>
    <w:p w14:paraId="307AFF9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16" w:firstLineChars="100"/>
        <w:jc w:val="both"/>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 xml:space="preserve"> 4.满意度指标人民群众满意度达 95%。完成年初目标。</w:t>
      </w:r>
    </w:p>
    <w:p w14:paraId="0EC689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评价结论及建议</w:t>
      </w:r>
    </w:p>
    <w:p w14:paraId="2737626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评价结论</w:t>
      </w:r>
    </w:p>
    <w:p w14:paraId="78BA136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根据2024年度绩效评价指标，根据本单位在2024年度实际按照绩效指标设立的完成情况综合分析，该项目综合得分为100分，绩效评价等级为优。</w:t>
      </w:r>
    </w:p>
    <w:p w14:paraId="3843F06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存在的问题</w:t>
      </w:r>
    </w:p>
    <w:p w14:paraId="73C44CC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我单位财政支出绩效管理工作还存在绩效目标申报不够全面，绩效指标量化不够，绩效评价手段和方法有待优化，绩效自评组织实施还不够规范等问题。</w:t>
      </w:r>
    </w:p>
    <w:p w14:paraId="6E5EDDA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相关建议</w:t>
      </w:r>
    </w:p>
    <w:p w14:paraId="06DDDA9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建议继续加强对各部门申报项目的指导，使项目编制更加符合绩效评价相关要求，适时开展培训，提高各部门、实施单位对专项资金使用绩效评价工作，重要意义的认识，牢固树立绩效管理理念，同时进一步提高绩效评价工作方式、方法，将已完成的所有工作绩效成果充分体现出来。</w:t>
      </w:r>
    </w:p>
    <w:p w14:paraId="4D8AC32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jc w:val="both"/>
        <w:textAlignment w:val="auto"/>
        <w:rPr>
          <w:rFonts w:hint="default" w:ascii="仿宋" w:hAnsi="仿宋" w:eastAsia="仿宋" w:cs="Times New Roman"/>
          <w:spacing w:val="-2"/>
          <w:kern w:val="2"/>
          <w:sz w:val="32"/>
          <w:szCs w:val="32"/>
          <w:lang w:val="en-US" w:eastAsia="zh-CN" w:bidi="ar-SA"/>
        </w:rPr>
      </w:pPr>
    </w:p>
    <w:p w14:paraId="4FBDB2B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D5C496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A5CA6C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4811DF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附件7</w:t>
      </w:r>
    </w:p>
    <w:p w14:paraId="29B5B4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市直部门绩效联络员名单统计表</w:t>
      </w:r>
    </w:p>
    <w:p w14:paraId="121800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184"/>
        <w:gridCol w:w="2184"/>
        <w:gridCol w:w="2184"/>
      </w:tblGrid>
      <w:tr w14:paraId="16D4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506388FE">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部门单位名称</w:t>
            </w:r>
          </w:p>
        </w:tc>
        <w:tc>
          <w:tcPr>
            <w:tcW w:w="2184" w:type="dxa"/>
          </w:tcPr>
          <w:p w14:paraId="7FA37DC0">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绩效联络员姓名</w:t>
            </w:r>
          </w:p>
        </w:tc>
        <w:tc>
          <w:tcPr>
            <w:tcW w:w="2184" w:type="dxa"/>
          </w:tcPr>
          <w:p w14:paraId="7E5E031F">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职务职级</w:t>
            </w:r>
          </w:p>
        </w:tc>
        <w:tc>
          <w:tcPr>
            <w:tcW w:w="2184" w:type="dxa"/>
          </w:tcPr>
          <w:p w14:paraId="1382502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color w:val="auto"/>
                <w:sz w:val="24"/>
                <w:szCs w:val="24"/>
                <w:highlight w:val="none"/>
                <w:vertAlign w:val="baseline"/>
                <w:lang w:val="en-US" w:eastAsia="zh-CN"/>
              </w:rPr>
              <w:t xml:space="preserve">  </w:t>
            </w:r>
            <w:r>
              <w:rPr>
                <w:rFonts w:hint="eastAsia" w:ascii="Times New Roman Regular" w:hAnsi="Times New Roman Regular" w:eastAsia="仿宋_GB2312" w:cs="Times New Roman Regular"/>
                <w:b/>
                <w:bCs/>
                <w:color w:val="auto"/>
                <w:sz w:val="24"/>
                <w:szCs w:val="24"/>
                <w:highlight w:val="none"/>
                <w:vertAlign w:val="baseline"/>
                <w:lang w:val="en-US" w:eastAsia="zh-CN"/>
              </w:rPr>
              <w:t xml:space="preserve"> 联系方式</w:t>
            </w:r>
          </w:p>
        </w:tc>
      </w:tr>
      <w:tr w14:paraId="166B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67424EE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仿宋" w:hAnsi="仿宋" w:eastAsia="仿宋" w:cs="Times New Roman"/>
                <w:spacing w:val="-2"/>
                <w:kern w:val="2"/>
                <w:sz w:val="22"/>
                <w:szCs w:val="22"/>
                <w:lang w:val="en-US" w:eastAsia="zh-CN" w:bidi="ar-SA"/>
              </w:rPr>
            </w:pPr>
            <w:r>
              <w:rPr>
                <w:rFonts w:hint="eastAsia" w:ascii="仿宋" w:hAnsi="仿宋" w:eastAsia="仿宋" w:cs="Times New Roman"/>
                <w:spacing w:val="-2"/>
                <w:kern w:val="2"/>
                <w:sz w:val="22"/>
                <w:szCs w:val="22"/>
                <w:lang w:val="en-US" w:eastAsia="zh-CN" w:bidi="ar-SA"/>
              </w:rPr>
              <w:t>怀化市土地储备中心</w:t>
            </w:r>
          </w:p>
        </w:tc>
        <w:tc>
          <w:tcPr>
            <w:tcW w:w="2184" w:type="dxa"/>
          </w:tcPr>
          <w:p w14:paraId="00BB5EB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8" w:firstLineChars="300"/>
              <w:jc w:val="both"/>
              <w:textAlignment w:val="auto"/>
              <w:rPr>
                <w:rFonts w:hint="default" w:ascii="仿宋" w:hAnsi="仿宋" w:eastAsia="仿宋" w:cs="Times New Roman"/>
                <w:spacing w:val="-2"/>
                <w:kern w:val="2"/>
                <w:sz w:val="22"/>
                <w:szCs w:val="22"/>
                <w:lang w:val="en-US" w:eastAsia="zh-CN" w:bidi="ar-SA"/>
              </w:rPr>
            </w:pPr>
            <w:r>
              <w:rPr>
                <w:rFonts w:hint="eastAsia" w:ascii="仿宋" w:hAnsi="仿宋" w:eastAsia="仿宋" w:cs="Times New Roman"/>
                <w:spacing w:val="-2"/>
                <w:kern w:val="2"/>
                <w:sz w:val="22"/>
                <w:szCs w:val="22"/>
                <w:lang w:val="en-US" w:eastAsia="zh-CN" w:bidi="ar-SA"/>
              </w:rPr>
              <w:t xml:space="preserve"> 尹强</w:t>
            </w:r>
          </w:p>
        </w:tc>
        <w:tc>
          <w:tcPr>
            <w:tcW w:w="2184" w:type="dxa"/>
          </w:tcPr>
          <w:p w14:paraId="06ACCBF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r>
              <w:rPr>
                <w:rFonts w:hint="eastAsia" w:ascii="仿宋" w:hAnsi="仿宋" w:eastAsia="仿宋" w:cs="Times New Roman"/>
                <w:spacing w:val="-2"/>
                <w:kern w:val="2"/>
                <w:sz w:val="22"/>
                <w:szCs w:val="22"/>
                <w:lang w:val="en-US" w:eastAsia="zh-CN" w:bidi="ar-SA"/>
              </w:rPr>
              <w:t xml:space="preserve">  财务</w:t>
            </w:r>
          </w:p>
        </w:tc>
        <w:tc>
          <w:tcPr>
            <w:tcW w:w="2184" w:type="dxa"/>
          </w:tcPr>
          <w:p w14:paraId="1B5B5F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bookmarkStart w:id="0" w:name="_GoBack"/>
            <w:bookmarkEnd w:id="0"/>
          </w:p>
        </w:tc>
      </w:tr>
      <w:tr w14:paraId="4984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36FC2F4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7C155CD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16D8290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1D05231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r>
      <w:tr w14:paraId="364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578C51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2D88D9C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0F53FB3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0F79A40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r>
      <w:tr w14:paraId="6C85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7E2730D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3D7FD0A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6CCC96A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543EDF1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r>
      <w:tr w14:paraId="790F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1FE41AE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214AAA2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7507118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c>
          <w:tcPr>
            <w:tcW w:w="2184" w:type="dxa"/>
          </w:tcPr>
          <w:p w14:paraId="5D31C4F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32" w:firstLineChars="200"/>
              <w:jc w:val="both"/>
              <w:textAlignment w:val="auto"/>
              <w:rPr>
                <w:rFonts w:hint="default" w:ascii="仿宋" w:hAnsi="仿宋" w:eastAsia="仿宋" w:cs="Times New Roman"/>
                <w:spacing w:val="-2"/>
                <w:kern w:val="2"/>
                <w:sz w:val="22"/>
                <w:szCs w:val="22"/>
                <w:lang w:val="en-US" w:eastAsia="zh-CN" w:bidi="ar-SA"/>
              </w:rPr>
            </w:pPr>
          </w:p>
        </w:tc>
      </w:tr>
    </w:tbl>
    <w:p w14:paraId="3B83C2D1">
      <w:pPr>
        <w:keepNext w:val="0"/>
        <w:keepLines w:val="0"/>
        <w:pageBreakBefore w:val="0"/>
        <w:widowControl w:val="0"/>
        <w:kinsoku/>
        <w:wordWrap/>
        <w:overflowPunct/>
        <w:topLinePunct w:val="0"/>
        <w:autoSpaceDE/>
        <w:autoSpaceDN/>
        <w:bidi w:val="0"/>
        <w:adjustRightInd/>
        <w:snapToGrid w:val="0"/>
        <w:spacing w:line="520" w:lineRule="exact"/>
        <w:ind w:firstLine="440" w:firstLineChars="200"/>
        <w:textAlignment w:val="auto"/>
        <w:rPr>
          <w:rFonts w:hint="default" w:ascii="Times New Roman Regular" w:hAnsi="Times New Roman Regular" w:eastAsia="仿宋_GB2312" w:cs="Times New Roman Regular"/>
          <w:color w:val="auto"/>
          <w:sz w:val="22"/>
          <w:szCs w:val="2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23029C-0C12-467D-9E37-144322B405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B1A827-3AE3-4D19-9097-D5B36E90D7C6}"/>
  </w:font>
  <w:font w:name="仿宋_GB2312">
    <w:panose1 w:val="02010609030101010101"/>
    <w:charset w:val="86"/>
    <w:family w:val="auto"/>
    <w:pitch w:val="default"/>
    <w:sig w:usb0="00000001" w:usb1="080E0000" w:usb2="00000000" w:usb3="00000000" w:csb0="00040000" w:csb1="00000000"/>
    <w:embedRegular r:id="rId3" w:fontKey="{CD39F6E6-E1A4-42FF-BC48-C516D4E3FBB6}"/>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EE9AC2C1-63FC-46A8-874D-DB4A4F95516E}"/>
  </w:font>
  <w:font w:name="方正小标宋简体">
    <w:panose1 w:val="02010600010101010101"/>
    <w:charset w:val="86"/>
    <w:family w:val="auto"/>
    <w:pitch w:val="default"/>
    <w:sig w:usb0="00000001" w:usb1="080E0000" w:usb2="00000000" w:usb3="00000000" w:csb0="00040000" w:csb1="00000000"/>
    <w:embedRegular r:id="rId5" w:fontKey="{41113BCF-AA7E-41E5-9798-9846EBD4BB02}"/>
  </w:font>
  <w:font w:name="仿宋">
    <w:panose1 w:val="02010609060101010101"/>
    <w:charset w:val="86"/>
    <w:family w:val="auto"/>
    <w:pitch w:val="default"/>
    <w:sig w:usb0="800002BF" w:usb1="38CF7CFA" w:usb2="00000016" w:usb3="00000000" w:csb0="00040001" w:csb1="00000000"/>
    <w:embedRegular r:id="rId6" w:fontKey="{CA292AC1-6DC7-47A5-BE6F-2767A23FA975}"/>
  </w:font>
  <w:font w:name="方正黑体_GBK">
    <w:panose1 w:val="03000509000000000000"/>
    <w:charset w:val="86"/>
    <w:family w:val="auto"/>
    <w:pitch w:val="default"/>
    <w:sig w:usb0="00000001" w:usb1="080E0000" w:usb2="00000000" w:usb3="00000000" w:csb0="00040000" w:csb1="00000000"/>
    <w:embedRegular r:id="rId7" w:fontKey="{9E07CA14-938C-4610-ACCA-60F783ED8D42}"/>
  </w:font>
  <w:font w:name="Times New Roman Regular">
    <w:altName w:val="Times New Roman"/>
    <w:panose1 w:val="02020603050405020304"/>
    <w:charset w:val="00"/>
    <w:family w:val="auto"/>
    <w:pitch w:val="default"/>
    <w:sig w:usb0="00000000" w:usb1="00000000" w:usb2="00000009" w:usb3="00000000" w:csb0="400001FF" w:csb1="FFFF0000"/>
    <w:embedRegular r:id="rId8" w:fontKey="{D5FC06AA-89F0-4F15-B21A-DA190A18DDC1}"/>
  </w:font>
  <w:font w:name="方正仿宋_GB2312">
    <w:panose1 w:val="02000000000000000000"/>
    <w:charset w:val="86"/>
    <w:family w:val="auto"/>
    <w:pitch w:val="default"/>
    <w:sig w:usb0="A00002BF" w:usb1="184F6CFA" w:usb2="00000012" w:usb3="00000000" w:csb0="00040001" w:csb1="00000000"/>
    <w:embedRegular r:id="rId9" w:fontKey="{90047E40-0223-440F-AF0F-2FAC8851B2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DA3EA5"/>
    <w:rsid w:val="00F27441"/>
    <w:rsid w:val="02330C86"/>
    <w:rsid w:val="02F85826"/>
    <w:rsid w:val="05467D5B"/>
    <w:rsid w:val="056326BB"/>
    <w:rsid w:val="05D1260E"/>
    <w:rsid w:val="05E732EC"/>
    <w:rsid w:val="05E95AA6"/>
    <w:rsid w:val="05E964FB"/>
    <w:rsid w:val="068B17DF"/>
    <w:rsid w:val="071E2D3E"/>
    <w:rsid w:val="07283BBC"/>
    <w:rsid w:val="07866B35"/>
    <w:rsid w:val="08CA1708"/>
    <w:rsid w:val="09246605"/>
    <w:rsid w:val="09FB55B8"/>
    <w:rsid w:val="0AEC35AC"/>
    <w:rsid w:val="0B074C74"/>
    <w:rsid w:val="0B7003AA"/>
    <w:rsid w:val="0C180A78"/>
    <w:rsid w:val="0C491D7D"/>
    <w:rsid w:val="0D276746"/>
    <w:rsid w:val="0D464D9C"/>
    <w:rsid w:val="0DD52794"/>
    <w:rsid w:val="0E956870"/>
    <w:rsid w:val="0FA87068"/>
    <w:rsid w:val="0FC17A7B"/>
    <w:rsid w:val="10AF3221"/>
    <w:rsid w:val="10C666A5"/>
    <w:rsid w:val="1223366A"/>
    <w:rsid w:val="12B653D2"/>
    <w:rsid w:val="13F53078"/>
    <w:rsid w:val="143877FD"/>
    <w:rsid w:val="14DE3B0C"/>
    <w:rsid w:val="156F6E5A"/>
    <w:rsid w:val="159E5049"/>
    <w:rsid w:val="15A87985"/>
    <w:rsid w:val="164F5C2A"/>
    <w:rsid w:val="175E0F34"/>
    <w:rsid w:val="176B0033"/>
    <w:rsid w:val="17FCFFF6"/>
    <w:rsid w:val="18155A97"/>
    <w:rsid w:val="18A92683"/>
    <w:rsid w:val="197F71C1"/>
    <w:rsid w:val="19BE1F2F"/>
    <w:rsid w:val="19E805B2"/>
    <w:rsid w:val="1BB03B3E"/>
    <w:rsid w:val="1BCD48DA"/>
    <w:rsid w:val="1CBF872E"/>
    <w:rsid w:val="1D254DE8"/>
    <w:rsid w:val="1D314D7C"/>
    <w:rsid w:val="1E51534F"/>
    <w:rsid w:val="1F0D3312"/>
    <w:rsid w:val="1F10520A"/>
    <w:rsid w:val="200C0B9F"/>
    <w:rsid w:val="2011123A"/>
    <w:rsid w:val="207812B9"/>
    <w:rsid w:val="22FE234B"/>
    <w:rsid w:val="235B7D44"/>
    <w:rsid w:val="235C0A1E"/>
    <w:rsid w:val="237A70F6"/>
    <w:rsid w:val="244E37C0"/>
    <w:rsid w:val="246E7AA4"/>
    <w:rsid w:val="24B16B47"/>
    <w:rsid w:val="24D10F97"/>
    <w:rsid w:val="250215C6"/>
    <w:rsid w:val="250368CE"/>
    <w:rsid w:val="268D7140"/>
    <w:rsid w:val="274243CE"/>
    <w:rsid w:val="275807AF"/>
    <w:rsid w:val="277E6F02"/>
    <w:rsid w:val="27B8643F"/>
    <w:rsid w:val="29990575"/>
    <w:rsid w:val="29B03871"/>
    <w:rsid w:val="2A1B45E1"/>
    <w:rsid w:val="2ACA3AF6"/>
    <w:rsid w:val="2AF6742D"/>
    <w:rsid w:val="2B4D3342"/>
    <w:rsid w:val="2C2440A3"/>
    <w:rsid w:val="2CE92B98"/>
    <w:rsid w:val="2CF860BF"/>
    <w:rsid w:val="2DF528E6"/>
    <w:rsid w:val="2EAC037F"/>
    <w:rsid w:val="2EBF0A1C"/>
    <w:rsid w:val="2F2D14C0"/>
    <w:rsid w:val="2FA71273"/>
    <w:rsid w:val="30191A45"/>
    <w:rsid w:val="312A2265"/>
    <w:rsid w:val="31794E91"/>
    <w:rsid w:val="31CE2C88"/>
    <w:rsid w:val="325D030E"/>
    <w:rsid w:val="326A2A2B"/>
    <w:rsid w:val="326D075E"/>
    <w:rsid w:val="32B048E2"/>
    <w:rsid w:val="3330157F"/>
    <w:rsid w:val="333F3E43"/>
    <w:rsid w:val="33775400"/>
    <w:rsid w:val="33AE4FD8"/>
    <w:rsid w:val="33B43F5E"/>
    <w:rsid w:val="33E92667"/>
    <w:rsid w:val="34AF4725"/>
    <w:rsid w:val="35903A30"/>
    <w:rsid w:val="360B3153"/>
    <w:rsid w:val="36653C36"/>
    <w:rsid w:val="367774C5"/>
    <w:rsid w:val="36FC0F5D"/>
    <w:rsid w:val="373158C6"/>
    <w:rsid w:val="375773F8"/>
    <w:rsid w:val="37E961A0"/>
    <w:rsid w:val="388365F5"/>
    <w:rsid w:val="393E32BB"/>
    <w:rsid w:val="397F0B6A"/>
    <w:rsid w:val="3B1517E1"/>
    <w:rsid w:val="3B4C0F20"/>
    <w:rsid w:val="3CC86CCC"/>
    <w:rsid w:val="3E151DEB"/>
    <w:rsid w:val="3EFDDE87"/>
    <w:rsid w:val="3F7614BA"/>
    <w:rsid w:val="3FC86909"/>
    <w:rsid w:val="3FCA2004"/>
    <w:rsid w:val="3FD80FD4"/>
    <w:rsid w:val="40F7192E"/>
    <w:rsid w:val="414A5F02"/>
    <w:rsid w:val="41601281"/>
    <w:rsid w:val="419B2857"/>
    <w:rsid w:val="41D71DA8"/>
    <w:rsid w:val="4258464E"/>
    <w:rsid w:val="427377F5"/>
    <w:rsid w:val="439E2535"/>
    <w:rsid w:val="43A85162"/>
    <w:rsid w:val="44393D26"/>
    <w:rsid w:val="446B2C72"/>
    <w:rsid w:val="45837C34"/>
    <w:rsid w:val="46695F10"/>
    <w:rsid w:val="47431429"/>
    <w:rsid w:val="492A2C9F"/>
    <w:rsid w:val="499917D4"/>
    <w:rsid w:val="4A3D4856"/>
    <w:rsid w:val="4B27547B"/>
    <w:rsid w:val="4B5F0424"/>
    <w:rsid w:val="4C6611ED"/>
    <w:rsid w:val="4D5D3BD3"/>
    <w:rsid w:val="4D8C0894"/>
    <w:rsid w:val="4DA34774"/>
    <w:rsid w:val="4E0D2791"/>
    <w:rsid w:val="4E392624"/>
    <w:rsid w:val="4E4D5283"/>
    <w:rsid w:val="4EB7F892"/>
    <w:rsid w:val="4FB65548"/>
    <w:rsid w:val="51621046"/>
    <w:rsid w:val="52756B57"/>
    <w:rsid w:val="5281374D"/>
    <w:rsid w:val="52B04D36"/>
    <w:rsid w:val="52EC0A69"/>
    <w:rsid w:val="534F15BC"/>
    <w:rsid w:val="534F27A6"/>
    <w:rsid w:val="536E3CD2"/>
    <w:rsid w:val="54330A77"/>
    <w:rsid w:val="544762D1"/>
    <w:rsid w:val="54D758A7"/>
    <w:rsid w:val="5507618C"/>
    <w:rsid w:val="552A0475"/>
    <w:rsid w:val="55690BF5"/>
    <w:rsid w:val="561A5A4B"/>
    <w:rsid w:val="56282A95"/>
    <w:rsid w:val="56981066"/>
    <w:rsid w:val="56C97471"/>
    <w:rsid w:val="578D10CB"/>
    <w:rsid w:val="59592BFC"/>
    <w:rsid w:val="5A5915AC"/>
    <w:rsid w:val="5AB83A84"/>
    <w:rsid w:val="5ABBC979"/>
    <w:rsid w:val="5B721B0E"/>
    <w:rsid w:val="5BFC7B3B"/>
    <w:rsid w:val="5C3929A3"/>
    <w:rsid w:val="5C543F83"/>
    <w:rsid w:val="5CC26747"/>
    <w:rsid w:val="5D080CF3"/>
    <w:rsid w:val="5E77C7C6"/>
    <w:rsid w:val="5EC549C2"/>
    <w:rsid w:val="5F7D704B"/>
    <w:rsid w:val="5FFFAAE0"/>
    <w:rsid w:val="60C43183"/>
    <w:rsid w:val="610A00F6"/>
    <w:rsid w:val="62257C51"/>
    <w:rsid w:val="62A52B40"/>
    <w:rsid w:val="6372336A"/>
    <w:rsid w:val="63C30268"/>
    <w:rsid w:val="63FF44D2"/>
    <w:rsid w:val="66347B2F"/>
    <w:rsid w:val="667FD72C"/>
    <w:rsid w:val="66916949"/>
    <w:rsid w:val="67EB5C4D"/>
    <w:rsid w:val="6A12486A"/>
    <w:rsid w:val="6A150622"/>
    <w:rsid w:val="6ABE64BE"/>
    <w:rsid w:val="6AD94673"/>
    <w:rsid w:val="6B5F16C5"/>
    <w:rsid w:val="6C382C77"/>
    <w:rsid w:val="6CC60283"/>
    <w:rsid w:val="6CF3EA5A"/>
    <w:rsid w:val="6D062D75"/>
    <w:rsid w:val="6D856F28"/>
    <w:rsid w:val="6DB620A5"/>
    <w:rsid w:val="6DCD0AF3"/>
    <w:rsid w:val="6E0A7889"/>
    <w:rsid w:val="6EA939B8"/>
    <w:rsid w:val="6FBE14AD"/>
    <w:rsid w:val="6FEE1FCA"/>
    <w:rsid w:val="6FF637CB"/>
    <w:rsid w:val="701E09D9"/>
    <w:rsid w:val="715220E5"/>
    <w:rsid w:val="71542301"/>
    <w:rsid w:val="71885A70"/>
    <w:rsid w:val="724A3704"/>
    <w:rsid w:val="724C2FD8"/>
    <w:rsid w:val="727F33AE"/>
    <w:rsid w:val="72B43A2C"/>
    <w:rsid w:val="72D14428"/>
    <w:rsid w:val="72FF1584"/>
    <w:rsid w:val="73191FE8"/>
    <w:rsid w:val="73832A2A"/>
    <w:rsid w:val="73E6614E"/>
    <w:rsid w:val="74553D3C"/>
    <w:rsid w:val="75322959"/>
    <w:rsid w:val="753C4E9B"/>
    <w:rsid w:val="75840CDB"/>
    <w:rsid w:val="766F7295"/>
    <w:rsid w:val="768F7938"/>
    <w:rsid w:val="769B7804"/>
    <w:rsid w:val="76A07565"/>
    <w:rsid w:val="779276DF"/>
    <w:rsid w:val="779FCBF0"/>
    <w:rsid w:val="77D31AA6"/>
    <w:rsid w:val="77F7E21B"/>
    <w:rsid w:val="780879A1"/>
    <w:rsid w:val="781113A7"/>
    <w:rsid w:val="78232A2D"/>
    <w:rsid w:val="787C3EEC"/>
    <w:rsid w:val="789D27E0"/>
    <w:rsid w:val="78A376CA"/>
    <w:rsid w:val="78B2790D"/>
    <w:rsid w:val="791E6510"/>
    <w:rsid w:val="792504E8"/>
    <w:rsid w:val="799A0ACD"/>
    <w:rsid w:val="79E2F975"/>
    <w:rsid w:val="7B384D50"/>
    <w:rsid w:val="7B3BDBF2"/>
    <w:rsid w:val="7BAD7448"/>
    <w:rsid w:val="7BB015AD"/>
    <w:rsid w:val="7BB8348D"/>
    <w:rsid w:val="7C6D24C9"/>
    <w:rsid w:val="7C8D4A41"/>
    <w:rsid w:val="7D9D5624"/>
    <w:rsid w:val="7E575A0F"/>
    <w:rsid w:val="7EBDCBBF"/>
    <w:rsid w:val="7EC74CC1"/>
    <w:rsid w:val="7ED311A8"/>
    <w:rsid w:val="7EE6408F"/>
    <w:rsid w:val="7F286B7B"/>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eastAsia="仿宋_GB2312" w:cs="宋体"/>
      <w:bCs/>
      <w:kern w:val="36"/>
      <w:sz w:val="28"/>
      <w:szCs w:val="48"/>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Body Text Indent 2"/>
    <w:qFormat/>
    <w:uiPriority w:val="0"/>
    <w:pPr>
      <w:widowControl w:val="0"/>
      <w:spacing w:after="120" w:line="480" w:lineRule="auto"/>
      <w:ind w:left="200" w:leftChars="200"/>
      <w:jc w:val="both"/>
    </w:pPr>
    <w:rPr>
      <w:rFonts w:ascii="Calibri" w:hAnsi="Calibri" w:eastAsia="宋体" w:cs="Times New Roman"/>
      <w:kern w:val="2"/>
      <w:sz w:val="21"/>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unhideWhenUsed/>
    <w:qFormat/>
    <w:uiPriority w:val="99"/>
    <w:pPr>
      <w:spacing w:beforeLines="0" w:afterLines="0"/>
      <w:ind w:firstLine="420"/>
    </w:pPr>
    <w:rPr>
      <w:rFonts w:hint="default"/>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3"/>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customStyle="1" w:styleId="15">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6969</Words>
  <Characters>7211</Characters>
  <Lines>0</Lines>
  <Paragraphs>0</Paragraphs>
  <TotalTime>51</TotalTime>
  <ScaleCrop>false</ScaleCrop>
  <LinksUpToDate>false</LinksUpToDate>
  <CharactersWithSpaces>7787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芳芳</cp:lastModifiedBy>
  <cp:lastPrinted>2025-04-10T10:25:00Z</cp:lastPrinted>
  <dcterms:modified xsi:type="dcterms:W3CDTF">2025-06-21T08:49:41Z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eyJoZGlkIjoiZGM2ZTBlYzI5ZWYwZjQ0NzgyZTQxM2IyYjRkYTIzNmEiLCJ1c2VySWQiOiIyMzgxMTg3NTUifQ==</vt:lpwstr>
  </property>
</Properties>
</file>