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6E77D">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b/>
          <w:color w:val="auto"/>
          <w:sz w:val="44"/>
          <w:szCs w:val="44"/>
        </w:rPr>
      </w:pPr>
    </w:p>
    <w:p w14:paraId="1B4CC79E">
      <w:pPr>
        <w:keepNext w:val="0"/>
        <w:keepLines w:val="0"/>
        <w:pageBreakBefore w:val="0"/>
        <w:widowControl w:val="0"/>
        <w:kinsoku/>
        <w:wordWrap/>
        <w:overflowPunct/>
        <w:topLinePunct w:val="0"/>
        <w:autoSpaceDE/>
        <w:autoSpaceDN/>
        <w:bidi w:val="0"/>
        <w:spacing w:line="560" w:lineRule="exact"/>
        <w:jc w:val="center"/>
        <w:textAlignment w:val="auto"/>
        <w:rPr>
          <w:b/>
          <w:color w:val="auto"/>
          <w:sz w:val="44"/>
          <w:szCs w:val="44"/>
        </w:rPr>
      </w:pPr>
      <w:r>
        <w:rPr>
          <w:rFonts w:hint="eastAsia" w:ascii="宋体" w:hAnsi="宋体"/>
          <w:b/>
          <w:color w:val="auto"/>
          <w:sz w:val="44"/>
          <w:szCs w:val="44"/>
        </w:rPr>
        <w:t>202</w:t>
      </w:r>
      <w:r>
        <w:rPr>
          <w:rFonts w:hint="eastAsia" w:ascii="宋体" w:hAnsi="宋体"/>
          <w:b/>
          <w:color w:val="auto"/>
          <w:sz w:val="44"/>
          <w:szCs w:val="44"/>
          <w:lang w:val="en-US" w:eastAsia="zh-CN"/>
        </w:rPr>
        <w:t>4</w:t>
      </w:r>
      <w:r>
        <w:rPr>
          <w:rFonts w:hint="eastAsia" w:ascii="宋体" w:hAnsi="宋体"/>
          <w:b/>
          <w:color w:val="auto"/>
          <w:sz w:val="44"/>
          <w:szCs w:val="44"/>
        </w:rPr>
        <w:t>年度怀化市</w:t>
      </w:r>
      <w:r>
        <w:rPr>
          <w:rFonts w:ascii="宋体" w:hAnsi="宋体"/>
          <w:b/>
          <w:color w:val="auto"/>
          <w:sz w:val="44"/>
          <w:szCs w:val="44"/>
        </w:rPr>
        <w:t>住房保障服务中心</w:t>
      </w:r>
      <w:r>
        <w:rPr>
          <w:rFonts w:hint="eastAsia" w:ascii="宋体" w:hAnsi="宋体"/>
          <w:b/>
          <w:color w:val="auto"/>
          <w:sz w:val="44"/>
          <w:szCs w:val="44"/>
        </w:rPr>
        <w:t>部门</w:t>
      </w:r>
    </w:p>
    <w:p w14:paraId="159D6B05">
      <w:pPr>
        <w:keepNext w:val="0"/>
        <w:keepLines w:val="0"/>
        <w:pageBreakBefore w:val="0"/>
        <w:widowControl w:val="0"/>
        <w:kinsoku/>
        <w:wordWrap/>
        <w:overflowPunct/>
        <w:topLinePunct w:val="0"/>
        <w:autoSpaceDE/>
        <w:autoSpaceDN/>
        <w:bidi w:val="0"/>
        <w:spacing w:line="560" w:lineRule="exact"/>
        <w:jc w:val="center"/>
        <w:textAlignment w:val="auto"/>
        <w:rPr>
          <w:rFonts w:ascii="宋体" w:hAnsi="宋体"/>
          <w:b/>
          <w:color w:val="auto"/>
          <w:sz w:val="44"/>
          <w:szCs w:val="44"/>
        </w:rPr>
      </w:pPr>
      <w:r>
        <w:rPr>
          <w:rFonts w:hint="eastAsia" w:ascii="宋体" w:hAnsi="宋体"/>
          <w:b/>
          <w:color w:val="auto"/>
          <w:sz w:val="44"/>
          <w:szCs w:val="44"/>
        </w:rPr>
        <w:t>整体支出绩效自评报告</w:t>
      </w:r>
    </w:p>
    <w:p w14:paraId="145DB945">
      <w:pPr>
        <w:keepNext w:val="0"/>
        <w:keepLines w:val="0"/>
        <w:pageBreakBefore w:val="0"/>
        <w:widowControl w:val="0"/>
        <w:kinsoku/>
        <w:wordWrap/>
        <w:overflowPunct/>
        <w:topLinePunct w:val="0"/>
        <w:autoSpaceDE/>
        <w:autoSpaceDN/>
        <w:bidi w:val="0"/>
        <w:spacing w:line="560" w:lineRule="exact"/>
        <w:jc w:val="center"/>
        <w:textAlignment w:val="auto"/>
        <w:rPr>
          <w:b/>
          <w:color w:val="auto"/>
          <w:sz w:val="44"/>
          <w:szCs w:val="44"/>
        </w:rPr>
      </w:pPr>
    </w:p>
    <w:p w14:paraId="0E2AE91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黑体" w:hAnsi="黑体" w:eastAsia="黑体" w:cstheme="minorEastAsia"/>
          <w:bCs/>
          <w:color w:val="auto"/>
          <w:sz w:val="32"/>
          <w:szCs w:val="32"/>
        </w:rPr>
      </w:pPr>
      <w:r>
        <w:rPr>
          <w:rFonts w:hint="eastAsia" w:ascii="黑体" w:hAnsi="黑体" w:eastAsia="黑体" w:cstheme="minorEastAsia"/>
          <w:bCs/>
          <w:color w:val="auto"/>
          <w:sz w:val="32"/>
          <w:szCs w:val="32"/>
        </w:rPr>
        <w:t>一、单位基本情况</w:t>
      </w:r>
    </w:p>
    <w:p w14:paraId="1E67CACF">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楷体" w:hAnsi="楷体" w:eastAsia="楷体" w:cstheme="minorEastAsia"/>
          <w:b/>
          <w:bCs/>
          <w:color w:val="auto"/>
          <w:sz w:val="32"/>
          <w:szCs w:val="32"/>
        </w:rPr>
      </w:pPr>
      <w:r>
        <w:rPr>
          <w:rFonts w:hint="eastAsia" w:ascii="楷体" w:hAnsi="楷体" w:eastAsia="楷体" w:cstheme="minorEastAsia"/>
          <w:b/>
          <w:bCs/>
          <w:color w:val="auto"/>
          <w:sz w:val="32"/>
          <w:szCs w:val="32"/>
        </w:rPr>
        <w:t>（一）机构设置情况</w:t>
      </w:r>
    </w:p>
    <w:p w14:paraId="143EA55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theme="minorEastAsia"/>
          <w:color w:val="auto"/>
          <w:sz w:val="32"/>
          <w:szCs w:val="32"/>
        </w:rPr>
      </w:pPr>
      <w:r>
        <w:rPr>
          <w:rFonts w:hint="eastAsia" w:ascii="仿宋" w:hAnsi="仿宋" w:eastAsia="仿宋" w:cstheme="minorEastAsia"/>
          <w:color w:val="auto"/>
          <w:sz w:val="32"/>
          <w:szCs w:val="32"/>
        </w:rPr>
        <w:t>怀化市住房保障服务中心作为一级部门预算单位，内设部门为：办公室、人事财务部、住房保障服务部、住建信息服务部。下设不具备独立法人资格的正科级分支机构市住房保障服务站，承担协助开展白蚁防治、房屋租赁、物业专项维修资金管理等服务性工作。</w:t>
      </w:r>
    </w:p>
    <w:p w14:paraId="0A9498D9">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楷体" w:hAnsi="楷体" w:eastAsia="楷体" w:cstheme="minorEastAsia"/>
          <w:b/>
          <w:bCs/>
          <w:color w:val="auto"/>
          <w:sz w:val="32"/>
          <w:szCs w:val="32"/>
        </w:rPr>
      </w:pPr>
      <w:r>
        <w:rPr>
          <w:rFonts w:hint="eastAsia" w:ascii="楷体" w:hAnsi="楷体" w:eastAsia="楷体" w:cstheme="minorEastAsia"/>
          <w:b/>
          <w:bCs/>
          <w:color w:val="auto"/>
          <w:sz w:val="32"/>
          <w:szCs w:val="32"/>
        </w:rPr>
        <w:t>（二）人员编制情况</w:t>
      </w:r>
    </w:p>
    <w:p w14:paraId="0359FD7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theme="minorEastAsia"/>
          <w:color w:val="auto"/>
          <w:sz w:val="32"/>
          <w:szCs w:val="32"/>
        </w:rPr>
      </w:pPr>
      <w:r>
        <w:rPr>
          <w:rFonts w:hint="eastAsia" w:ascii="仿宋" w:hAnsi="仿宋" w:eastAsia="仿宋" w:cstheme="minorEastAsia"/>
          <w:color w:val="auto"/>
          <w:sz w:val="32"/>
          <w:szCs w:val="32"/>
        </w:rPr>
        <w:t>我单位202</w:t>
      </w:r>
      <w:r>
        <w:rPr>
          <w:rFonts w:hint="eastAsia" w:ascii="仿宋" w:hAnsi="仿宋" w:eastAsia="仿宋" w:cstheme="minorEastAsia"/>
          <w:color w:val="auto"/>
          <w:sz w:val="32"/>
          <w:szCs w:val="32"/>
          <w:lang w:val="en-US" w:eastAsia="zh-CN"/>
        </w:rPr>
        <w:t>4</w:t>
      </w:r>
      <w:r>
        <w:rPr>
          <w:rFonts w:hint="eastAsia" w:ascii="仿宋" w:hAnsi="仿宋" w:eastAsia="仿宋" w:cstheme="minorEastAsia"/>
          <w:color w:val="auto"/>
          <w:sz w:val="32"/>
          <w:szCs w:val="32"/>
        </w:rPr>
        <w:t>年人员编制数57人，</w:t>
      </w:r>
      <w:r>
        <w:rPr>
          <w:rFonts w:hint="eastAsia" w:ascii="仿宋" w:hAnsi="仿宋" w:eastAsia="仿宋" w:cstheme="minorEastAsia"/>
          <w:color w:val="auto"/>
          <w:sz w:val="32"/>
          <w:szCs w:val="32"/>
          <w:lang w:eastAsia="zh-CN"/>
        </w:rPr>
        <w:t>实际</w:t>
      </w:r>
      <w:r>
        <w:rPr>
          <w:rFonts w:hint="eastAsia" w:ascii="仿宋" w:hAnsi="仿宋" w:eastAsia="仿宋" w:cstheme="minorEastAsia"/>
          <w:color w:val="auto"/>
          <w:sz w:val="32"/>
          <w:szCs w:val="32"/>
        </w:rPr>
        <w:t>在职人员</w:t>
      </w:r>
      <w:r>
        <w:rPr>
          <w:rFonts w:hint="eastAsia" w:ascii="仿宋" w:hAnsi="仿宋" w:eastAsia="仿宋" w:cstheme="minorEastAsia"/>
          <w:color w:val="auto"/>
          <w:sz w:val="32"/>
          <w:szCs w:val="32"/>
          <w:lang w:val="en-US" w:eastAsia="zh-CN"/>
        </w:rPr>
        <w:t>51</w:t>
      </w:r>
      <w:r>
        <w:rPr>
          <w:rFonts w:hint="eastAsia" w:ascii="仿宋" w:hAnsi="仿宋" w:eastAsia="仿宋" w:cstheme="minorEastAsia"/>
          <w:color w:val="auto"/>
          <w:sz w:val="32"/>
          <w:szCs w:val="32"/>
        </w:rPr>
        <w:t>人，均为全额拨款事业编制。</w:t>
      </w:r>
    </w:p>
    <w:p w14:paraId="23272352">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楷体" w:hAnsi="楷体" w:eastAsia="楷体" w:cstheme="minorEastAsia"/>
          <w:b/>
          <w:bCs/>
          <w:color w:val="auto"/>
          <w:sz w:val="32"/>
          <w:szCs w:val="32"/>
        </w:rPr>
      </w:pPr>
      <w:r>
        <w:rPr>
          <w:rFonts w:hint="eastAsia" w:ascii="楷体" w:hAnsi="楷体" w:eastAsia="楷体" w:cstheme="minorEastAsia"/>
          <w:b/>
          <w:bCs/>
          <w:color w:val="auto"/>
          <w:sz w:val="32"/>
          <w:szCs w:val="32"/>
        </w:rPr>
        <w:t>（三）主要职能职责</w:t>
      </w:r>
    </w:p>
    <w:p w14:paraId="3F89FEC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stheme="minorEastAsia"/>
          <w:color w:val="auto"/>
          <w:sz w:val="32"/>
          <w:szCs w:val="32"/>
        </w:rPr>
      </w:pPr>
      <w:r>
        <w:rPr>
          <w:rFonts w:hint="eastAsia" w:ascii="仿宋" w:hAnsi="仿宋" w:eastAsia="仿宋" w:cstheme="minorEastAsia"/>
          <w:color w:val="auto"/>
          <w:sz w:val="32"/>
          <w:szCs w:val="32"/>
        </w:rPr>
        <w:t>1.负责全市物业专项维修资金业务指导工作;承担市城区物业专项维修资金归集、管理、拨付</w:t>
      </w:r>
      <w:r>
        <w:rPr>
          <w:rFonts w:hint="eastAsia" w:ascii="仿宋" w:hAnsi="仿宋" w:eastAsia="仿宋" w:cstheme="minorEastAsia"/>
          <w:color w:val="auto"/>
          <w:sz w:val="32"/>
          <w:szCs w:val="32"/>
          <w:lang w:eastAsia="zh-CN"/>
        </w:rPr>
        <w:t>审核</w:t>
      </w:r>
      <w:r>
        <w:rPr>
          <w:rFonts w:hint="eastAsia" w:ascii="仿宋" w:hAnsi="仿宋" w:eastAsia="仿宋" w:cstheme="minorEastAsia"/>
          <w:color w:val="auto"/>
          <w:sz w:val="32"/>
          <w:szCs w:val="32"/>
        </w:rPr>
        <w:t>等事务性职责。</w:t>
      </w:r>
    </w:p>
    <w:p w14:paraId="47AAA7D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theme="minorEastAsia"/>
          <w:color w:val="auto"/>
          <w:sz w:val="32"/>
          <w:szCs w:val="32"/>
        </w:rPr>
      </w:pPr>
      <w:r>
        <w:rPr>
          <w:rFonts w:hint="eastAsia" w:ascii="仿宋" w:hAnsi="仿宋" w:eastAsia="仿宋" w:cstheme="minorEastAsia"/>
          <w:color w:val="auto"/>
          <w:sz w:val="32"/>
          <w:szCs w:val="32"/>
        </w:rPr>
        <w:t>2.</w:t>
      </w:r>
      <w:r>
        <w:rPr>
          <w:rFonts w:hint="eastAsia" w:ascii="仿宋" w:hAnsi="仿宋" w:eastAsia="仿宋" w:cstheme="minorEastAsia"/>
          <w:color w:val="auto"/>
          <w:sz w:val="32"/>
          <w:szCs w:val="32"/>
        </w:rPr>
        <w:t>负责全市公租房后续服务保障的指导工作;承担市本级公租房后续服务保障和其它</w:t>
      </w:r>
      <w:bookmarkStart w:id="0" w:name="_GoBack"/>
      <w:bookmarkEnd w:id="0"/>
      <w:r>
        <w:rPr>
          <w:rFonts w:hint="eastAsia" w:ascii="仿宋" w:hAnsi="仿宋" w:eastAsia="仿宋" w:cstheme="minorEastAsia"/>
          <w:color w:val="auto"/>
          <w:sz w:val="32"/>
          <w:szCs w:val="32"/>
        </w:rPr>
        <w:t>房屋租赁备案的相关服务工作。</w:t>
      </w:r>
    </w:p>
    <w:p w14:paraId="3A63D2D1">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theme="minorEastAsia"/>
          <w:color w:val="auto"/>
          <w:sz w:val="32"/>
          <w:szCs w:val="32"/>
        </w:rPr>
      </w:pPr>
      <w:r>
        <w:rPr>
          <w:rFonts w:hint="eastAsia" w:ascii="仿宋" w:hAnsi="仿宋" w:eastAsia="仿宋" w:cstheme="minorEastAsia"/>
          <w:color w:val="auto"/>
          <w:sz w:val="32"/>
          <w:szCs w:val="32"/>
        </w:rPr>
        <w:t>3.承担市本级白蚁防治业务指导、实施白蚁防治科学研究及新技术推广等职责。</w:t>
      </w:r>
    </w:p>
    <w:p w14:paraId="02645C4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theme="minorEastAsia"/>
          <w:color w:val="auto"/>
          <w:sz w:val="32"/>
          <w:szCs w:val="32"/>
        </w:rPr>
      </w:pPr>
      <w:r>
        <w:rPr>
          <w:rFonts w:hint="eastAsia" w:ascii="仿宋" w:hAnsi="仿宋" w:eastAsia="仿宋" w:cstheme="minorEastAsia"/>
          <w:color w:val="auto"/>
          <w:sz w:val="32"/>
          <w:szCs w:val="32"/>
        </w:rPr>
        <w:t>4.为全市住房保障、房地产市场监管、物业管理、保障性住房租赁管理、其他房屋租赁管理、白蚁防治管理等相关政策拟订提供服务。</w:t>
      </w:r>
    </w:p>
    <w:p w14:paraId="24E11BB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theme="minorEastAsia"/>
          <w:color w:val="auto"/>
          <w:sz w:val="32"/>
          <w:szCs w:val="32"/>
        </w:rPr>
      </w:pPr>
      <w:r>
        <w:rPr>
          <w:rFonts w:hint="eastAsia" w:ascii="仿宋" w:hAnsi="仿宋" w:eastAsia="仿宋" w:cstheme="minorEastAsia"/>
          <w:color w:val="auto"/>
          <w:sz w:val="32"/>
          <w:szCs w:val="32"/>
        </w:rPr>
        <w:t>5.协助维护住建领域信息化管理系统，住建领域信息的收集、统计、分析、报告、发布等职责。</w:t>
      </w:r>
    </w:p>
    <w:p w14:paraId="58D2686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theme="minorEastAsia"/>
          <w:color w:val="auto"/>
          <w:sz w:val="32"/>
          <w:szCs w:val="32"/>
        </w:rPr>
      </w:pPr>
      <w:r>
        <w:rPr>
          <w:rFonts w:hint="eastAsia" w:ascii="仿宋" w:hAnsi="仿宋" w:eastAsia="仿宋" w:cstheme="minorEastAsia"/>
          <w:color w:val="auto"/>
          <w:sz w:val="32"/>
          <w:szCs w:val="32"/>
        </w:rPr>
        <w:t>6.承担市住房和城乡建设局交办的其他工作。</w:t>
      </w:r>
    </w:p>
    <w:p w14:paraId="221C6B58">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stheme="minorEastAsia"/>
          <w:color w:val="auto"/>
          <w:sz w:val="32"/>
          <w:szCs w:val="32"/>
        </w:rPr>
      </w:pPr>
      <w:r>
        <w:rPr>
          <w:rFonts w:hint="eastAsia" w:ascii="仿宋" w:hAnsi="仿宋" w:eastAsia="仿宋" w:cstheme="minorEastAsia"/>
          <w:color w:val="auto"/>
          <w:sz w:val="32"/>
          <w:szCs w:val="32"/>
          <w:lang w:eastAsia="zh-CN"/>
        </w:rPr>
        <w:t>2024</w:t>
      </w:r>
      <w:r>
        <w:rPr>
          <w:rFonts w:hint="eastAsia" w:ascii="仿宋" w:hAnsi="仿宋" w:eastAsia="仿宋" w:cstheme="minorEastAsia"/>
          <w:color w:val="auto"/>
          <w:sz w:val="32"/>
          <w:szCs w:val="32"/>
        </w:rPr>
        <w:t>年市住建局交办的其他工作有：购房补贴发放。</w:t>
      </w:r>
    </w:p>
    <w:p w14:paraId="1334627A">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四</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绩效目标设定情况</w:t>
      </w:r>
    </w:p>
    <w:p w14:paraId="27156F3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stheme="minorEastAsia"/>
          <w:color w:val="auto"/>
          <w:sz w:val="32"/>
          <w:szCs w:val="32"/>
        </w:rPr>
      </w:pPr>
      <w:r>
        <w:rPr>
          <w:rFonts w:hint="eastAsia" w:ascii="仿宋" w:hAnsi="仿宋" w:eastAsia="仿宋" w:cstheme="minorEastAsia"/>
          <w:color w:val="auto"/>
          <w:sz w:val="32"/>
          <w:szCs w:val="32"/>
          <w:lang w:val="en-US" w:eastAsia="zh-CN"/>
        </w:rPr>
        <w:t>1.</w:t>
      </w:r>
      <w:r>
        <w:rPr>
          <w:rFonts w:hint="eastAsia" w:ascii="仿宋" w:hAnsi="仿宋" w:eastAsia="仿宋" w:cstheme="minorEastAsia"/>
          <w:color w:val="auto"/>
          <w:sz w:val="32"/>
          <w:szCs w:val="32"/>
        </w:rPr>
        <w:t>做好物业专项维修资金管理服务工作。</w:t>
      </w:r>
    </w:p>
    <w:p w14:paraId="79011B82">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stheme="minorEastAsia"/>
          <w:color w:val="auto"/>
          <w:sz w:val="32"/>
          <w:szCs w:val="32"/>
        </w:rPr>
      </w:pPr>
      <w:r>
        <w:rPr>
          <w:rFonts w:hint="eastAsia" w:ascii="仿宋" w:hAnsi="仿宋" w:eastAsia="仿宋" w:cstheme="minorEastAsia"/>
          <w:color w:val="auto"/>
          <w:sz w:val="32"/>
          <w:szCs w:val="32"/>
          <w:lang w:val="en-US" w:eastAsia="zh-CN"/>
        </w:rPr>
        <w:t>2.</w:t>
      </w:r>
      <w:r>
        <w:rPr>
          <w:rFonts w:hint="eastAsia" w:ascii="仿宋" w:hAnsi="仿宋" w:eastAsia="仿宋" w:cstheme="minorEastAsia"/>
          <w:color w:val="auto"/>
          <w:sz w:val="32"/>
          <w:szCs w:val="32"/>
        </w:rPr>
        <w:t>抓好房屋租赁和公租房管理后续服务工作。</w:t>
      </w:r>
    </w:p>
    <w:p w14:paraId="7651F18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stheme="minorEastAsia"/>
          <w:color w:val="auto"/>
          <w:sz w:val="32"/>
          <w:szCs w:val="32"/>
        </w:rPr>
      </w:pPr>
      <w:r>
        <w:rPr>
          <w:rFonts w:hint="eastAsia" w:ascii="仿宋" w:hAnsi="仿宋" w:eastAsia="仿宋" w:cstheme="minorEastAsia"/>
          <w:color w:val="auto"/>
          <w:sz w:val="32"/>
          <w:szCs w:val="32"/>
          <w:lang w:val="en-US" w:eastAsia="zh-CN"/>
        </w:rPr>
        <w:t>3.</w:t>
      </w:r>
      <w:r>
        <w:rPr>
          <w:rFonts w:hint="eastAsia" w:ascii="仿宋" w:hAnsi="仿宋" w:eastAsia="仿宋" w:cstheme="minorEastAsia"/>
          <w:color w:val="auto"/>
          <w:sz w:val="32"/>
          <w:szCs w:val="32"/>
        </w:rPr>
        <w:t>抓好白蚁防治工作。</w:t>
      </w:r>
    </w:p>
    <w:p w14:paraId="540E6237">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stheme="minorEastAsia"/>
          <w:color w:val="auto"/>
          <w:sz w:val="32"/>
          <w:szCs w:val="32"/>
        </w:rPr>
      </w:pPr>
      <w:r>
        <w:rPr>
          <w:rFonts w:hint="eastAsia" w:ascii="仿宋" w:hAnsi="仿宋" w:eastAsia="仿宋" w:cstheme="minorEastAsia"/>
          <w:color w:val="auto"/>
          <w:sz w:val="32"/>
          <w:szCs w:val="32"/>
          <w:lang w:val="en-US" w:eastAsia="zh-CN"/>
        </w:rPr>
        <w:t>4.做好</w:t>
      </w:r>
      <w:r>
        <w:rPr>
          <w:rFonts w:hint="eastAsia" w:ascii="仿宋" w:hAnsi="仿宋" w:eastAsia="仿宋" w:cstheme="minorEastAsia"/>
          <w:color w:val="auto"/>
          <w:sz w:val="32"/>
          <w:szCs w:val="32"/>
        </w:rPr>
        <w:t>其他工作任务等。</w:t>
      </w:r>
    </w:p>
    <w:p w14:paraId="26A7FE12">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部门整体支出情况</w:t>
      </w:r>
      <w:r>
        <w:rPr>
          <w:rFonts w:hint="eastAsia" w:ascii="黑体" w:hAnsi="黑体" w:eastAsia="黑体" w:cs="黑体"/>
          <w:b w:val="0"/>
          <w:bCs w:val="0"/>
          <w:color w:val="auto"/>
          <w:sz w:val="32"/>
          <w:szCs w:val="32"/>
          <w:lang w:val="en-US" w:eastAsia="zh-CN"/>
        </w:rPr>
        <w:t>管理及使用情况</w:t>
      </w:r>
    </w:p>
    <w:p w14:paraId="458EB8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（一）预算执行、使用、管理总体情况</w:t>
      </w:r>
    </w:p>
    <w:p w14:paraId="1AB8C6B6">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仿宋" w:hAnsi="仿宋" w:eastAsia="仿宋" w:cstheme="minorEastAsia"/>
          <w:color w:val="auto"/>
          <w:sz w:val="32"/>
          <w:szCs w:val="32"/>
        </w:rPr>
      </w:pPr>
      <w:r>
        <w:rPr>
          <w:rFonts w:ascii="仿宋" w:hAnsi="仿宋" w:eastAsia="仿宋" w:cstheme="minorEastAsia"/>
          <w:b/>
          <w:color w:val="auto"/>
          <w:sz w:val="32"/>
          <w:szCs w:val="32"/>
        </w:rPr>
        <w:t>1</w:t>
      </w:r>
      <w:r>
        <w:rPr>
          <w:rFonts w:hint="eastAsia" w:ascii="仿宋" w:hAnsi="仿宋" w:eastAsia="仿宋" w:cstheme="minorEastAsia"/>
          <w:b/>
          <w:color w:val="auto"/>
          <w:sz w:val="32"/>
          <w:szCs w:val="32"/>
        </w:rPr>
        <w:t>.收入预算。</w:t>
      </w:r>
      <w:r>
        <w:rPr>
          <w:rFonts w:hint="eastAsia" w:ascii="仿宋" w:hAnsi="仿宋" w:eastAsia="仿宋" w:cstheme="minorEastAsia"/>
          <w:color w:val="auto"/>
          <w:sz w:val="32"/>
          <w:szCs w:val="32"/>
          <w:lang w:eastAsia="zh-CN"/>
        </w:rPr>
        <w:t>2024</w:t>
      </w:r>
      <w:r>
        <w:rPr>
          <w:rFonts w:hint="eastAsia" w:ascii="仿宋" w:hAnsi="仿宋" w:eastAsia="仿宋" w:cstheme="minorEastAsia"/>
          <w:color w:val="auto"/>
          <w:sz w:val="32"/>
          <w:szCs w:val="32"/>
        </w:rPr>
        <w:t>年年初预算数</w:t>
      </w:r>
      <w:r>
        <w:rPr>
          <w:rFonts w:hint="eastAsia" w:ascii="仿宋" w:hAnsi="仿宋" w:eastAsia="仿宋" w:cstheme="minorEastAsia"/>
          <w:color w:val="auto"/>
          <w:sz w:val="32"/>
          <w:szCs w:val="32"/>
          <w:lang w:val="en-US" w:eastAsia="zh-CN"/>
        </w:rPr>
        <w:t>3550.44</w:t>
      </w:r>
      <w:r>
        <w:rPr>
          <w:rFonts w:hint="eastAsia" w:ascii="仿宋" w:hAnsi="仿宋" w:eastAsia="仿宋" w:cstheme="minorEastAsia"/>
          <w:color w:val="auto"/>
          <w:sz w:val="32"/>
          <w:szCs w:val="32"/>
        </w:rPr>
        <w:t>万元，全部为一般公共预算拨款。收入较去年</w:t>
      </w:r>
      <w:r>
        <w:rPr>
          <w:rFonts w:hint="eastAsia" w:ascii="仿宋" w:hAnsi="仿宋" w:eastAsia="仿宋" w:cstheme="minorEastAsia"/>
          <w:color w:val="auto"/>
          <w:sz w:val="32"/>
          <w:szCs w:val="32"/>
          <w:lang w:eastAsia="zh-CN"/>
        </w:rPr>
        <w:t>增加</w:t>
      </w:r>
      <w:r>
        <w:rPr>
          <w:rFonts w:hint="eastAsia" w:ascii="仿宋" w:hAnsi="仿宋" w:eastAsia="仿宋" w:cstheme="minorEastAsia"/>
          <w:color w:val="auto"/>
          <w:sz w:val="32"/>
          <w:szCs w:val="32"/>
          <w:lang w:val="en-US" w:eastAsia="zh-CN"/>
        </w:rPr>
        <w:t>2415.06</w:t>
      </w:r>
      <w:r>
        <w:rPr>
          <w:rFonts w:hint="eastAsia" w:ascii="仿宋" w:hAnsi="仿宋" w:eastAsia="仿宋" w:cstheme="minorEastAsia"/>
          <w:color w:val="auto"/>
          <w:sz w:val="32"/>
          <w:szCs w:val="32"/>
        </w:rPr>
        <w:t>万元，主要原因是</w:t>
      </w:r>
      <w:r>
        <w:rPr>
          <w:rFonts w:hint="eastAsia" w:ascii="仿宋" w:hAnsi="仿宋" w:eastAsia="仿宋" w:cstheme="minorEastAsia"/>
          <w:color w:val="auto"/>
          <w:sz w:val="32"/>
          <w:szCs w:val="32"/>
          <w:lang w:eastAsia="zh-CN"/>
        </w:rPr>
        <w:t>增加了</w:t>
      </w:r>
      <w:r>
        <w:rPr>
          <w:rFonts w:hint="eastAsia" w:ascii="仿宋" w:hAnsi="仿宋" w:eastAsia="仿宋" w:cstheme="minorEastAsia"/>
          <w:color w:val="auto"/>
          <w:sz w:val="32"/>
          <w:szCs w:val="32"/>
          <w:lang w:eastAsia="zh-CN"/>
        </w:rPr>
        <w:t>市中心城区购房补贴</w:t>
      </w:r>
      <w:r>
        <w:rPr>
          <w:rFonts w:hint="eastAsia" w:ascii="仿宋" w:hAnsi="仿宋" w:eastAsia="仿宋" w:cstheme="minorEastAsia"/>
          <w:color w:val="auto"/>
          <w:sz w:val="32"/>
          <w:szCs w:val="32"/>
        </w:rPr>
        <w:t>。</w:t>
      </w:r>
    </w:p>
    <w:p w14:paraId="0437DF53">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仿宋" w:hAnsi="仿宋" w:eastAsia="仿宋" w:cstheme="minorEastAsia"/>
          <w:color w:val="auto"/>
          <w:sz w:val="32"/>
          <w:szCs w:val="32"/>
        </w:rPr>
      </w:pPr>
      <w:r>
        <w:rPr>
          <w:rFonts w:ascii="仿宋" w:hAnsi="仿宋" w:eastAsia="仿宋" w:cstheme="minorEastAsia"/>
          <w:b/>
          <w:color w:val="auto"/>
          <w:sz w:val="32"/>
          <w:szCs w:val="32"/>
        </w:rPr>
        <w:t>2</w:t>
      </w:r>
      <w:r>
        <w:rPr>
          <w:rFonts w:hint="eastAsia" w:ascii="仿宋" w:hAnsi="仿宋" w:eastAsia="仿宋" w:cstheme="minorEastAsia"/>
          <w:b/>
          <w:color w:val="auto"/>
          <w:sz w:val="32"/>
          <w:szCs w:val="32"/>
        </w:rPr>
        <w:t>.支出预算。</w:t>
      </w:r>
      <w:r>
        <w:rPr>
          <w:rFonts w:hint="eastAsia" w:ascii="仿宋" w:hAnsi="仿宋" w:eastAsia="仿宋" w:cstheme="minorEastAsia"/>
          <w:color w:val="auto"/>
          <w:sz w:val="32"/>
          <w:szCs w:val="32"/>
          <w:lang w:eastAsia="zh-CN"/>
        </w:rPr>
        <w:t>2024</w:t>
      </w:r>
      <w:r>
        <w:rPr>
          <w:rFonts w:hint="eastAsia" w:ascii="仿宋" w:hAnsi="仿宋" w:eastAsia="仿宋" w:cstheme="minorEastAsia"/>
          <w:color w:val="auto"/>
          <w:sz w:val="32"/>
          <w:szCs w:val="32"/>
        </w:rPr>
        <w:t>年年初预算数</w:t>
      </w:r>
      <w:r>
        <w:rPr>
          <w:rFonts w:hint="eastAsia" w:ascii="仿宋" w:hAnsi="仿宋" w:eastAsia="仿宋" w:cstheme="minorEastAsia"/>
          <w:color w:val="auto"/>
          <w:sz w:val="32"/>
          <w:szCs w:val="32"/>
          <w:lang w:val="en-US" w:eastAsia="zh-CN"/>
        </w:rPr>
        <w:t>3550.44</w:t>
      </w:r>
      <w:r>
        <w:rPr>
          <w:rFonts w:hint="eastAsia" w:ascii="仿宋" w:hAnsi="仿宋" w:eastAsia="仿宋" w:cstheme="minorEastAsia"/>
          <w:color w:val="auto"/>
          <w:sz w:val="32"/>
          <w:szCs w:val="32"/>
        </w:rPr>
        <w:t>万元，其中，基本支出</w:t>
      </w:r>
      <w:r>
        <w:rPr>
          <w:rFonts w:hint="eastAsia" w:ascii="仿宋" w:hAnsi="仿宋" w:eastAsia="仿宋" w:cstheme="minorEastAsia"/>
          <w:color w:val="auto"/>
          <w:sz w:val="32"/>
          <w:szCs w:val="32"/>
          <w:lang w:val="en-US" w:eastAsia="zh-CN"/>
        </w:rPr>
        <w:t>870.34</w:t>
      </w:r>
      <w:r>
        <w:rPr>
          <w:rFonts w:hint="eastAsia" w:ascii="仿宋" w:hAnsi="仿宋" w:eastAsia="仿宋" w:cstheme="minorEastAsia"/>
          <w:color w:val="auto"/>
          <w:sz w:val="32"/>
          <w:szCs w:val="32"/>
        </w:rPr>
        <w:t>万元、项目支出</w:t>
      </w:r>
      <w:r>
        <w:rPr>
          <w:rFonts w:hint="eastAsia" w:ascii="仿宋" w:hAnsi="仿宋" w:eastAsia="仿宋" w:cstheme="minorEastAsia"/>
          <w:color w:val="auto"/>
          <w:sz w:val="32"/>
          <w:szCs w:val="32"/>
          <w:lang w:val="en-US" w:eastAsia="zh-CN"/>
        </w:rPr>
        <w:t>2680.1</w:t>
      </w:r>
      <w:r>
        <w:rPr>
          <w:rFonts w:hint="eastAsia" w:ascii="仿宋" w:hAnsi="仿宋" w:eastAsia="仿宋" w:cstheme="minorEastAsia"/>
          <w:color w:val="auto"/>
          <w:sz w:val="32"/>
          <w:szCs w:val="32"/>
        </w:rPr>
        <w:t>万元。基本支出较去年</w:t>
      </w:r>
      <w:r>
        <w:rPr>
          <w:rFonts w:hint="eastAsia" w:ascii="仿宋" w:hAnsi="仿宋" w:eastAsia="仿宋" w:cstheme="minorEastAsia"/>
          <w:color w:val="auto"/>
          <w:sz w:val="32"/>
          <w:szCs w:val="32"/>
          <w:lang w:eastAsia="zh-CN"/>
        </w:rPr>
        <w:t>减少</w:t>
      </w:r>
      <w:r>
        <w:rPr>
          <w:rFonts w:hint="eastAsia" w:ascii="仿宋" w:hAnsi="仿宋" w:eastAsia="仿宋" w:cstheme="minorEastAsia"/>
          <w:color w:val="auto"/>
          <w:sz w:val="32"/>
          <w:szCs w:val="32"/>
          <w:lang w:val="en-US" w:eastAsia="zh-CN"/>
        </w:rPr>
        <w:t>63.04</w:t>
      </w:r>
      <w:r>
        <w:rPr>
          <w:rFonts w:hint="eastAsia" w:ascii="仿宋" w:hAnsi="仿宋" w:eastAsia="仿宋" w:cstheme="minorEastAsia"/>
          <w:color w:val="auto"/>
          <w:sz w:val="32"/>
          <w:szCs w:val="32"/>
        </w:rPr>
        <w:t>万元，项目较去年</w:t>
      </w:r>
      <w:r>
        <w:rPr>
          <w:rFonts w:hint="eastAsia" w:ascii="仿宋" w:hAnsi="仿宋" w:eastAsia="仿宋" w:cstheme="minorEastAsia"/>
          <w:color w:val="auto"/>
          <w:sz w:val="32"/>
          <w:szCs w:val="32"/>
          <w:lang w:eastAsia="zh-CN"/>
        </w:rPr>
        <w:t>增加</w:t>
      </w:r>
      <w:r>
        <w:rPr>
          <w:rFonts w:hint="eastAsia" w:ascii="仿宋" w:hAnsi="仿宋" w:eastAsia="仿宋" w:cstheme="minorEastAsia"/>
          <w:color w:val="auto"/>
          <w:sz w:val="32"/>
          <w:szCs w:val="32"/>
          <w:lang w:val="en-US" w:eastAsia="zh-CN"/>
        </w:rPr>
        <w:t>2478.1</w:t>
      </w:r>
      <w:r>
        <w:rPr>
          <w:rFonts w:hint="eastAsia" w:ascii="仿宋" w:hAnsi="仿宋" w:eastAsia="仿宋" w:cstheme="minorEastAsia"/>
          <w:color w:val="auto"/>
          <w:sz w:val="32"/>
          <w:szCs w:val="32"/>
        </w:rPr>
        <w:t>万元，基本支出</w:t>
      </w:r>
      <w:r>
        <w:rPr>
          <w:rFonts w:hint="eastAsia" w:ascii="仿宋" w:hAnsi="仿宋" w:eastAsia="仿宋" w:cstheme="minorEastAsia"/>
          <w:color w:val="auto"/>
          <w:sz w:val="32"/>
          <w:szCs w:val="32"/>
          <w:lang w:eastAsia="zh-CN"/>
        </w:rPr>
        <w:t>减少</w:t>
      </w:r>
      <w:r>
        <w:rPr>
          <w:rFonts w:hint="eastAsia" w:ascii="仿宋" w:hAnsi="仿宋" w:eastAsia="仿宋" w:cstheme="minorEastAsia"/>
          <w:color w:val="auto"/>
          <w:sz w:val="32"/>
          <w:szCs w:val="32"/>
        </w:rPr>
        <w:t>的主要原因</w:t>
      </w:r>
      <w:r>
        <w:rPr>
          <w:rFonts w:hint="eastAsia" w:ascii="仿宋" w:hAnsi="仿宋" w:eastAsia="仿宋" w:cstheme="minorEastAsia"/>
          <w:color w:val="auto"/>
          <w:sz w:val="32"/>
          <w:szCs w:val="32"/>
          <w:lang w:eastAsia="zh-CN"/>
        </w:rPr>
        <w:t>人员退休</w:t>
      </w:r>
      <w:r>
        <w:rPr>
          <w:rFonts w:hint="eastAsia" w:ascii="仿宋" w:hAnsi="仿宋" w:eastAsia="仿宋" w:cstheme="minorEastAsia"/>
          <w:color w:val="auto"/>
          <w:sz w:val="32"/>
          <w:szCs w:val="32"/>
        </w:rPr>
        <w:t>；项目支出</w:t>
      </w:r>
      <w:r>
        <w:rPr>
          <w:rFonts w:hint="eastAsia" w:ascii="仿宋" w:hAnsi="仿宋" w:eastAsia="仿宋" w:cstheme="minorEastAsia"/>
          <w:color w:val="auto"/>
          <w:sz w:val="32"/>
          <w:szCs w:val="32"/>
          <w:lang w:eastAsia="zh-CN"/>
        </w:rPr>
        <w:t>增加</w:t>
      </w:r>
      <w:r>
        <w:rPr>
          <w:rFonts w:hint="eastAsia" w:ascii="仿宋" w:hAnsi="仿宋" w:eastAsia="仿宋" w:cstheme="minorEastAsia"/>
          <w:color w:val="auto"/>
          <w:sz w:val="32"/>
          <w:szCs w:val="32"/>
        </w:rPr>
        <w:t>主要原因是</w:t>
      </w:r>
      <w:r>
        <w:rPr>
          <w:rFonts w:hint="eastAsia" w:ascii="仿宋" w:hAnsi="仿宋" w:eastAsia="仿宋" w:cstheme="minorEastAsia"/>
          <w:color w:val="auto"/>
          <w:sz w:val="32"/>
          <w:szCs w:val="32"/>
          <w:lang w:eastAsia="zh-CN"/>
        </w:rPr>
        <w:t>2024</w:t>
      </w:r>
      <w:r>
        <w:rPr>
          <w:rFonts w:hint="eastAsia" w:ascii="仿宋" w:hAnsi="仿宋" w:eastAsia="仿宋" w:cstheme="minorEastAsia"/>
          <w:color w:val="auto"/>
          <w:sz w:val="32"/>
          <w:szCs w:val="32"/>
        </w:rPr>
        <w:t>年</w:t>
      </w:r>
      <w:r>
        <w:rPr>
          <w:rFonts w:hint="eastAsia" w:ascii="仿宋" w:hAnsi="仿宋" w:eastAsia="仿宋" w:cstheme="minorEastAsia"/>
          <w:color w:val="auto"/>
          <w:sz w:val="32"/>
          <w:szCs w:val="32"/>
          <w:lang w:eastAsia="zh-CN"/>
        </w:rPr>
        <w:t>增加了</w:t>
      </w:r>
      <w:r>
        <w:rPr>
          <w:rFonts w:hint="eastAsia" w:ascii="仿宋" w:hAnsi="仿宋" w:eastAsia="仿宋" w:cstheme="minorEastAsia"/>
          <w:color w:val="auto"/>
          <w:sz w:val="32"/>
          <w:szCs w:val="32"/>
          <w:lang w:eastAsia="zh-CN"/>
        </w:rPr>
        <w:t>市中心城区购房补贴</w:t>
      </w:r>
      <w:r>
        <w:rPr>
          <w:rFonts w:hint="eastAsia" w:ascii="仿宋" w:hAnsi="仿宋" w:eastAsia="仿宋" w:cstheme="minorEastAsia"/>
          <w:color w:val="auto"/>
          <w:sz w:val="32"/>
          <w:szCs w:val="32"/>
        </w:rPr>
        <w:t>的预算支出。</w:t>
      </w:r>
      <w:r>
        <w:rPr>
          <w:rFonts w:ascii="仿宋" w:hAnsi="仿宋" w:eastAsia="仿宋" w:cstheme="minorEastAsia"/>
          <w:color w:val="auto"/>
          <w:sz w:val="32"/>
          <w:szCs w:val="32"/>
        </w:rPr>
        <w:t xml:space="preserve"> </w:t>
      </w:r>
    </w:p>
    <w:p w14:paraId="0D440E35">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仿宋" w:hAnsi="仿宋" w:eastAsia="仿宋" w:cstheme="minorEastAsia"/>
          <w:color w:val="auto"/>
          <w:sz w:val="32"/>
          <w:szCs w:val="32"/>
        </w:rPr>
      </w:pPr>
      <w:r>
        <w:rPr>
          <w:rFonts w:ascii="仿宋" w:hAnsi="仿宋" w:eastAsia="仿宋" w:cstheme="minorEastAsia"/>
          <w:b/>
          <w:color w:val="auto"/>
          <w:sz w:val="32"/>
          <w:szCs w:val="32"/>
        </w:rPr>
        <w:t>3</w:t>
      </w:r>
      <w:r>
        <w:rPr>
          <w:rFonts w:hint="eastAsia" w:ascii="仿宋" w:hAnsi="仿宋" w:eastAsia="仿宋" w:cstheme="minorEastAsia"/>
          <w:b/>
          <w:color w:val="auto"/>
          <w:sz w:val="32"/>
          <w:szCs w:val="32"/>
        </w:rPr>
        <w:t>.支出决算。</w:t>
      </w:r>
      <w:r>
        <w:rPr>
          <w:rFonts w:hint="eastAsia" w:ascii="仿宋" w:hAnsi="仿宋" w:eastAsia="仿宋" w:cstheme="minorEastAsia"/>
          <w:color w:val="auto"/>
          <w:sz w:val="32"/>
          <w:szCs w:val="32"/>
          <w:lang w:eastAsia="zh-CN"/>
        </w:rPr>
        <w:t>2024</w:t>
      </w:r>
      <w:r>
        <w:rPr>
          <w:rFonts w:hint="eastAsia" w:ascii="仿宋" w:hAnsi="仿宋" w:eastAsia="仿宋" w:cstheme="minorEastAsia"/>
          <w:color w:val="auto"/>
          <w:sz w:val="32"/>
          <w:szCs w:val="32"/>
        </w:rPr>
        <w:t>年支出决算数1</w:t>
      </w:r>
      <w:r>
        <w:rPr>
          <w:rFonts w:hint="eastAsia" w:ascii="仿宋" w:hAnsi="仿宋" w:eastAsia="仿宋" w:cstheme="minorEastAsia"/>
          <w:color w:val="auto"/>
          <w:sz w:val="32"/>
          <w:szCs w:val="32"/>
          <w:lang w:val="en-US" w:eastAsia="zh-CN"/>
        </w:rPr>
        <w:t>403.23</w:t>
      </w:r>
      <w:r>
        <w:rPr>
          <w:rFonts w:hint="eastAsia" w:ascii="仿宋" w:hAnsi="仿宋" w:eastAsia="仿宋" w:cstheme="minorEastAsia"/>
          <w:color w:val="auto"/>
          <w:sz w:val="32"/>
          <w:szCs w:val="32"/>
        </w:rPr>
        <w:t>万元，其中：基本支出</w:t>
      </w:r>
      <w:r>
        <w:rPr>
          <w:rFonts w:hint="eastAsia" w:ascii="仿宋" w:hAnsi="仿宋" w:eastAsia="仿宋" w:cstheme="minorEastAsia"/>
          <w:color w:val="auto"/>
          <w:sz w:val="32"/>
          <w:szCs w:val="32"/>
          <w:lang w:val="en-US" w:eastAsia="zh-CN"/>
        </w:rPr>
        <w:t>859.70</w:t>
      </w:r>
      <w:r>
        <w:rPr>
          <w:rFonts w:hint="eastAsia" w:ascii="仿宋" w:hAnsi="仿宋" w:eastAsia="仿宋" w:cstheme="minorEastAsia"/>
          <w:color w:val="auto"/>
          <w:sz w:val="32"/>
          <w:szCs w:val="32"/>
        </w:rPr>
        <w:t>万元、项目支出5</w:t>
      </w:r>
      <w:r>
        <w:rPr>
          <w:rFonts w:hint="eastAsia" w:ascii="仿宋" w:hAnsi="仿宋" w:eastAsia="仿宋" w:cstheme="minorEastAsia"/>
          <w:color w:val="auto"/>
          <w:sz w:val="32"/>
          <w:szCs w:val="32"/>
          <w:lang w:val="en-US" w:eastAsia="zh-CN"/>
        </w:rPr>
        <w:t>43.53</w:t>
      </w:r>
      <w:r>
        <w:rPr>
          <w:rFonts w:hint="eastAsia" w:ascii="仿宋" w:hAnsi="仿宋" w:eastAsia="仿宋" w:cstheme="minorEastAsia"/>
          <w:color w:val="auto"/>
          <w:sz w:val="32"/>
          <w:szCs w:val="32"/>
        </w:rPr>
        <w:t>万元。按经济分类支出合计</w:t>
      </w:r>
      <w:r>
        <w:rPr>
          <w:rFonts w:hint="eastAsia" w:ascii="仿宋" w:hAnsi="仿宋" w:eastAsia="仿宋" w:cstheme="minorEastAsia"/>
          <w:color w:val="auto"/>
          <w:sz w:val="32"/>
          <w:szCs w:val="32"/>
          <w:lang w:val="en-US" w:eastAsia="zh-CN"/>
        </w:rPr>
        <w:t>1403.23</w:t>
      </w:r>
      <w:r>
        <w:rPr>
          <w:rFonts w:hint="eastAsia" w:ascii="仿宋" w:hAnsi="仿宋" w:eastAsia="仿宋" w:cstheme="minorEastAsia"/>
          <w:color w:val="auto"/>
          <w:sz w:val="32"/>
          <w:szCs w:val="32"/>
        </w:rPr>
        <w:t>万元，其中工资福利支出72</w:t>
      </w:r>
      <w:r>
        <w:rPr>
          <w:rFonts w:hint="eastAsia" w:ascii="仿宋" w:hAnsi="仿宋" w:eastAsia="仿宋" w:cstheme="minorEastAsia"/>
          <w:color w:val="auto"/>
          <w:sz w:val="32"/>
          <w:szCs w:val="32"/>
          <w:lang w:val="en-US" w:eastAsia="zh-CN"/>
        </w:rPr>
        <w:t>0.29</w:t>
      </w:r>
      <w:r>
        <w:rPr>
          <w:rFonts w:hint="eastAsia" w:ascii="仿宋" w:hAnsi="仿宋" w:eastAsia="仿宋" w:cstheme="minorEastAsia"/>
          <w:color w:val="auto"/>
          <w:sz w:val="32"/>
          <w:szCs w:val="32"/>
        </w:rPr>
        <w:t>万元、商品和服务支出</w:t>
      </w:r>
      <w:r>
        <w:rPr>
          <w:rFonts w:hint="eastAsia" w:ascii="仿宋" w:hAnsi="仿宋" w:eastAsia="仿宋" w:cstheme="minorEastAsia"/>
          <w:color w:val="auto"/>
          <w:sz w:val="32"/>
          <w:szCs w:val="32"/>
          <w:lang w:val="en-US" w:eastAsia="zh-CN"/>
        </w:rPr>
        <w:t>611.11</w:t>
      </w:r>
      <w:r>
        <w:rPr>
          <w:rFonts w:hint="eastAsia" w:ascii="仿宋" w:hAnsi="仿宋" w:eastAsia="仿宋" w:cstheme="minorEastAsia"/>
          <w:color w:val="auto"/>
          <w:sz w:val="32"/>
          <w:szCs w:val="32"/>
        </w:rPr>
        <w:t>万元、对个人和家庭的补助</w:t>
      </w:r>
      <w:r>
        <w:rPr>
          <w:rFonts w:hint="eastAsia" w:ascii="仿宋" w:hAnsi="仿宋" w:eastAsia="仿宋" w:cstheme="minorEastAsia"/>
          <w:color w:val="auto"/>
          <w:sz w:val="32"/>
          <w:szCs w:val="32"/>
          <w:lang w:val="en-US" w:eastAsia="zh-CN"/>
        </w:rPr>
        <w:t>65.59</w:t>
      </w:r>
      <w:r>
        <w:rPr>
          <w:rFonts w:hint="eastAsia" w:ascii="仿宋" w:hAnsi="仿宋" w:eastAsia="仿宋" w:cstheme="minorEastAsia"/>
          <w:color w:val="auto"/>
          <w:sz w:val="32"/>
          <w:szCs w:val="32"/>
        </w:rPr>
        <w:t>万元、资本性支出</w:t>
      </w:r>
      <w:r>
        <w:rPr>
          <w:rFonts w:hint="eastAsia" w:ascii="仿宋" w:hAnsi="仿宋" w:eastAsia="仿宋" w:cstheme="minorEastAsia"/>
          <w:color w:val="auto"/>
          <w:sz w:val="32"/>
          <w:szCs w:val="32"/>
          <w:lang w:val="en-US" w:eastAsia="zh-CN"/>
        </w:rPr>
        <w:t>6.24</w:t>
      </w:r>
      <w:r>
        <w:rPr>
          <w:rFonts w:hint="eastAsia" w:ascii="仿宋" w:hAnsi="仿宋" w:eastAsia="仿宋" w:cstheme="minorEastAsia"/>
          <w:color w:val="auto"/>
          <w:sz w:val="32"/>
          <w:szCs w:val="32"/>
        </w:rPr>
        <w:t>万元。</w:t>
      </w:r>
    </w:p>
    <w:p w14:paraId="11BBB111">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 w:hAnsi="楷体" w:eastAsia="楷体" w:cs="楷体"/>
          <w:color w:val="auto"/>
          <w:sz w:val="32"/>
          <w:szCs w:val="32"/>
        </w:rPr>
      </w:pPr>
      <w:r>
        <w:rPr>
          <w:rFonts w:hint="eastAsia" w:ascii="楷体" w:hAnsi="楷体" w:eastAsia="楷体" w:cs="楷体"/>
          <w:b/>
          <w:color w:val="auto"/>
          <w:sz w:val="32"/>
          <w:szCs w:val="32"/>
        </w:rPr>
        <w:t>（</w:t>
      </w:r>
      <w:r>
        <w:rPr>
          <w:rFonts w:hint="eastAsia" w:ascii="楷体" w:hAnsi="楷体" w:eastAsia="楷体" w:cs="楷体"/>
          <w:b/>
          <w:color w:val="auto"/>
          <w:sz w:val="32"/>
          <w:szCs w:val="32"/>
          <w:lang w:val="en-US" w:eastAsia="zh-CN"/>
        </w:rPr>
        <w:t>二</w:t>
      </w:r>
      <w:r>
        <w:rPr>
          <w:rFonts w:hint="eastAsia" w:ascii="楷体" w:hAnsi="楷体" w:eastAsia="楷体" w:cs="楷体"/>
          <w:b/>
          <w:color w:val="auto"/>
          <w:sz w:val="32"/>
          <w:szCs w:val="32"/>
        </w:rPr>
        <w:t>）</w:t>
      </w:r>
      <w:r>
        <w:rPr>
          <w:rFonts w:hint="eastAsia" w:ascii="楷体" w:hAnsi="楷体" w:eastAsia="楷体" w:cs="楷体"/>
          <w:b/>
          <w:color w:val="auto"/>
          <w:sz w:val="32"/>
          <w:szCs w:val="32"/>
          <w:lang w:val="en-US" w:eastAsia="zh-CN"/>
        </w:rPr>
        <w:t>部门预算执行情况</w:t>
      </w:r>
    </w:p>
    <w:p w14:paraId="0BF36741">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 w:hAnsi="仿宋" w:eastAsia="仿宋" w:cstheme="minorEastAsia"/>
          <w:b/>
          <w:color w:val="auto"/>
          <w:sz w:val="32"/>
          <w:szCs w:val="32"/>
        </w:rPr>
      </w:pPr>
      <w:r>
        <w:rPr>
          <w:rFonts w:hint="eastAsia" w:ascii="仿宋" w:hAnsi="仿宋" w:eastAsia="仿宋" w:cstheme="minorEastAsia"/>
          <w:b/>
          <w:color w:val="auto"/>
          <w:sz w:val="32"/>
          <w:szCs w:val="32"/>
        </w:rPr>
        <w:t>1.基本支出情况</w:t>
      </w:r>
    </w:p>
    <w:p w14:paraId="4844E487">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stheme="minorEastAsia"/>
          <w:color w:val="auto"/>
          <w:sz w:val="32"/>
          <w:szCs w:val="32"/>
        </w:rPr>
      </w:pPr>
      <w:r>
        <w:rPr>
          <w:rFonts w:hint="eastAsia" w:ascii="仿宋" w:hAnsi="仿宋" w:eastAsia="仿宋" w:cstheme="minorEastAsia"/>
          <w:color w:val="auto"/>
          <w:sz w:val="32"/>
          <w:szCs w:val="32"/>
        </w:rPr>
        <w:t>怀化市住房保障服务中心</w:t>
      </w:r>
      <w:r>
        <w:rPr>
          <w:rFonts w:hint="eastAsia" w:ascii="仿宋" w:hAnsi="仿宋" w:eastAsia="仿宋" w:cstheme="minorEastAsia"/>
          <w:color w:val="auto"/>
          <w:sz w:val="32"/>
          <w:szCs w:val="32"/>
          <w:lang w:eastAsia="zh-CN"/>
        </w:rPr>
        <w:t>2024</w:t>
      </w:r>
      <w:r>
        <w:rPr>
          <w:rFonts w:hint="eastAsia" w:ascii="仿宋" w:hAnsi="仿宋" w:eastAsia="仿宋" w:cstheme="minorEastAsia"/>
          <w:color w:val="auto"/>
          <w:sz w:val="32"/>
          <w:szCs w:val="32"/>
        </w:rPr>
        <w:t>年基本支出</w:t>
      </w:r>
      <w:r>
        <w:rPr>
          <w:rFonts w:hint="eastAsia" w:ascii="仿宋" w:hAnsi="仿宋" w:eastAsia="仿宋" w:cstheme="minorEastAsia"/>
          <w:color w:val="auto"/>
          <w:sz w:val="32"/>
          <w:szCs w:val="32"/>
          <w:lang w:val="en-US" w:eastAsia="zh-CN"/>
        </w:rPr>
        <w:t>859.70</w:t>
      </w:r>
      <w:r>
        <w:rPr>
          <w:rFonts w:hint="eastAsia" w:ascii="仿宋" w:hAnsi="仿宋" w:eastAsia="仿宋" w:cstheme="minorEastAsia"/>
          <w:color w:val="auto"/>
          <w:sz w:val="32"/>
          <w:szCs w:val="32"/>
        </w:rPr>
        <w:t>万元，其中：人员经费78</w:t>
      </w:r>
      <w:r>
        <w:rPr>
          <w:rFonts w:hint="eastAsia" w:ascii="仿宋" w:hAnsi="仿宋" w:eastAsia="仿宋" w:cstheme="minorEastAsia"/>
          <w:color w:val="auto"/>
          <w:sz w:val="32"/>
          <w:szCs w:val="32"/>
          <w:lang w:val="en-US" w:eastAsia="zh-CN"/>
        </w:rPr>
        <w:t>2.19</w:t>
      </w:r>
      <w:r>
        <w:rPr>
          <w:rFonts w:hint="eastAsia" w:ascii="仿宋" w:hAnsi="仿宋" w:eastAsia="仿宋" w:cstheme="minorEastAsia"/>
          <w:color w:val="auto"/>
          <w:sz w:val="32"/>
          <w:szCs w:val="32"/>
        </w:rPr>
        <w:t>万元，人员经费主要包括基本工资、津贴补贴、奖金、绩效工资、机关事业单位基本养老保险缴费、职业年金缴费、其他社会保障缴费、离休费、退休费、生活补助、住房公积金、其他对个人和家庭的补助支出；日常公用经费</w:t>
      </w:r>
      <w:r>
        <w:rPr>
          <w:rFonts w:hint="eastAsia" w:ascii="仿宋" w:hAnsi="仿宋" w:eastAsia="仿宋" w:cstheme="minorEastAsia"/>
          <w:color w:val="auto"/>
          <w:sz w:val="32"/>
          <w:szCs w:val="32"/>
          <w:lang w:val="en-US" w:eastAsia="zh-CN"/>
        </w:rPr>
        <w:t>77.51</w:t>
      </w:r>
      <w:r>
        <w:rPr>
          <w:rFonts w:hint="eastAsia" w:ascii="仿宋" w:hAnsi="仿宋" w:eastAsia="仿宋" w:cstheme="minorEastAsia"/>
          <w:color w:val="auto"/>
          <w:sz w:val="32"/>
          <w:szCs w:val="32"/>
        </w:rPr>
        <w:t>万元，公用经费主要包括办公费、印刷费、咨询费、手续费、水费、电费、物业管理费、差旅费、维修（护）费、公务接待费、劳务费、委托业务费、工会经费、公务用车运行维护费、其他交通费用、税金及附加费用、其他商品和服务支出、办公设备购置、专用设备购置、其他资本性支出。</w:t>
      </w:r>
    </w:p>
    <w:p w14:paraId="5CB793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theme="minorEastAsia"/>
          <w:b/>
          <w:color w:val="auto"/>
          <w:sz w:val="32"/>
          <w:szCs w:val="32"/>
        </w:rPr>
      </w:pPr>
      <w:r>
        <w:rPr>
          <w:rFonts w:hint="eastAsia" w:ascii="仿宋" w:hAnsi="仿宋" w:eastAsia="仿宋" w:cstheme="minorEastAsia"/>
          <w:b/>
          <w:color w:val="auto"/>
          <w:sz w:val="32"/>
          <w:szCs w:val="32"/>
          <w:lang w:val="en-US" w:eastAsia="zh-CN"/>
        </w:rPr>
        <w:t>2.项目支出</w:t>
      </w:r>
      <w:r>
        <w:rPr>
          <w:rFonts w:hint="eastAsia" w:ascii="仿宋" w:hAnsi="仿宋" w:eastAsia="仿宋" w:cstheme="minorEastAsia"/>
          <w:b/>
          <w:color w:val="auto"/>
          <w:sz w:val="32"/>
          <w:szCs w:val="32"/>
        </w:rPr>
        <w:t>情况</w:t>
      </w:r>
    </w:p>
    <w:p w14:paraId="691E7F2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theme="minorEastAsia"/>
          <w:color w:val="auto"/>
          <w:sz w:val="32"/>
          <w:szCs w:val="32"/>
        </w:rPr>
      </w:pPr>
      <w:r>
        <w:rPr>
          <w:rFonts w:hint="eastAsia" w:ascii="仿宋" w:hAnsi="仿宋" w:eastAsia="仿宋" w:cstheme="minorEastAsia"/>
          <w:color w:val="auto"/>
          <w:sz w:val="32"/>
          <w:szCs w:val="32"/>
          <w:lang w:eastAsia="zh-CN"/>
        </w:rPr>
        <w:t>2024</w:t>
      </w:r>
      <w:r>
        <w:rPr>
          <w:rFonts w:hint="eastAsia" w:ascii="仿宋" w:hAnsi="仿宋" w:eastAsia="仿宋" w:cstheme="minorEastAsia"/>
          <w:color w:val="auto"/>
          <w:sz w:val="32"/>
          <w:szCs w:val="32"/>
        </w:rPr>
        <w:t>年年初预算数为</w:t>
      </w:r>
      <w:r>
        <w:rPr>
          <w:rFonts w:hint="eastAsia" w:ascii="仿宋" w:hAnsi="仿宋" w:eastAsia="仿宋" w:cstheme="minorEastAsia"/>
          <w:color w:val="auto"/>
          <w:sz w:val="32"/>
          <w:szCs w:val="32"/>
          <w:lang w:val="en-US" w:eastAsia="zh-CN"/>
        </w:rPr>
        <w:t>2680.1</w:t>
      </w:r>
      <w:r>
        <w:rPr>
          <w:rFonts w:hint="eastAsia" w:ascii="仿宋" w:hAnsi="仿宋" w:eastAsia="仿宋" w:cstheme="minorEastAsia"/>
          <w:color w:val="auto"/>
          <w:sz w:val="32"/>
          <w:szCs w:val="32"/>
        </w:rPr>
        <w:t>万元，是指单位为完成特定行政工作任务或事业发展目标而发生的支出，包括有关事业发展专项、专项业务费、基本建设支出等。其中：白蚁防治服务支出162万元，主要用于市本级</w:t>
      </w:r>
      <w:r>
        <w:rPr>
          <w:rFonts w:hint="eastAsia" w:ascii="仿宋" w:hAnsi="仿宋" w:eastAsia="仿宋" w:cstheme="minorEastAsia"/>
          <w:color w:val="auto"/>
          <w:sz w:val="32"/>
          <w:szCs w:val="32"/>
          <w:lang w:eastAsia="zh-CN"/>
        </w:rPr>
        <w:t>城市</w:t>
      </w:r>
      <w:r>
        <w:rPr>
          <w:rFonts w:hint="eastAsia" w:ascii="仿宋" w:hAnsi="仿宋" w:eastAsia="仿宋" w:cstheme="minorEastAsia"/>
          <w:color w:val="auto"/>
          <w:sz w:val="32"/>
          <w:szCs w:val="32"/>
        </w:rPr>
        <w:t>房屋建筑及园林绿化树木白蚁预防</w:t>
      </w:r>
      <w:r>
        <w:rPr>
          <w:rFonts w:hint="eastAsia" w:ascii="仿宋" w:hAnsi="仿宋" w:eastAsia="仿宋" w:cstheme="minorEastAsia"/>
          <w:color w:val="auto"/>
          <w:sz w:val="32"/>
          <w:szCs w:val="32"/>
          <w:lang w:eastAsia="zh-CN"/>
        </w:rPr>
        <w:t>、</w:t>
      </w:r>
      <w:r>
        <w:rPr>
          <w:rFonts w:hint="eastAsia" w:ascii="仿宋" w:hAnsi="仿宋" w:eastAsia="仿宋" w:cstheme="minorEastAsia"/>
          <w:color w:val="auto"/>
          <w:sz w:val="32"/>
          <w:szCs w:val="32"/>
        </w:rPr>
        <w:t>灭治用药水和施工劳务费；住保业务专项工作经费</w:t>
      </w:r>
      <w:r>
        <w:rPr>
          <w:rFonts w:hint="eastAsia" w:ascii="仿宋" w:hAnsi="仿宋" w:eastAsia="仿宋" w:cstheme="minorEastAsia"/>
          <w:color w:val="auto"/>
          <w:sz w:val="32"/>
          <w:szCs w:val="32"/>
          <w:lang w:val="en-US" w:eastAsia="zh-CN"/>
        </w:rPr>
        <w:t>8.1</w:t>
      </w:r>
      <w:r>
        <w:rPr>
          <w:rFonts w:hint="eastAsia" w:ascii="仿宋" w:hAnsi="仿宋" w:eastAsia="仿宋" w:cstheme="minorEastAsia"/>
          <w:color w:val="auto"/>
          <w:sz w:val="32"/>
          <w:szCs w:val="32"/>
        </w:rPr>
        <w:t>万元，主要弥补我单位管理市本级保障性住房相关工作正常运转所需经费。</w:t>
      </w:r>
      <w:r>
        <w:rPr>
          <w:rFonts w:hint="eastAsia" w:ascii="仿宋" w:hAnsi="仿宋" w:eastAsia="仿宋" w:cstheme="minorEastAsia"/>
          <w:color w:val="auto"/>
          <w:sz w:val="32"/>
          <w:szCs w:val="32"/>
          <w:lang w:eastAsia="zh-CN"/>
        </w:rPr>
        <w:t>市中心城区购房补贴</w:t>
      </w:r>
      <w:r>
        <w:rPr>
          <w:rFonts w:hint="eastAsia" w:ascii="仿宋" w:hAnsi="仿宋" w:eastAsia="仿宋" w:cstheme="minorEastAsia"/>
          <w:color w:val="auto"/>
          <w:sz w:val="32"/>
          <w:szCs w:val="32"/>
          <w:lang w:val="en-US" w:eastAsia="zh-CN"/>
        </w:rPr>
        <w:t>2500万元，用于发放2022-2023年城区购房契税补贴。</w:t>
      </w:r>
      <w:r>
        <w:rPr>
          <w:rFonts w:ascii="仿宋" w:hAnsi="仿宋" w:eastAsia="仿宋" w:cstheme="minorEastAsia"/>
          <w:color w:val="auto"/>
          <w:sz w:val="32"/>
          <w:szCs w:val="32"/>
        </w:rPr>
        <w:t>另有未纳入本部门预算，由</w:t>
      </w:r>
      <w:r>
        <w:rPr>
          <w:rFonts w:hint="eastAsia" w:ascii="仿宋" w:hAnsi="仿宋" w:eastAsia="仿宋" w:cstheme="minorEastAsia"/>
          <w:color w:val="auto"/>
          <w:sz w:val="32"/>
          <w:szCs w:val="32"/>
        </w:rPr>
        <w:t>市财政局</w:t>
      </w:r>
      <w:r>
        <w:rPr>
          <w:rFonts w:ascii="仿宋" w:hAnsi="仿宋" w:eastAsia="仿宋" w:cstheme="minorEastAsia"/>
          <w:color w:val="auto"/>
          <w:sz w:val="32"/>
          <w:szCs w:val="32"/>
        </w:rPr>
        <w:t>综合规划科室</w:t>
      </w:r>
      <w:r>
        <w:rPr>
          <w:rFonts w:ascii="仿宋" w:hAnsi="仿宋" w:eastAsia="仿宋" w:cstheme="minorEastAsia"/>
          <w:color w:val="auto"/>
          <w:sz w:val="32"/>
          <w:szCs w:val="32"/>
        </w:rPr>
        <w:t>直接拨款用于公租房后续管理的专项经费</w:t>
      </w:r>
      <w:r>
        <w:rPr>
          <w:rFonts w:hint="eastAsia" w:ascii="仿宋" w:hAnsi="仿宋" w:eastAsia="仿宋" w:cstheme="minorEastAsia"/>
          <w:color w:val="auto"/>
          <w:sz w:val="32"/>
          <w:szCs w:val="32"/>
          <w:lang w:val="en-US" w:eastAsia="zh-CN"/>
        </w:rPr>
        <w:t>589.34</w:t>
      </w:r>
      <w:r>
        <w:rPr>
          <w:rFonts w:ascii="仿宋" w:hAnsi="仿宋" w:eastAsia="仿宋" w:cstheme="minorEastAsia"/>
          <w:color w:val="auto"/>
          <w:sz w:val="32"/>
          <w:szCs w:val="32"/>
        </w:rPr>
        <w:t>万元，</w:t>
      </w:r>
      <w:r>
        <w:rPr>
          <w:rFonts w:ascii="仿宋" w:hAnsi="仿宋" w:eastAsia="仿宋" w:cs="汉仪书宋二S"/>
          <w:color w:val="auto"/>
          <w:sz w:val="32"/>
          <w:szCs w:val="32"/>
        </w:rPr>
        <w:t>主要用于</w:t>
      </w:r>
      <w:r>
        <w:rPr>
          <w:rFonts w:hint="eastAsia" w:ascii="仿宋" w:hAnsi="仿宋" w:eastAsia="仿宋" w:cs="汉仪书宋二S"/>
          <w:color w:val="auto"/>
          <w:sz w:val="32"/>
          <w:szCs w:val="32"/>
        </w:rPr>
        <w:t>市本级城南、城东、城北</w:t>
      </w:r>
      <w:r>
        <w:rPr>
          <w:rFonts w:hint="eastAsia" w:ascii="仿宋" w:hAnsi="仿宋" w:eastAsia="仿宋" w:cs="汉仪书宋二S"/>
          <w:color w:val="auto"/>
          <w:sz w:val="32"/>
          <w:szCs w:val="32"/>
          <w:lang w:eastAsia="zh-CN"/>
        </w:rPr>
        <w:t>三个</w:t>
      </w:r>
      <w:r>
        <w:rPr>
          <w:rFonts w:hint="eastAsia" w:ascii="仿宋" w:hAnsi="仿宋" w:eastAsia="仿宋" w:cs="汉仪书宋二S"/>
          <w:color w:val="auto"/>
          <w:sz w:val="32"/>
          <w:szCs w:val="32"/>
        </w:rPr>
        <w:t>公租房小区</w:t>
      </w:r>
      <w:r>
        <w:rPr>
          <w:rFonts w:hint="eastAsia" w:ascii="仿宋" w:hAnsi="仿宋" w:eastAsia="仿宋" w:cs="汉仪书宋二S"/>
          <w:color w:val="auto"/>
          <w:sz w:val="32"/>
          <w:szCs w:val="32"/>
          <w:lang w:eastAsia="zh-CN"/>
        </w:rPr>
        <w:t>的</w:t>
      </w:r>
      <w:r>
        <w:rPr>
          <w:rFonts w:ascii="仿宋" w:hAnsi="仿宋" w:eastAsia="仿宋" w:cs="汉仪书宋二S"/>
          <w:color w:val="auto"/>
          <w:sz w:val="32"/>
          <w:szCs w:val="32"/>
        </w:rPr>
        <w:t>日常维护、工作经费及财政物业补差。</w:t>
      </w:r>
    </w:p>
    <w:p w14:paraId="57690EAD">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仿宋" w:hAnsi="仿宋" w:eastAsia="仿宋" w:cstheme="minorEastAsia"/>
          <w:color w:val="auto"/>
          <w:sz w:val="32"/>
          <w:szCs w:val="32"/>
        </w:rPr>
      </w:pPr>
      <w:r>
        <w:rPr>
          <w:rFonts w:hint="eastAsia" w:ascii="仿宋" w:hAnsi="仿宋" w:eastAsia="仿宋" w:cstheme="minorEastAsia"/>
          <w:b/>
          <w:color w:val="auto"/>
          <w:sz w:val="32"/>
          <w:szCs w:val="32"/>
          <w:lang w:eastAsia="zh-CN"/>
        </w:rPr>
        <w:t>（</w:t>
      </w:r>
      <w:r>
        <w:rPr>
          <w:rFonts w:hint="eastAsia" w:ascii="仿宋" w:hAnsi="仿宋" w:eastAsia="仿宋" w:cstheme="minorEastAsia"/>
          <w:b/>
          <w:color w:val="auto"/>
          <w:sz w:val="32"/>
          <w:szCs w:val="32"/>
          <w:lang w:val="en-US" w:eastAsia="zh-CN"/>
        </w:rPr>
        <w:t>1</w:t>
      </w:r>
      <w:r>
        <w:rPr>
          <w:rFonts w:hint="eastAsia" w:ascii="仿宋" w:hAnsi="仿宋" w:eastAsia="仿宋" w:cstheme="minorEastAsia"/>
          <w:b/>
          <w:color w:val="auto"/>
          <w:sz w:val="32"/>
          <w:szCs w:val="32"/>
          <w:lang w:eastAsia="zh-CN"/>
        </w:rPr>
        <w:t>）</w:t>
      </w:r>
      <w:r>
        <w:rPr>
          <w:rFonts w:hint="eastAsia" w:ascii="仿宋" w:hAnsi="仿宋" w:eastAsia="仿宋" w:cstheme="minorEastAsia"/>
          <w:b/>
          <w:color w:val="auto"/>
          <w:sz w:val="32"/>
          <w:szCs w:val="32"/>
        </w:rPr>
        <w:t>项目资金实际使用情况。</w:t>
      </w:r>
      <w:r>
        <w:rPr>
          <w:rFonts w:hint="eastAsia" w:ascii="仿宋" w:hAnsi="仿宋" w:eastAsia="仿宋"/>
          <w:color w:val="auto"/>
          <w:sz w:val="32"/>
          <w:szCs w:val="32"/>
          <w:lang w:eastAsia="zh-CN"/>
        </w:rPr>
        <w:t>2024</w:t>
      </w:r>
      <w:r>
        <w:rPr>
          <w:rFonts w:ascii="仿宋" w:hAnsi="仿宋" w:eastAsia="仿宋"/>
          <w:color w:val="auto"/>
          <w:sz w:val="32"/>
          <w:szCs w:val="32"/>
        </w:rPr>
        <w:t>年</w:t>
      </w:r>
      <w:r>
        <w:rPr>
          <w:rFonts w:hint="eastAsia" w:ascii="仿宋" w:hAnsi="仿宋" w:eastAsia="仿宋"/>
          <w:color w:val="auto"/>
          <w:sz w:val="32"/>
          <w:szCs w:val="32"/>
        </w:rPr>
        <w:t>度</w:t>
      </w:r>
      <w:r>
        <w:rPr>
          <w:rFonts w:ascii="仿宋" w:hAnsi="仿宋" w:eastAsia="仿宋"/>
          <w:color w:val="auto"/>
          <w:sz w:val="32"/>
          <w:szCs w:val="32"/>
        </w:rPr>
        <w:t>白蚁防治</w:t>
      </w:r>
      <w:r>
        <w:rPr>
          <w:rFonts w:hint="eastAsia" w:ascii="仿宋" w:hAnsi="仿宋" w:eastAsia="仿宋"/>
          <w:color w:val="auto"/>
          <w:sz w:val="32"/>
          <w:szCs w:val="32"/>
        </w:rPr>
        <w:t>项目使用专项资金</w:t>
      </w:r>
      <w:r>
        <w:rPr>
          <w:rFonts w:hint="eastAsia" w:ascii="仿宋" w:hAnsi="仿宋" w:eastAsia="仿宋"/>
          <w:color w:val="auto"/>
          <w:sz w:val="32"/>
          <w:szCs w:val="32"/>
          <w:lang w:val="en-US" w:eastAsia="zh-CN"/>
        </w:rPr>
        <w:t>9.74</w:t>
      </w:r>
      <w:r>
        <w:rPr>
          <w:rFonts w:hint="eastAsia" w:ascii="仿宋" w:hAnsi="仿宋" w:eastAsia="仿宋"/>
          <w:color w:val="auto"/>
          <w:sz w:val="32"/>
          <w:szCs w:val="32"/>
        </w:rPr>
        <w:t>万元，结余资金</w:t>
      </w:r>
      <w:r>
        <w:rPr>
          <w:rFonts w:hint="eastAsia" w:ascii="仿宋" w:hAnsi="仿宋" w:eastAsia="仿宋"/>
          <w:color w:val="auto"/>
          <w:sz w:val="32"/>
          <w:szCs w:val="32"/>
          <w:lang w:val="en-US" w:eastAsia="zh-CN"/>
        </w:rPr>
        <w:t>98.97</w:t>
      </w:r>
      <w:r>
        <w:rPr>
          <w:rFonts w:hint="eastAsia" w:ascii="仿宋" w:hAnsi="仿宋" w:eastAsia="仿宋"/>
          <w:color w:val="auto"/>
          <w:sz w:val="32"/>
          <w:szCs w:val="32"/>
        </w:rPr>
        <w:t>万元，专项资金使用率</w:t>
      </w:r>
      <w:r>
        <w:rPr>
          <w:rFonts w:hint="eastAsia" w:ascii="仿宋" w:hAnsi="仿宋" w:eastAsia="仿宋"/>
          <w:color w:val="auto"/>
          <w:sz w:val="32"/>
          <w:szCs w:val="32"/>
          <w:lang w:val="en-US" w:eastAsia="zh-CN"/>
        </w:rPr>
        <w:t>8.96</w:t>
      </w:r>
      <w:r>
        <w:rPr>
          <w:rFonts w:hint="eastAsia" w:ascii="仿宋" w:hAnsi="仿宋" w:eastAsia="仿宋"/>
          <w:color w:val="auto"/>
          <w:sz w:val="32"/>
          <w:szCs w:val="32"/>
        </w:rPr>
        <w:t>％</w:t>
      </w:r>
      <w:r>
        <w:rPr>
          <w:rFonts w:ascii="仿宋" w:hAnsi="仿宋" w:eastAsia="仿宋"/>
          <w:color w:val="auto"/>
          <w:sz w:val="32"/>
          <w:szCs w:val="32"/>
        </w:rPr>
        <w:t>；</w:t>
      </w:r>
      <w:r>
        <w:rPr>
          <w:rFonts w:hint="eastAsia" w:ascii="仿宋" w:hAnsi="仿宋" w:eastAsia="仿宋"/>
          <w:color w:val="auto"/>
          <w:sz w:val="32"/>
          <w:szCs w:val="32"/>
          <w:lang w:eastAsia="zh-CN"/>
        </w:rPr>
        <w:t>直管</w:t>
      </w:r>
      <w:r>
        <w:rPr>
          <w:rFonts w:hint="eastAsia" w:ascii="仿宋" w:hAnsi="仿宋" w:eastAsia="仿宋" w:cstheme="minorEastAsia"/>
          <w:color w:val="auto"/>
          <w:sz w:val="32"/>
          <w:szCs w:val="32"/>
        </w:rPr>
        <w:t>公房维修</w:t>
      </w:r>
      <w:r>
        <w:rPr>
          <w:rFonts w:ascii="仿宋" w:hAnsi="仿宋" w:eastAsia="仿宋" w:cstheme="minorEastAsia"/>
          <w:color w:val="auto"/>
          <w:sz w:val="32"/>
          <w:szCs w:val="32"/>
        </w:rPr>
        <w:t>项目</w:t>
      </w:r>
      <w:r>
        <w:rPr>
          <w:rFonts w:hint="eastAsia" w:ascii="仿宋" w:hAnsi="仿宋" w:eastAsia="仿宋"/>
          <w:color w:val="auto"/>
          <w:sz w:val="32"/>
          <w:szCs w:val="32"/>
        </w:rPr>
        <w:t>使用专项资金</w:t>
      </w:r>
      <w:r>
        <w:rPr>
          <w:rFonts w:hint="eastAsia" w:ascii="仿宋" w:hAnsi="仿宋" w:eastAsia="仿宋"/>
          <w:color w:val="auto"/>
          <w:sz w:val="32"/>
          <w:szCs w:val="32"/>
          <w:lang w:val="en-US" w:eastAsia="zh-CN"/>
        </w:rPr>
        <w:t>1.93</w:t>
      </w:r>
      <w:r>
        <w:rPr>
          <w:rFonts w:hint="eastAsia" w:ascii="仿宋" w:hAnsi="仿宋" w:eastAsia="仿宋"/>
          <w:color w:val="auto"/>
          <w:sz w:val="32"/>
          <w:szCs w:val="32"/>
        </w:rPr>
        <w:t>万元，为202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年度</w:t>
      </w:r>
      <w:r>
        <w:rPr>
          <w:rFonts w:ascii="仿宋" w:hAnsi="仿宋" w:eastAsia="仿宋"/>
          <w:color w:val="auto"/>
          <w:sz w:val="32"/>
          <w:szCs w:val="32"/>
        </w:rPr>
        <w:t>结转至</w:t>
      </w:r>
      <w:r>
        <w:rPr>
          <w:rFonts w:hint="eastAsia" w:ascii="仿宋" w:hAnsi="仿宋" w:eastAsia="仿宋"/>
          <w:color w:val="auto"/>
          <w:sz w:val="32"/>
          <w:szCs w:val="32"/>
          <w:lang w:eastAsia="zh-CN"/>
        </w:rPr>
        <w:t>2024</w:t>
      </w:r>
      <w:r>
        <w:rPr>
          <w:rFonts w:ascii="仿宋" w:hAnsi="仿宋" w:eastAsia="仿宋"/>
          <w:color w:val="auto"/>
          <w:sz w:val="32"/>
          <w:szCs w:val="32"/>
        </w:rPr>
        <w:t>年</w:t>
      </w:r>
      <w:r>
        <w:rPr>
          <w:rFonts w:hint="eastAsia" w:ascii="仿宋" w:hAnsi="仿宋" w:eastAsia="仿宋"/>
          <w:color w:val="auto"/>
          <w:sz w:val="32"/>
          <w:szCs w:val="32"/>
        </w:rPr>
        <w:t>度</w:t>
      </w:r>
      <w:r>
        <w:rPr>
          <w:rFonts w:ascii="仿宋" w:hAnsi="仿宋" w:eastAsia="仿宋"/>
          <w:color w:val="auto"/>
          <w:sz w:val="32"/>
          <w:szCs w:val="32"/>
        </w:rPr>
        <w:t>用于</w:t>
      </w:r>
      <w:r>
        <w:rPr>
          <w:rFonts w:hint="eastAsia" w:ascii="仿宋" w:hAnsi="仿宋" w:eastAsia="仿宋"/>
          <w:color w:val="auto"/>
          <w:sz w:val="32"/>
          <w:szCs w:val="32"/>
          <w:lang w:eastAsia="zh-CN"/>
        </w:rPr>
        <w:t>工程质保金</w:t>
      </w:r>
      <w:r>
        <w:rPr>
          <w:rFonts w:ascii="仿宋" w:hAnsi="仿宋" w:eastAsia="仿宋"/>
          <w:color w:val="auto"/>
          <w:sz w:val="32"/>
          <w:szCs w:val="32"/>
        </w:rPr>
        <w:t>支付</w:t>
      </w:r>
      <w:r>
        <w:rPr>
          <w:rFonts w:hint="eastAsia" w:ascii="仿宋" w:hAnsi="仿宋" w:eastAsia="仿宋"/>
          <w:color w:val="auto"/>
          <w:sz w:val="32"/>
          <w:szCs w:val="32"/>
        </w:rPr>
        <w:t>，专项资金使用率100％</w:t>
      </w:r>
      <w:r>
        <w:rPr>
          <w:rFonts w:ascii="仿宋" w:hAnsi="仿宋" w:eastAsia="仿宋"/>
          <w:color w:val="auto"/>
          <w:sz w:val="32"/>
          <w:szCs w:val="32"/>
        </w:rPr>
        <w:t>。</w:t>
      </w:r>
      <w:r>
        <w:rPr>
          <w:rFonts w:hint="eastAsia" w:ascii="仿宋" w:hAnsi="仿宋" w:eastAsia="仿宋"/>
          <w:color w:val="auto"/>
          <w:sz w:val="32"/>
          <w:szCs w:val="32"/>
        </w:rPr>
        <w:t>公</w:t>
      </w:r>
      <w:r>
        <w:rPr>
          <w:rFonts w:ascii="仿宋" w:hAnsi="仿宋" w:eastAsia="仿宋"/>
          <w:color w:val="auto"/>
          <w:sz w:val="32"/>
          <w:szCs w:val="32"/>
        </w:rPr>
        <w:t>租房后续管理使用专项资金</w:t>
      </w:r>
      <w:r>
        <w:rPr>
          <w:rFonts w:hint="eastAsia" w:ascii="仿宋" w:hAnsi="仿宋" w:eastAsia="仿宋"/>
          <w:color w:val="auto"/>
          <w:sz w:val="32"/>
          <w:szCs w:val="32"/>
          <w:lang w:val="en-US" w:eastAsia="zh-CN"/>
        </w:rPr>
        <w:t>494.52</w:t>
      </w:r>
      <w:r>
        <w:rPr>
          <w:rFonts w:ascii="仿宋" w:hAnsi="仿宋" w:eastAsia="仿宋"/>
          <w:color w:val="auto"/>
          <w:sz w:val="32"/>
          <w:szCs w:val="32"/>
        </w:rPr>
        <w:t>万元，结余资金</w:t>
      </w:r>
      <w:r>
        <w:rPr>
          <w:rFonts w:hint="eastAsia" w:ascii="仿宋" w:hAnsi="仿宋" w:eastAsia="仿宋"/>
          <w:color w:val="auto"/>
          <w:sz w:val="32"/>
          <w:szCs w:val="32"/>
          <w:lang w:val="en-US" w:eastAsia="zh-CN"/>
        </w:rPr>
        <w:t>94.82</w:t>
      </w:r>
      <w:r>
        <w:rPr>
          <w:rFonts w:ascii="仿宋" w:hAnsi="仿宋" w:eastAsia="仿宋"/>
          <w:color w:val="auto"/>
          <w:sz w:val="32"/>
          <w:szCs w:val="32"/>
        </w:rPr>
        <w:t>万元，专项资金使用率</w:t>
      </w:r>
      <w:r>
        <w:rPr>
          <w:rFonts w:hint="eastAsia" w:ascii="仿宋" w:hAnsi="仿宋" w:eastAsia="仿宋"/>
          <w:color w:val="auto"/>
          <w:sz w:val="32"/>
          <w:szCs w:val="32"/>
          <w:lang w:val="en-US" w:eastAsia="zh-CN"/>
        </w:rPr>
        <w:t>83.91</w:t>
      </w:r>
      <w:r>
        <w:rPr>
          <w:rFonts w:ascii="仿宋" w:hAnsi="仿宋" w:eastAsia="仿宋"/>
          <w:color w:val="auto"/>
          <w:sz w:val="32"/>
          <w:szCs w:val="32"/>
        </w:rPr>
        <w:t>%，</w:t>
      </w:r>
      <w:r>
        <w:rPr>
          <w:rFonts w:hint="eastAsia" w:ascii="仿宋" w:hAnsi="仿宋" w:eastAsia="仿宋"/>
          <w:color w:val="auto"/>
          <w:sz w:val="32"/>
          <w:szCs w:val="32"/>
        </w:rPr>
        <w:t>无资金结转至下一年度，</w:t>
      </w:r>
      <w:r>
        <w:rPr>
          <w:rFonts w:ascii="仿宋" w:hAnsi="仿宋" w:eastAsia="仿宋"/>
          <w:color w:val="auto"/>
          <w:sz w:val="32"/>
          <w:szCs w:val="32"/>
        </w:rPr>
        <w:t>结余资金均已被财政收回。</w:t>
      </w:r>
    </w:p>
    <w:p w14:paraId="2E501038">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仿宋" w:hAnsi="仿宋" w:eastAsia="仿宋" w:cstheme="minorEastAsia"/>
          <w:color w:val="auto"/>
          <w:sz w:val="32"/>
          <w:szCs w:val="32"/>
        </w:rPr>
      </w:pPr>
      <w:r>
        <w:rPr>
          <w:rFonts w:hint="eastAsia" w:ascii="仿宋" w:hAnsi="仿宋" w:eastAsia="仿宋" w:cstheme="minorEastAsia"/>
          <w:b/>
          <w:color w:val="auto"/>
          <w:sz w:val="32"/>
          <w:szCs w:val="32"/>
          <w:lang w:eastAsia="zh-CN"/>
        </w:rPr>
        <w:t>（</w:t>
      </w:r>
      <w:r>
        <w:rPr>
          <w:rFonts w:hint="eastAsia" w:ascii="仿宋" w:hAnsi="仿宋" w:eastAsia="仿宋" w:cstheme="minorEastAsia"/>
          <w:b/>
          <w:color w:val="auto"/>
          <w:sz w:val="32"/>
          <w:szCs w:val="32"/>
          <w:lang w:val="en-US" w:eastAsia="zh-CN"/>
        </w:rPr>
        <w:t>2</w:t>
      </w:r>
      <w:r>
        <w:rPr>
          <w:rFonts w:hint="eastAsia" w:ascii="仿宋" w:hAnsi="仿宋" w:eastAsia="仿宋" w:cstheme="minorEastAsia"/>
          <w:b/>
          <w:color w:val="auto"/>
          <w:sz w:val="32"/>
          <w:szCs w:val="32"/>
          <w:lang w:eastAsia="zh-CN"/>
        </w:rPr>
        <w:t>）</w:t>
      </w:r>
      <w:r>
        <w:rPr>
          <w:rFonts w:hint="eastAsia" w:ascii="仿宋" w:hAnsi="仿宋" w:eastAsia="仿宋" w:cstheme="minorEastAsia"/>
          <w:b/>
          <w:color w:val="auto"/>
          <w:sz w:val="32"/>
          <w:szCs w:val="32"/>
        </w:rPr>
        <w:t>专项资金管理情况分析。</w:t>
      </w:r>
      <w:r>
        <w:rPr>
          <w:rFonts w:hint="eastAsia" w:ascii="仿宋" w:hAnsi="仿宋" w:eastAsia="仿宋" w:cstheme="minorEastAsia"/>
          <w:color w:val="auto"/>
          <w:sz w:val="32"/>
          <w:szCs w:val="32"/>
        </w:rPr>
        <w:t>对</w:t>
      </w:r>
      <w:r>
        <w:rPr>
          <w:rFonts w:hint="eastAsia" w:ascii="仿宋" w:hAnsi="仿宋" w:eastAsia="仿宋"/>
          <w:color w:val="auto"/>
          <w:sz w:val="32"/>
          <w:szCs w:val="32"/>
        </w:rPr>
        <w:t>公</w:t>
      </w:r>
      <w:r>
        <w:rPr>
          <w:rFonts w:ascii="仿宋" w:hAnsi="仿宋" w:eastAsia="仿宋"/>
          <w:color w:val="auto"/>
          <w:sz w:val="32"/>
          <w:szCs w:val="32"/>
        </w:rPr>
        <w:t>租房后续管理</w:t>
      </w:r>
      <w:r>
        <w:rPr>
          <w:rFonts w:hint="eastAsia" w:ascii="仿宋" w:hAnsi="仿宋" w:eastAsia="仿宋" w:cstheme="minorEastAsia"/>
          <w:color w:val="auto"/>
          <w:sz w:val="32"/>
          <w:szCs w:val="32"/>
        </w:rPr>
        <w:t>专项资金使用，严格执行“专款专用”，并根据市财政局的要求，按项目进度及时拨付资金，达到资金使用目的。</w:t>
      </w:r>
    </w:p>
    <w:p w14:paraId="17C2364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stheme="minorEastAsia"/>
          <w:color w:val="auto"/>
          <w:sz w:val="32"/>
          <w:szCs w:val="32"/>
        </w:rPr>
      </w:pPr>
      <w:r>
        <w:rPr>
          <w:rFonts w:hint="eastAsia" w:ascii="仿宋" w:hAnsi="仿宋" w:eastAsia="仿宋" w:cstheme="minorEastAsia"/>
          <w:color w:val="auto"/>
          <w:sz w:val="32"/>
          <w:szCs w:val="32"/>
        </w:rPr>
        <w:t>严格按照省、市有关文件要求，认真对照</w:t>
      </w:r>
      <w:r>
        <w:rPr>
          <w:rFonts w:hint="eastAsia" w:ascii="仿宋" w:hAnsi="仿宋" w:eastAsia="仿宋" w:cstheme="minorEastAsia"/>
          <w:color w:val="auto"/>
          <w:sz w:val="32"/>
          <w:szCs w:val="32"/>
          <w:lang w:eastAsia="zh-CN"/>
        </w:rPr>
        <w:t>2024</w:t>
      </w:r>
      <w:r>
        <w:rPr>
          <w:rFonts w:hint="eastAsia" w:ascii="仿宋" w:hAnsi="仿宋" w:eastAsia="仿宋" w:cstheme="minorEastAsia"/>
          <w:color w:val="auto"/>
          <w:sz w:val="32"/>
          <w:szCs w:val="32"/>
        </w:rPr>
        <w:t>年部门整体支出绩效评价指标，对前期工作进行了全方位自查和自评打分，进一步规范了财政资金预算执行管理，强化了部门责任意识，提高了财政资金使用效益。</w:t>
      </w:r>
      <w:r>
        <w:rPr>
          <w:rFonts w:ascii="仿宋" w:hAnsi="仿宋" w:eastAsia="仿宋" w:cstheme="minorEastAsia"/>
          <w:color w:val="auto"/>
          <w:sz w:val="32"/>
          <w:szCs w:val="32"/>
        </w:rPr>
        <w:pict>
          <v:shape id="_x0000_s1027" o:spid="_x0000_s1027" o:spt="202" type="#_x0000_t202" style="position:absolute;left:0pt;margin-left:261pt;margin-top:769pt;height:14pt;width:60pt;mso-position-horizontal-relative:page;z-index:251660288;mso-width-relative:page;mso-height-relative:page;" filled="f" stroked="f" coordsize="21600,21600" o:gfxdata="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n6hatgAAAANAQAADwAAAAAAAAABACAA&#10;AAA4AAAAZHJzL2Rvd25yZXYueG1sUEsBAhQAFAAAAAgAh07iQPPGuj++AQAAUAMAAA4AAAAAAAAA&#10;AQAgAAAAPQEAAGRycy9lMm9Eb2MueG1sUEsFBgAAAAAGAAYAWQEAAG0FAAAAAA==&#10;">
            <v:path/>
            <v:fill on="f" focussize="0,0"/>
            <v:stroke on="f" weight="0.5pt" joinstyle="miter"/>
            <v:imagedata o:title=""/>
            <o:lock v:ext="edit"/>
            <v:textbox inset="2pt,0mm,2pt,0mm">
              <w:txbxContent>
                <w:p w14:paraId="5E2C22E3">
                  <w:pPr>
                    <w:spacing w:line="320" w:lineRule="exact"/>
                    <w:jc w:val="center"/>
                  </w:pPr>
                  <w:r>
                    <w:rPr>
                      <w:rFonts w:hint="eastAsia" w:ascii="Arial" w:hAnsi="Arial" w:eastAsia="Arial"/>
                      <w:b/>
                      <w:color w:val="000000"/>
                      <w:sz w:val="14"/>
                    </w:rPr>
                    <w:t>4</w:t>
                  </w:r>
                </w:p>
              </w:txbxContent>
            </v:textbox>
          </v:shape>
        </w:pict>
      </w:r>
    </w:p>
    <w:p w14:paraId="53E7570B">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仿宋" w:hAnsi="仿宋" w:eastAsia="仿宋" w:cstheme="minorEastAsia"/>
          <w:color w:val="auto"/>
          <w:sz w:val="32"/>
          <w:szCs w:val="32"/>
        </w:rPr>
      </w:pPr>
      <w:r>
        <w:rPr>
          <w:rFonts w:hint="eastAsia" w:ascii="仿宋" w:hAnsi="仿宋" w:eastAsia="仿宋" w:cstheme="minorEastAsia"/>
          <w:b/>
          <w:color w:val="auto"/>
          <w:sz w:val="32"/>
          <w:szCs w:val="32"/>
          <w:lang w:val="en-US" w:eastAsia="zh-CN"/>
        </w:rPr>
        <w:t>3</w:t>
      </w:r>
      <w:r>
        <w:rPr>
          <w:rFonts w:hint="eastAsia" w:ascii="仿宋" w:hAnsi="仿宋" w:eastAsia="仿宋" w:cstheme="minorEastAsia"/>
          <w:b/>
          <w:color w:val="auto"/>
          <w:sz w:val="32"/>
          <w:szCs w:val="32"/>
        </w:rPr>
        <w:t>.“三公经费”支出使用和管理情况</w:t>
      </w:r>
      <w:r>
        <w:rPr>
          <w:rFonts w:ascii="仿宋" w:hAnsi="仿宋" w:eastAsia="仿宋" w:cstheme="minorEastAsia"/>
          <w:color w:val="auto"/>
          <w:sz w:val="32"/>
          <w:szCs w:val="32"/>
        </w:rPr>
        <w:pict>
          <v:shape id="_x0000_s1026" o:spid="_x0000_s1026" o:spt="202" type="#_x0000_t202" style="position:absolute;left:0pt;margin-left:261pt;margin-top:769pt;height:14pt;width:60pt;mso-position-horizontal-relative:page;z-index:251659264;mso-width-relative:page;mso-height-relative:page;" filled="f" stroked="f" coordsize="21600,21600" o:gfxdata="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n6hatgAAAANAQAADwAAAAAAAAABACAA&#10;AAA4AAAAZHJzL2Rvd25yZXYueG1sUEsBAhQAFAAAAAgAh07iQPPGuj++AQAAUAMAAA4AAAAAAAAA&#10;AQAgAAAAPQEAAGRycy9lMm9Eb2MueG1sUEsFBgAAAAAGAAYAWQEAAG0FAAAAAA==&#10;">
            <v:path/>
            <v:fill on="f" focussize="0,0"/>
            <v:stroke on="f" weight="0.5pt" joinstyle="miter"/>
            <v:imagedata o:title=""/>
            <o:lock v:ext="edit"/>
            <v:textbox inset="2pt,0mm,2pt,0mm">
              <w:txbxContent>
                <w:p w14:paraId="075ED642">
                  <w:pPr>
                    <w:spacing w:line="320" w:lineRule="exact"/>
                    <w:jc w:val="center"/>
                  </w:pPr>
                  <w:r>
                    <w:rPr>
                      <w:rFonts w:hint="eastAsia" w:ascii="Arial" w:hAnsi="Arial" w:eastAsia="Arial"/>
                      <w:b/>
                      <w:color w:val="000000"/>
                      <w:sz w:val="14"/>
                    </w:rPr>
                    <w:t>4</w:t>
                  </w:r>
                </w:p>
              </w:txbxContent>
            </v:textbox>
          </v:shape>
        </w:pict>
      </w:r>
    </w:p>
    <w:p w14:paraId="38CBF90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theme="minorEastAsia"/>
          <w:b/>
          <w:color w:val="auto"/>
          <w:sz w:val="32"/>
          <w:szCs w:val="32"/>
        </w:rPr>
      </w:pPr>
      <w:r>
        <w:rPr>
          <w:rFonts w:hint="eastAsia" w:ascii="仿宋" w:hAnsi="仿宋" w:eastAsia="仿宋" w:cstheme="minorEastAsia"/>
          <w:color w:val="auto"/>
          <w:sz w:val="32"/>
          <w:szCs w:val="32"/>
          <w:lang w:eastAsia="zh-CN"/>
        </w:rPr>
        <w:t>2024</w:t>
      </w:r>
      <w:r>
        <w:rPr>
          <w:rFonts w:hint="eastAsia" w:ascii="仿宋" w:hAnsi="仿宋" w:eastAsia="仿宋" w:cstheme="minorEastAsia"/>
          <w:color w:val="auto"/>
          <w:sz w:val="32"/>
          <w:szCs w:val="32"/>
        </w:rPr>
        <w:t>年度“三公”经费预算为</w:t>
      </w:r>
      <w:r>
        <w:rPr>
          <w:rFonts w:hint="eastAsia" w:ascii="仿宋" w:hAnsi="仿宋" w:eastAsia="仿宋" w:cstheme="minorEastAsia"/>
          <w:color w:val="auto"/>
          <w:sz w:val="32"/>
          <w:szCs w:val="32"/>
          <w:lang w:val="en-US" w:eastAsia="zh-CN"/>
        </w:rPr>
        <w:t>3.1</w:t>
      </w:r>
      <w:r>
        <w:rPr>
          <w:rFonts w:hint="eastAsia" w:ascii="仿宋" w:hAnsi="仿宋" w:eastAsia="仿宋" w:cstheme="minorEastAsia"/>
          <w:color w:val="auto"/>
          <w:sz w:val="32"/>
          <w:szCs w:val="32"/>
        </w:rPr>
        <w:t>万元，支出决算为</w:t>
      </w:r>
      <w:r>
        <w:rPr>
          <w:rFonts w:hint="eastAsia" w:ascii="仿宋" w:hAnsi="仿宋" w:eastAsia="仿宋" w:cstheme="minorEastAsia"/>
          <w:color w:val="auto"/>
          <w:sz w:val="32"/>
          <w:szCs w:val="32"/>
          <w:lang w:val="en-US" w:eastAsia="zh-CN"/>
        </w:rPr>
        <w:t>3.45</w:t>
      </w:r>
      <w:r>
        <w:rPr>
          <w:rFonts w:hint="eastAsia" w:ascii="仿宋" w:hAnsi="仿宋" w:eastAsia="仿宋" w:cstheme="minorEastAsia"/>
          <w:color w:val="auto"/>
          <w:sz w:val="32"/>
          <w:szCs w:val="32"/>
        </w:rPr>
        <w:t>万元，完成预算的</w:t>
      </w:r>
      <w:r>
        <w:rPr>
          <w:rFonts w:hint="eastAsia" w:ascii="仿宋" w:hAnsi="仿宋" w:eastAsia="仿宋" w:cstheme="minorEastAsia"/>
          <w:color w:val="auto"/>
          <w:sz w:val="32"/>
          <w:szCs w:val="32"/>
          <w:lang w:val="en-US" w:eastAsia="zh-CN"/>
        </w:rPr>
        <w:t>111.29</w:t>
      </w:r>
      <w:r>
        <w:rPr>
          <w:rFonts w:hint="eastAsia" w:ascii="仿宋" w:hAnsi="仿宋" w:eastAsia="仿宋" w:cstheme="minorEastAsia"/>
          <w:color w:val="auto"/>
          <w:sz w:val="32"/>
          <w:szCs w:val="32"/>
        </w:rPr>
        <w:t>%，决算数</w:t>
      </w:r>
      <w:r>
        <w:rPr>
          <w:rFonts w:hint="eastAsia" w:ascii="仿宋" w:hAnsi="仿宋" w:eastAsia="仿宋" w:cstheme="minorEastAsia"/>
          <w:color w:val="auto"/>
          <w:sz w:val="32"/>
          <w:szCs w:val="32"/>
          <w:lang w:eastAsia="zh-CN"/>
        </w:rPr>
        <w:t>大于</w:t>
      </w:r>
      <w:r>
        <w:rPr>
          <w:rFonts w:hint="eastAsia" w:ascii="仿宋" w:hAnsi="仿宋" w:eastAsia="仿宋" w:cstheme="minorEastAsia"/>
          <w:color w:val="auto"/>
          <w:sz w:val="32"/>
          <w:szCs w:val="32"/>
        </w:rPr>
        <w:t>预算数的主要原因是</w:t>
      </w:r>
      <w:r>
        <w:rPr>
          <w:rFonts w:hint="eastAsia" w:ascii="仿宋" w:hAnsi="仿宋" w:eastAsia="仿宋" w:cstheme="minorEastAsia"/>
          <w:color w:val="auto"/>
          <w:sz w:val="32"/>
          <w:szCs w:val="32"/>
          <w:lang w:eastAsia="zh-CN"/>
        </w:rPr>
        <w:t>白蚁防治</w:t>
      </w:r>
      <w:r>
        <w:rPr>
          <w:rFonts w:hint="eastAsia" w:ascii="仿宋" w:hAnsi="仿宋" w:eastAsia="仿宋" w:cstheme="minorEastAsia"/>
          <w:color w:val="auto"/>
          <w:sz w:val="32"/>
          <w:szCs w:val="32"/>
          <w:lang w:eastAsia="zh-CN"/>
        </w:rPr>
        <w:t>施工</w:t>
      </w:r>
      <w:r>
        <w:rPr>
          <w:rFonts w:hint="eastAsia" w:ascii="仿宋" w:hAnsi="仿宋" w:eastAsia="仿宋" w:cstheme="minorEastAsia"/>
          <w:color w:val="auto"/>
          <w:sz w:val="32"/>
          <w:szCs w:val="32"/>
          <w:lang w:eastAsia="zh-CN"/>
        </w:rPr>
        <w:t>专用车辆维护支出计入公用车维护费。</w:t>
      </w:r>
    </w:p>
    <w:p w14:paraId="0D48C4D6">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仿宋" w:hAnsi="仿宋" w:eastAsia="仿宋" w:cstheme="minorEastAsia"/>
          <w:b/>
          <w:color w:val="auto"/>
          <w:sz w:val="32"/>
          <w:szCs w:val="32"/>
        </w:rPr>
      </w:pPr>
      <w:r>
        <w:rPr>
          <w:rFonts w:hint="eastAsia" w:ascii="仿宋" w:hAnsi="仿宋" w:eastAsia="仿宋" w:cstheme="minorEastAsia"/>
          <w:b/>
          <w:color w:val="auto"/>
          <w:sz w:val="32"/>
          <w:szCs w:val="32"/>
          <w:lang w:val="en-US" w:eastAsia="zh-CN"/>
        </w:rPr>
        <w:t>4</w:t>
      </w:r>
      <w:r>
        <w:rPr>
          <w:rFonts w:hint="eastAsia" w:ascii="仿宋" w:hAnsi="仿宋" w:eastAsia="仿宋" w:cstheme="minorEastAsia"/>
          <w:b/>
          <w:color w:val="auto"/>
          <w:sz w:val="32"/>
          <w:szCs w:val="32"/>
        </w:rPr>
        <w:t>.“三公”经费支出决算具体情况说明。</w:t>
      </w:r>
      <w:r>
        <w:rPr>
          <w:rFonts w:hint="eastAsia" w:ascii="仿宋" w:hAnsi="仿宋" w:eastAsia="仿宋" w:cstheme="minorEastAsia"/>
          <w:color w:val="auto"/>
          <w:sz w:val="32"/>
          <w:szCs w:val="32"/>
          <w:lang w:eastAsia="zh-CN"/>
        </w:rPr>
        <w:t>2024</w:t>
      </w:r>
      <w:r>
        <w:rPr>
          <w:rFonts w:hint="eastAsia" w:ascii="仿宋" w:hAnsi="仿宋" w:eastAsia="仿宋" w:cstheme="minorEastAsia"/>
          <w:color w:val="auto"/>
          <w:sz w:val="32"/>
          <w:szCs w:val="32"/>
        </w:rPr>
        <w:t>年度“三公”经费支出决算中，因公出国（境）支出决算0万元；公务用车购置及运行维护费支出决算</w:t>
      </w:r>
      <w:r>
        <w:rPr>
          <w:rFonts w:hint="eastAsia" w:ascii="仿宋" w:hAnsi="仿宋" w:eastAsia="仿宋" w:cstheme="minorEastAsia"/>
          <w:color w:val="auto"/>
          <w:sz w:val="32"/>
          <w:szCs w:val="32"/>
          <w:lang w:val="en-US" w:eastAsia="zh-CN"/>
        </w:rPr>
        <w:t>3.45</w:t>
      </w:r>
      <w:r>
        <w:rPr>
          <w:rFonts w:hint="eastAsia" w:ascii="仿宋" w:hAnsi="仿宋" w:eastAsia="仿宋" w:cstheme="minorEastAsia"/>
          <w:color w:val="auto"/>
          <w:sz w:val="32"/>
          <w:szCs w:val="32"/>
        </w:rPr>
        <w:t>万元，占</w:t>
      </w:r>
      <w:r>
        <w:rPr>
          <w:rFonts w:hint="eastAsia" w:ascii="仿宋" w:hAnsi="仿宋" w:eastAsia="仿宋" w:cstheme="minorEastAsia"/>
          <w:color w:val="auto"/>
          <w:sz w:val="32"/>
          <w:szCs w:val="32"/>
          <w:lang w:val="en-US" w:eastAsia="zh-CN"/>
        </w:rPr>
        <w:t>100</w:t>
      </w:r>
      <w:r>
        <w:rPr>
          <w:rFonts w:hint="eastAsia" w:ascii="仿宋" w:hAnsi="仿宋" w:eastAsia="仿宋" w:cstheme="minorEastAsia"/>
          <w:color w:val="auto"/>
          <w:sz w:val="32"/>
          <w:szCs w:val="32"/>
        </w:rPr>
        <w:t>%，公务接待费支出决算</w:t>
      </w:r>
      <w:r>
        <w:rPr>
          <w:rFonts w:hint="eastAsia" w:ascii="仿宋" w:hAnsi="仿宋" w:eastAsia="仿宋" w:cstheme="minorEastAsia"/>
          <w:color w:val="auto"/>
          <w:sz w:val="32"/>
          <w:szCs w:val="32"/>
          <w:lang w:val="en-US" w:eastAsia="zh-CN"/>
        </w:rPr>
        <w:t>0</w:t>
      </w:r>
      <w:r>
        <w:rPr>
          <w:rFonts w:hint="eastAsia" w:ascii="仿宋" w:hAnsi="仿宋" w:eastAsia="仿宋" w:cstheme="minorEastAsia"/>
          <w:color w:val="auto"/>
          <w:sz w:val="32"/>
          <w:szCs w:val="32"/>
        </w:rPr>
        <w:t>万元。</w:t>
      </w:r>
    </w:p>
    <w:p w14:paraId="2DC68247">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黑体" w:hAnsi="黑体" w:eastAsia="黑体" w:cstheme="minorEastAsia"/>
          <w:color w:val="auto"/>
          <w:sz w:val="32"/>
          <w:szCs w:val="32"/>
        </w:rPr>
      </w:pPr>
      <w:r>
        <w:rPr>
          <w:rFonts w:hint="eastAsia" w:ascii="黑体" w:hAnsi="黑体" w:eastAsia="黑体" w:cstheme="minorEastAsia"/>
          <w:color w:val="auto"/>
          <w:sz w:val="32"/>
          <w:szCs w:val="32"/>
        </w:rPr>
        <w:t>三、部门专项组织实施情况</w:t>
      </w:r>
    </w:p>
    <w:p w14:paraId="2473772D">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楷体" w:hAnsi="楷体" w:eastAsia="楷体" w:cstheme="minorEastAsia"/>
          <w:b/>
          <w:bCs/>
          <w:color w:val="auto"/>
          <w:sz w:val="32"/>
          <w:szCs w:val="32"/>
        </w:rPr>
      </w:pPr>
      <w:r>
        <w:rPr>
          <w:rFonts w:hint="eastAsia" w:ascii="楷体" w:hAnsi="楷体" w:eastAsia="楷体" w:cstheme="minorEastAsia"/>
          <w:b/>
          <w:bCs/>
          <w:color w:val="auto"/>
          <w:sz w:val="32"/>
          <w:szCs w:val="32"/>
        </w:rPr>
        <w:t>（一）项目组织情况分析</w:t>
      </w:r>
    </w:p>
    <w:p w14:paraId="7749D0E5">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仿宋" w:hAnsi="仿宋" w:eastAsia="仿宋" w:cstheme="minorEastAsia"/>
          <w:color w:val="auto"/>
          <w:sz w:val="32"/>
          <w:szCs w:val="32"/>
        </w:rPr>
      </w:pPr>
      <w:r>
        <w:rPr>
          <w:rFonts w:hint="eastAsia" w:ascii="仿宋" w:hAnsi="仿宋" w:eastAsia="仿宋" w:cstheme="minorEastAsia"/>
          <w:b/>
          <w:color w:val="auto"/>
          <w:sz w:val="32"/>
          <w:szCs w:val="32"/>
        </w:rPr>
        <w:t>1.公租房后续管理组织情况：</w:t>
      </w:r>
      <w:r>
        <w:rPr>
          <w:rFonts w:hint="eastAsia" w:ascii="仿宋" w:hAnsi="仿宋" w:eastAsia="仿宋" w:cstheme="minorEastAsia"/>
          <w:color w:val="auto"/>
          <w:sz w:val="32"/>
          <w:szCs w:val="32"/>
        </w:rPr>
        <w:t>通过政府购买服务的方式，采取公开招投标方式确定物业服务企业，负责小区环境卫生、安全等工作高效运作；通过询价等方式择优选取房屋维修公司开展房屋维修和设备设施日常维护保养。</w:t>
      </w:r>
    </w:p>
    <w:p w14:paraId="6FEED706">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仿宋" w:hAnsi="仿宋" w:eastAsia="仿宋" w:cstheme="minorEastAsia"/>
          <w:color w:val="auto"/>
          <w:sz w:val="32"/>
          <w:szCs w:val="32"/>
        </w:rPr>
      </w:pPr>
      <w:r>
        <w:rPr>
          <w:rFonts w:hint="eastAsia" w:ascii="仿宋" w:hAnsi="仿宋" w:eastAsia="仿宋" w:cstheme="minorEastAsia"/>
          <w:b/>
          <w:color w:val="auto"/>
          <w:sz w:val="32"/>
          <w:szCs w:val="32"/>
        </w:rPr>
        <w:t>2.白蚁防治专项工作：</w:t>
      </w:r>
      <w:r>
        <w:rPr>
          <w:rFonts w:hint="eastAsia" w:ascii="仿宋" w:hAnsi="仿宋" w:eastAsia="仿宋" w:cstheme="minorEastAsia"/>
          <w:color w:val="auto"/>
          <w:sz w:val="32"/>
          <w:szCs w:val="32"/>
        </w:rPr>
        <w:t>白蚁防治药水、施工劳务费采购全部履行政府采购程序，确保公平公正。</w:t>
      </w:r>
    </w:p>
    <w:p w14:paraId="7124B5AA">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楷体" w:hAnsi="楷体" w:eastAsia="楷体" w:cstheme="minorEastAsia"/>
          <w:b/>
          <w:bCs/>
          <w:color w:val="auto"/>
          <w:sz w:val="32"/>
          <w:szCs w:val="32"/>
        </w:rPr>
      </w:pPr>
      <w:r>
        <w:rPr>
          <w:rFonts w:hint="eastAsia" w:ascii="楷体" w:hAnsi="楷体" w:eastAsia="楷体" w:cstheme="minorEastAsia"/>
          <w:b/>
          <w:bCs/>
          <w:color w:val="auto"/>
          <w:sz w:val="32"/>
          <w:szCs w:val="32"/>
        </w:rPr>
        <w:t>（二）项目管理情况</w:t>
      </w:r>
    </w:p>
    <w:p w14:paraId="59B9D21C">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仿宋" w:hAnsi="仿宋" w:eastAsia="仿宋" w:cstheme="minorEastAsia"/>
          <w:color w:val="auto"/>
          <w:sz w:val="32"/>
          <w:szCs w:val="32"/>
        </w:rPr>
      </w:pPr>
      <w:r>
        <w:rPr>
          <w:rFonts w:hint="eastAsia" w:ascii="仿宋" w:hAnsi="仿宋" w:eastAsia="仿宋" w:cstheme="minorEastAsia"/>
          <w:b/>
          <w:color w:val="auto"/>
          <w:sz w:val="32"/>
          <w:szCs w:val="32"/>
        </w:rPr>
        <w:t>项目资金管理情况。</w:t>
      </w:r>
      <w:r>
        <w:rPr>
          <w:rFonts w:hint="eastAsia" w:ascii="仿宋" w:hAnsi="仿宋" w:eastAsia="仿宋" w:cstheme="minorEastAsia"/>
          <w:color w:val="auto"/>
          <w:sz w:val="32"/>
          <w:szCs w:val="32"/>
        </w:rPr>
        <w:t>一是财政管理制度健全。严格按照中央下达的专项资金管理办法，完善项目科目，加强资金监督，做到按进度付款。二是资金拨付手续完整。各项资金全部实现国库集中支付、专款专用</w:t>
      </w:r>
      <w:r>
        <w:rPr>
          <w:rFonts w:hint="eastAsia" w:ascii="仿宋" w:hAnsi="仿宋" w:eastAsia="仿宋" w:cstheme="minorEastAsia"/>
          <w:color w:val="auto"/>
          <w:sz w:val="32"/>
          <w:szCs w:val="32"/>
          <w:lang w:eastAsia="zh-CN"/>
        </w:rPr>
        <w:t>，</w:t>
      </w:r>
      <w:r>
        <w:rPr>
          <w:rFonts w:hint="eastAsia" w:ascii="仿宋" w:hAnsi="仿宋" w:eastAsia="仿宋" w:cstheme="minorEastAsia"/>
          <w:color w:val="auto"/>
          <w:sz w:val="32"/>
          <w:szCs w:val="32"/>
        </w:rPr>
        <w:t>不存在支出依据不合规、虚列项目支出、截留、挤占、挪用和超标准支出等现象，使项目资金的运用得到了合理的控制，项目得到了切实的保障。三是会计信息质量真实。严格执行《会计法》等财经法规，严格按照相关会计制度办理会计业务，进行会计核算，并做好会计</w:t>
      </w:r>
      <w:r>
        <w:rPr>
          <w:rFonts w:hint="eastAsia" w:ascii="仿宋" w:hAnsi="仿宋" w:eastAsia="仿宋" w:cstheme="minorEastAsia"/>
          <w:color w:val="auto"/>
          <w:sz w:val="32"/>
          <w:szCs w:val="32"/>
          <w:lang w:eastAsia="zh-CN"/>
        </w:rPr>
        <w:t>记录</w:t>
      </w:r>
      <w:r>
        <w:rPr>
          <w:rFonts w:hint="eastAsia" w:ascii="仿宋" w:hAnsi="仿宋" w:eastAsia="仿宋" w:cstheme="minorEastAsia"/>
          <w:color w:val="auto"/>
          <w:sz w:val="32"/>
          <w:szCs w:val="32"/>
        </w:rPr>
        <w:t>，真实的反映项目资金管理情况，并接受市级财政、审计部门及上级主管部门的检查、监督。</w:t>
      </w:r>
    </w:p>
    <w:p w14:paraId="1912AEC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黑体" w:hAnsi="黑体" w:eastAsia="黑体" w:cstheme="minorEastAsia"/>
          <w:color w:val="auto"/>
          <w:sz w:val="32"/>
          <w:szCs w:val="32"/>
        </w:rPr>
      </w:pPr>
      <w:r>
        <w:rPr>
          <w:rFonts w:hint="eastAsia" w:ascii="黑体" w:hAnsi="黑体" w:eastAsia="黑体" w:cstheme="minorEastAsia"/>
          <w:color w:val="auto"/>
          <w:sz w:val="32"/>
          <w:szCs w:val="32"/>
        </w:rPr>
        <w:t>四、资产管理情况</w:t>
      </w:r>
    </w:p>
    <w:p w14:paraId="57784291">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theme="minorEastAsia"/>
          <w:color w:val="auto"/>
          <w:sz w:val="32"/>
          <w:szCs w:val="32"/>
        </w:rPr>
      </w:pPr>
      <w:r>
        <w:rPr>
          <w:rFonts w:hint="eastAsia" w:ascii="仿宋" w:hAnsi="仿宋" w:eastAsia="仿宋" w:cstheme="minorEastAsia"/>
          <w:color w:val="auto"/>
          <w:sz w:val="32"/>
          <w:szCs w:val="32"/>
        </w:rPr>
        <w:t>反映部门资产的配置、管理、处置等综合情况。包括制度建设、管理措施、配置处置的程序等。</w:t>
      </w:r>
    </w:p>
    <w:p w14:paraId="6F97DFC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theme="minorEastAsia"/>
          <w:color w:val="auto"/>
          <w:sz w:val="32"/>
          <w:szCs w:val="32"/>
        </w:rPr>
      </w:pPr>
      <w:r>
        <w:rPr>
          <w:rFonts w:hint="eastAsia" w:ascii="仿宋" w:hAnsi="仿宋" w:eastAsia="仿宋" w:cstheme="minorEastAsia"/>
          <w:color w:val="auto"/>
          <w:sz w:val="32"/>
          <w:szCs w:val="32"/>
          <w:lang w:eastAsia="zh-CN"/>
        </w:rPr>
        <w:t>2024</w:t>
      </w:r>
      <w:r>
        <w:rPr>
          <w:rFonts w:hint="eastAsia" w:ascii="仿宋" w:hAnsi="仿宋" w:eastAsia="仿宋" w:cstheme="minorEastAsia"/>
          <w:color w:val="auto"/>
          <w:sz w:val="32"/>
          <w:szCs w:val="32"/>
        </w:rPr>
        <w:t>年本单位资产总计为</w:t>
      </w:r>
      <w:r>
        <w:rPr>
          <w:rFonts w:hint="eastAsia" w:ascii="仿宋" w:hAnsi="仿宋" w:eastAsia="仿宋" w:cstheme="minorEastAsia"/>
          <w:color w:val="auto"/>
          <w:sz w:val="32"/>
          <w:szCs w:val="32"/>
          <w:lang w:val="en-US" w:eastAsia="zh-CN"/>
        </w:rPr>
        <w:t>503.48</w:t>
      </w:r>
      <w:r>
        <w:rPr>
          <w:rFonts w:hint="eastAsia" w:ascii="仿宋" w:hAnsi="仿宋" w:eastAsia="仿宋" w:cstheme="minorEastAsia"/>
          <w:color w:val="auto"/>
          <w:sz w:val="32"/>
          <w:szCs w:val="32"/>
        </w:rPr>
        <w:t>万元，其中流动资产为</w:t>
      </w:r>
      <w:r>
        <w:rPr>
          <w:rFonts w:hint="eastAsia" w:ascii="仿宋" w:hAnsi="仿宋" w:eastAsia="仿宋" w:cstheme="minorEastAsia"/>
          <w:color w:val="auto"/>
          <w:sz w:val="32"/>
          <w:szCs w:val="32"/>
          <w:lang w:val="en-US" w:eastAsia="zh-CN"/>
        </w:rPr>
        <w:t>194.88</w:t>
      </w:r>
      <w:r>
        <w:rPr>
          <w:rFonts w:hint="eastAsia" w:ascii="仿宋" w:hAnsi="仿宋" w:eastAsia="仿宋" w:cstheme="minorEastAsia"/>
          <w:color w:val="auto"/>
          <w:sz w:val="32"/>
          <w:szCs w:val="32"/>
        </w:rPr>
        <w:t>万元，</w:t>
      </w:r>
      <w:r>
        <w:rPr>
          <w:rFonts w:hint="eastAsia" w:ascii="仿宋" w:hAnsi="仿宋" w:eastAsia="仿宋" w:cstheme="minorEastAsia"/>
          <w:color w:val="auto"/>
          <w:sz w:val="32"/>
          <w:szCs w:val="32"/>
          <w:lang w:eastAsia="zh-CN"/>
        </w:rPr>
        <w:t>非流动</w:t>
      </w:r>
      <w:r>
        <w:rPr>
          <w:rFonts w:hint="eastAsia" w:ascii="仿宋" w:hAnsi="仿宋" w:eastAsia="仿宋" w:cstheme="minorEastAsia"/>
          <w:color w:val="auto"/>
          <w:sz w:val="32"/>
          <w:szCs w:val="32"/>
        </w:rPr>
        <w:t>资产为</w:t>
      </w:r>
      <w:r>
        <w:rPr>
          <w:rFonts w:hint="eastAsia" w:ascii="仿宋" w:hAnsi="仿宋" w:eastAsia="仿宋" w:cstheme="minorEastAsia"/>
          <w:color w:val="auto"/>
          <w:sz w:val="32"/>
          <w:szCs w:val="32"/>
          <w:lang w:val="en-US" w:eastAsia="zh-CN"/>
        </w:rPr>
        <w:t>308.60</w:t>
      </w:r>
      <w:r>
        <w:rPr>
          <w:rFonts w:hint="eastAsia" w:ascii="仿宋" w:hAnsi="仿宋" w:eastAsia="仿宋" w:cstheme="minorEastAsia"/>
          <w:color w:val="auto"/>
          <w:sz w:val="32"/>
          <w:szCs w:val="32"/>
        </w:rPr>
        <w:t>万元。</w:t>
      </w:r>
    </w:p>
    <w:p w14:paraId="3BD19543">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仿宋" w:hAnsi="仿宋" w:eastAsia="仿宋" w:cstheme="minorEastAsia"/>
          <w:color w:val="auto"/>
          <w:sz w:val="32"/>
          <w:szCs w:val="32"/>
        </w:rPr>
      </w:pPr>
      <w:r>
        <w:rPr>
          <w:rFonts w:hint="eastAsia" w:ascii="楷体" w:hAnsi="楷体" w:eastAsia="楷体" w:cs="楷体"/>
          <w:b/>
          <w:bCs/>
          <w:color w:val="auto"/>
          <w:sz w:val="32"/>
          <w:szCs w:val="32"/>
        </w:rPr>
        <w:t>（一）制度建设。</w:t>
      </w:r>
      <w:r>
        <w:rPr>
          <w:rFonts w:hint="eastAsia" w:ascii="仿宋" w:hAnsi="仿宋" w:eastAsia="仿宋" w:cstheme="minorEastAsia"/>
          <w:color w:val="auto"/>
          <w:sz w:val="32"/>
          <w:szCs w:val="32"/>
        </w:rPr>
        <w:t>本单位</w:t>
      </w:r>
      <w:r>
        <w:rPr>
          <w:rFonts w:hint="eastAsia" w:ascii="仿宋" w:hAnsi="仿宋" w:eastAsia="仿宋" w:cstheme="minorEastAsia"/>
          <w:color w:val="auto"/>
          <w:sz w:val="32"/>
          <w:szCs w:val="32"/>
          <w:lang w:eastAsia="zh-CN"/>
        </w:rPr>
        <w:t>修订</w:t>
      </w:r>
      <w:r>
        <w:rPr>
          <w:rFonts w:hint="eastAsia" w:ascii="仿宋" w:hAnsi="仿宋" w:eastAsia="仿宋" w:cstheme="minorEastAsia"/>
          <w:color w:val="auto"/>
          <w:sz w:val="32"/>
          <w:szCs w:val="32"/>
          <w:lang w:eastAsia="zh-CN"/>
        </w:rPr>
        <w:t>完善</w:t>
      </w:r>
      <w:r>
        <w:rPr>
          <w:rFonts w:hint="eastAsia" w:ascii="仿宋" w:hAnsi="仿宋" w:eastAsia="仿宋" w:cstheme="minorEastAsia"/>
          <w:color w:val="auto"/>
          <w:sz w:val="32"/>
          <w:szCs w:val="32"/>
        </w:rPr>
        <w:t>了</w:t>
      </w:r>
      <w:r>
        <w:rPr>
          <w:rFonts w:hint="eastAsia" w:ascii="仿宋" w:hAnsi="仿宋" w:eastAsia="仿宋"/>
          <w:color w:val="auto"/>
          <w:sz w:val="32"/>
          <w:szCs w:val="32"/>
        </w:rPr>
        <w:t>《怀化市住房保障服务中心政府采购内控管理制度》、</w:t>
      </w:r>
      <w:r>
        <w:rPr>
          <w:rFonts w:ascii="仿宋" w:hAnsi="仿宋" w:eastAsia="仿宋" w:cs="宋体"/>
          <w:color w:val="auto"/>
          <w:sz w:val="32"/>
          <w:szCs w:val="32"/>
        </w:rPr>
        <w:t>《</w:t>
      </w:r>
      <w:r>
        <w:rPr>
          <w:rFonts w:hint="eastAsia" w:ascii="仿宋" w:hAnsi="仿宋" w:eastAsia="仿宋" w:cs="宋体"/>
          <w:color w:val="auto"/>
          <w:sz w:val="32"/>
          <w:szCs w:val="32"/>
        </w:rPr>
        <w:t>物业专项维修资金内部财务管理制度</w:t>
      </w:r>
      <w:r>
        <w:rPr>
          <w:rFonts w:ascii="仿宋" w:hAnsi="仿宋" w:eastAsia="仿宋" w:cs="宋体"/>
          <w:color w:val="auto"/>
          <w:sz w:val="32"/>
          <w:szCs w:val="32"/>
        </w:rPr>
        <w:t>》</w:t>
      </w:r>
      <w:r>
        <w:rPr>
          <w:rFonts w:hint="eastAsia" w:ascii="仿宋" w:hAnsi="仿宋" w:eastAsia="仿宋" w:cstheme="minorEastAsia"/>
          <w:color w:val="auto"/>
          <w:sz w:val="32"/>
          <w:szCs w:val="32"/>
        </w:rPr>
        <w:t>等多项财务制度。</w:t>
      </w:r>
    </w:p>
    <w:p w14:paraId="09960AC6">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仿宋" w:hAnsi="仿宋" w:eastAsia="仿宋" w:cstheme="minorEastAsia"/>
          <w:color w:val="auto"/>
          <w:sz w:val="32"/>
          <w:szCs w:val="32"/>
        </w:rPr>
      </w:pPr>
      <w:r>
        <w:rPr>
          <w:rFonts w:hint="eastAsia" w:ascii="楷体" w:hAnsi="楷体" w:eastAsia="楷体" w:cs="楷体"/>
          <w:b/>
          <w:bCs/>
          <w:color w:val="auto"/>
          <w:sz w:val="32"/>
          <w:szCs w:val="32"/>
        </w:rPr>
        <w:t>（二）资产管理。</w:t>
      </w:r>
      <w:r>
        <w:rPr>
          <w:rFonts w:hint="eastAsia" w:ascii="仿宋" w:hAnsi="仿宋" w:eastAsia="仿宋" w:cstheme="minorEastAsia"/>
          <w:color w:val="auto"/>
          <w:sz w:val="32"/>
          <w:szCs w:val="32"/>
        </w:rPr>
        <w:t>对所有财产由办公室统一管理，建立台账，各部室及分支机构使用人为第一责任人，工作人员如有工作变动需及时办理移交手续。建立资产保管制度，对保管不善导致被盗或丢失的由责任人全额赔偿。</w:t>
      </w:r>
    </w:p>
    <w:p w14:paraId="74F7F5E3">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仿宋" w:hAnsi="仿宋" w:eastAsia="仿宋" w:cstheme="minorEastAsia"/>
          <w:color w:val="auto"/>
          <w:sz w:val="32"/>
          <w:szCs w:val="32"/>
        </w:rPr>
      </w:pPr>
      <w:r>
        <w:rPr>
          <w:rFonts w:hint="eastAsia" w:ascii="楷体" w:hAnsi="楷体" w:eastAsia="楷体" w:cs="楷体"/>
          <w:b/>
          <w:bCs/>
          <w:color w:val="auto"/>
          <w:sz w:val="32"/>
          <w:szCs w:val="32"/>
        </w:rPr>
        <w:t>（三）资产配置处理评价制度。</w:t>
      </w:r>
      <w:r>
        <w:rPr>
          <w:rFonts w:hint="eastAsia" w:ascii="仿宋" w:hAnsi="仿宋" w:eastAsia="仿宋" w:cstheme="minorEastAsia"/>
          <w:color w:val="auto"/>
          <w:sz w:val="32"/>
          <w:szCs w:val="32"/>
        </w:rPr>
        <w:t>如果单位需要配置和处置超过千元以上的资产提请单位领导研究，报单位领导审批后进行配置和处理。</w:t>
      </w:r>
    </w:p>
    <w:p w14:paraId="6455F97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黑体" w:hAnsi="黑体" w:eastAsia="黑体" w:cstheme="minorEastAsia"/>
          <w:color w:val="auto"/>
          <w:sz w:val="32"/>
          <w:szCs w:val="32"/>
        </w:rPr>
      </w:pPr>
      <w:r>
        <w:rPr>
          <w:rFonts w:hint="eastAsia" w:ascii="黑体" w:hAnsi="黑体" w:eastAsia="黑体" w:cstheme="minorEastAsia"/>
          <w:color w:val="auto"/>
          <w:sz w:val="32"/>
          <w:szCs w:val="32"/>
        </w:rPr>
        <w:t>五、部门整体支出绩效情况</w:t>
      </w:r>
    </w:p>
    <w:p w14:paraId="5347C64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ascii="楷体" w:hAnsi="楷体" w:eastAsia="楷体" w:cstheme="minorEastAsia"/>
          <w:b/>
          <w:bCs/>
          <w:color w:val="auto"/>
          <w:sz w:val="32"/>
          <w:szCs w:val="32"/>
        </w:rPr>
      </w:pPr>
      <w:r>
        <w:rPr>
          <w:rFonts w:hint="eastAsia" w:ascii="楷体" w:hAnsi="楷体" w:eastAsia="楷体" w:cstheme="minorEastAsia"/>
          <w:b/>
          <w:bCs/>
          <w:color w:val="auto"/>
          <w:sz w:val="32"/>
          <w:szCs w:val="32"/>
        </w:rPr>
        <w:t>（一）主要业务工作完成情况</w:t>
      </w:r>
    </w:p>
    <w:p w14:paraId="186ECD74">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 w:hAnsi="仿宋" w:eastAsia="仿宋" w:cs="Times New Roman"/>
          <w:color w:val="auto"/>
          <w:sz w:val="32"/>
          <w:szCs w:val="32"/>
        </w:rPr>
      </w:pPr>
      <w:r>
        <w:rPr>
          <w:rFonts w:hint="eastAsia" w:ascii="仿宋" w:hAnsi="仿宋" w:eastAsia="仿宋" w:cstheme="minorEastAsia"/>
          <w:b/>
          <w:color w:val="auto"/>
          <w:sz w:val="32"/>
          <w:szCs w:val="32"/>
        </w:rPr>
        <w:t>1.物业专项维修资金管理工作。</w:t>
      </w:r>
      <w:r>
        <w:rPr>
          <w:rFonts w:hint="eastAsia" w:ascii="仿宋" w:hAnsi="仿宋" w:eastAsia="仿宋" w:cs="仿宋"/>
          <w:b w:val="0"/>
          <w:bCs/>
          <w:color w:val="auto"/>
          <w:sz w:val="32"/>
          <w:szCs w:val="32"/>
        </w:rPr>
        <w:t>2024年，维修资金归集0.92亿元，使用963万元；维修资金余额22.26亿元（历年来，累计归集20.4亿元，累计利息收益2.71亿元，累计使用0.82亿元）。维修资金追缴入库3845.91万元，完成年度目标任务的54%（2024年市追缴办下达市本级维修资金追缴任务7121.85万元）。电梯维修保险改革试点工作有序开展，市本级已签约参保20个小区共229台电梯，保费支出84.3万元，意向签约电梯超过300台。</w:t>
      </w:r>
    </w:p>
    <w:p w14:paraId="6791429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theme="minorEastAsia"/>
          <w:b/>
          <w:color w:val="auto"/>
          <w:sz w:val="32"/>
          <w:szCs w:val="32"/>
        </w:rPr>
        <w:t>2.公租房后续管理工作。</w:t>
      </w:r>
      <w:r>
        <w:rPr>
          <w:rFonts w:hint="eastAsia" w:ascii="仿宋" w:hAnsi="仿宋" w:eastAsia="仿宋" w:cs="仿宋"/>
          <w:color w:val="auto"/>
          <w:sz w:val="32"/>
          <w:szCs w:val="32"/>
        </w:rPr>
        <w:t>市本级城东、城南、城北三个公租房小区共有住房54</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套</w:t>
      </w:r>
      <w:r>
        <w:rPr>
          <w:rFonts w:hint="eastAsia" w:ascii="仿宋" w:hAnsi="仿宋" w:eastAsia="仿宋" w:cs="仿宋"/>
          <w:color w:val="auto"/>
          <w:sz w:val="32"/>
          <w:szCs w:val="32"/>
          <w:lang w:eastAsia="zh-CN"/>
        </w:rPr>
        <w:t>，截止</w:t>
      </w:r>
      <w:r>
        <w:rPr>
          <w:rFonts w:hint="eastAsia" w:ascii="仿宋" w:hAnsi="仿宋" w:eastAsia="仿宋" w:cs="仿宋"/>
          <w:color w:val="auto"/>
          <w:sz w:val="32"/>
          <w:szCs w:val="32"/>
          <w:lang w:val="en-US" w:eastAsia="zh-CN"/>
        </w:rPr>
        <w:t>2024年底</w:t>
      </w:r>
      <w:r>
        <w:rPr>
          <w:rFonts w:hint="eastAsia" w:ascii="仿宋" w:hAnsi="仿宋" w:eastAsia="仿宋" w:cs="仿宋"/>
          <w:color w:val="auto"/>
          <w:sz w:val="32"/>
          <w:szCs w:val="32"/>
          <w:lang w:eastAsia="zh-CN"/>
        </w:rPr>
        <w:t>实际</w:t>
      </w:r>
      <w:r>
        <w:rPr>
          <w:rFonts w:hint="eastAsia" w:ascii="仿宋" w:hAnsi="仿宋" w:eastAsia="仿宋" w:cs="仿宋"/>
          <w:color w:val="auto"/>
          <w:sz w:val="32"/>
          <w:szCs w:val="32"/>
        </w:rPr>
        <w:t>分配入住53</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户，其中2024年新分配入住</w:t>
      </w:r>
      <w:r>
        <w:rPr>
          <w:rFonts w:hint="eastAsia" w:ascii="仿宋" w:hAnsi="仿宋" w:eastAsia="仿宋" w:cs="仿宋"/>
          <w:color w:val="auto"/>
          <w:sz w:val="32"/>
          <w:szCs w:val="32"/>
          <w:lang w:val="en-US" w:eastAsia="zh-CN"/>
        </w:rPr>
        <w:t>84</w:t>
      </w:r>
      <w:r>
        <w:rPr>
          <w:rFonts w:hint="eastAsia" w:ascii="仿宋" w:hAnsi="仿宋" w:eastAsia="仿宋" w:cs="仿宋"/>
          <w:color w:val="auto"/>
          <w:sz w:val="32"/>
          <w:szCs w:val="32"/>
        </w:rPr>
        <w:t>户，退房</w:t>
      </w:r>
      <w:r>
        <w:rPr>
          <w:rFonts w:hint="eastAsia" w:ascii="仿宋" w:hAnsi="仿宋" w:eastAsia="仿宋" w:cs="仿宋"/>
          <w:color w:val="auto"/>
          <w:sz w:val="32"/>
          <w:szCs w:val="32"/>
          <w:lang w:val="en-US" w:eastAsia="zh-CN"/>
        </w:rPr>
        <w:t>206</w:t>
      </w:r>
      <w:r>
        <w:rPr>
          <w:rFonts w:hint="eastAsia" w:ascii="仿宋" w:hAnsi="仿宋" w:eastAsia="仿宋" w:cs="仿宋"/>
          <w:color w:val="auto"/>
          <w:sz w:val="32"/>
          <w:szCs w:val="32"/>
        </w:rPr>
        <w:t>户</w:t>
      </w:r>
      <w:r>
        <w:rPr>
          <w:rFonts w:hint="eastAsia" w:ascii="仿宋" w:hAnsi="仿宋" w:eastAsia="仿宋" w:cs="仿宋"/>
          <w:color w:val="auto"/>
          <w:sz w:val="32"/>
          <w:szCs w:val="32"/>
          <w:lang w:eastAsia="zh-CN"/>
        </w:rPr>
        <w:t>（其中强制清退</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，完成年审</w:t>
      </w:r>
      <w:r>
        <w:rPr>
          <w:rFonts w:hint="eastAsia" w:ascii="仿宋" w:hAnsi="仿宋" w:eastAsia="仿宋" w:cs="仿宋"/>
          <w:color w:val="auto"/>
          <w:sz w:val="32"/>
          <w:szCs w:val="32"/>
          <w:lang w:val="en-US" w:eastAsia="zh-CN"/>
        </w:rPr>
        <w:t>5049</w:t>
      </w:r>
      <w:r>
        <w:rPr>
          <w:rFonts w:hint="eastAsia" w:ascii="仿宋" w:hAnsi="仿宋" w:eastAsia="仿宋" w:cs="仿宋"/>
          <w:color w:val="auto"/>
          <w:sz w:val="32"/>
          <w:szCs w:val="32"/>
        </w:rPr>
        <w:t>户，收取租金</w:t>
      </w:r>
      <w:r>
        <w:rPr>
          <w:rFonts w:hint="eastAsia" w:ascii="仿宋" w:hAnsi="仿宋" w:eastAsia="仿宋" w:cs="仿宋"/>
          <w:color w:val="auto"/>
          <w:sz w:val="32"/>
          <w:szCs w:val="32"/>
          <w:lang w:val="en-US" w:eastAsia="zh-CN"/>
        </w:rPr>
        <w:t>857.86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；另外，</w:t>
      </w:r>
      <w:r>
        <w:rPr>
          <w:rFonts w:hint="eastAsia" w:ascii="仿宋_GB2312" w:hAnsi="仿宋_GB2312" w:eastAsia="仿宋_GB2312" w:cs="仿宋_GB2312"/>
          <w:i w:val="0"/>
          <w:caps w:val="0"/>
          <w:color w:val="auto"/>
          <w:spacing w:val="0"/>
          <w:sz w:val="32"/>
          <w:szCs w:val="32"/>
          <w:u w:val="none"/>
          <w:lang w:eastAsia="zh-CN"/>
        </w:rPr>
        <w:t>按照春秋市长</w:t>
      </w:r>
      <w:r>
        <w:rPr>
          <w:rFonts w:hint="eastAsia" w:ascii="仿宋_GB2312" w:hAnsi="仿宋_GB2312" w:eastAsia="仿宋_GB2312" w:cs="仿宋_GB2312"/>
          <w:i w:val="0"/>
          <w:caps w:val="0"/>
          <w:color w:val="auto"/>
          <w:spacing w:val="0"/>
          <w:sz w:val="32"/>
          <w:szCs w:val="32"/>
          <w:u w:val="none"/>
          <w:lang w:val="en-US" w:eastAsia="zh-CN"/>
        </w:rPr>
        <w:t>8月26日在全市保交房、保交楼、保障性住房建设工作推进会议</w:t>
      </w:r>
      <w:r>
        <w:rPr>
          <w:rFonts w:hint="eastAsia" w:ascii="仿宋_GB2312" w:hAnsi="仿宋_GB2312" w:eastAsia="仿宋_GB2312" w:cs="仿宋_GB2312"/>
          <w:i w:val="0"/>
          <w:caps w:val="0"/>
          <w:color w:val="auto"/>
          <w:spacing w:val="0"/>
          <w:sz w:val="32"/>
          <w:szCs w:val="32"/>
          <w:u w:val="none"/>
          <w:lang w:eastAsia="zh-CN"/>
        </w:rPr>
        <w:t>上的指示精神，</w:t>
      </w:r>
      <w:r>
        <w:rPr>
          <w:rFonts w:hint="eastAsia" w:ascii="仿宋" w:hAnsi="仿宋" w:eastAsia="仿宋" w:cs="仿宋"/>
          <w:color w:val="auto"/>
          <w:sz w:val="32"/>
          <w:szCs w:val="32"/>
          <w:u w:val="none"/>
          <w:lang w:val="en-US" w:eastAsia="zh-CN"/>
        </w:rPr>
        <w:t>为</w:t>
      </w:r>
      <w:r>
        <w:rPr>
          <w:rFonts w:hint="eastAsia" w:ascii="仿宋_GB2312" w:hAnsi="仿宋_GB2312" w:eastAsia="仿宋_GB2312" w:cs="仿宋_GB2312"/>
          <w:i w:val="0"/>
          <w:caps w:val="0"/>
          <w:color w:val="auto"/>
          <w:spacing w:val="0"/>
          <w:sz w:val="32"/>
          <w:szCs w:val="32"/>
          <w:u w:val="none"/>
          <w:lang w:eastAsia="zh-CN"/>
        </w:rPr>
        <w:t>做好我市已建成存量商品房用作保障性住房前期工作，我中心于</w:t>
      </w:r>
      <w:r>
        <w:rPr>
          <w:rFonts w:hint="eastAsia" w:ascii="仿宋_GB2312" w:hAnsi="仿宋_GB2312" w:eastAsia="仿宋_GB2312" w:cs="仿宋_GB2312"/>
          <w:color w:val="auto"/>
          <w:sz w:val="32"/>
          <w:szCs w:val="32"/>
          <w:u w:val="none"/>
          <w:lang w:eastAsia="zh-CN"/>
        </w:rPr>
        <w:t>8月28日至9月7日</w:t>
      </w:r>
      <w:r>
        <w:rPr>
          <w:rFonts w:hint="eastAsia" w:ascii="仿宋_GB2312" w:hAnsi="仿宋_GB2312" w:eastAsia="仿宋_GB2312" w:cs="仿宋_GB2312"/>
          <w:i w:val="0"/>
          <w:caps w:val="0"/>
          <w:color w:val="auto"/>
          <w:spacing w:val="0"/>
          <w:sz w:val="32"/>
          <w:szCs w:val="32"/>
          <w:u w:val="none"/>
          <w:lang w:eastAsia="zh-CN"/>
        </w:rPr>
        <w:t>对市主城区</w:t>
      </w:r>
      <w:r>
        <w:rPr>
          <w:rFonts w:hint="eastAsia" w:ascii="仿宋_GB2312" w:hAnsi="仿宋_GB2312" w:eastAsia="仿宋_GB2312" w:cs="仿宋_GB2312"/>
          <w:color w:val="auto"/>
          <w:sz w:val="32"/>
          <w:szCs w:val="32"/>
          <w:u w:val="none"/>
          <w:lang w:eastAsia="zh-CN"/>
        </w:rPr>
        <w:t>配售型保障性住房需求情况进行了调研，并于</w:t>
      </w:r>
      <w:r>
        <w:rPr>
          <w:rFonts w:hint="eastAsia" w:ascii="仿宋" w:hAnsi="仿宋" w:eastAsia="仿宋" w:cs="仿宋"/>
          <w:color w:val="auto"/>
          <w:sz w:val="32"/>
          <w:szCs w:val="32"/>
          <w:u w:val="none"/>
          <w:lang w:val="en-US" w:eastAsia="zh-CN"/>
        </w:rPr>
        <w:t>9月11日形成了专题调研报告供市政府领导决策参考。</w:t>
      </w:r>
    </w:p>
    <w:p w14:paraId="6F1A8C8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ascii="仿宋" w:hAnsi="仿宋" w:eastAsia="仿宋" w:cstheme="minorEastAsia"/>
          <w:color w:val="auto"/>
          <w:sz w:val="32"/>
          <w:szCs w:val="32"/>
        </w:rPr>
      </w:pPr>
      <w:r>
        <w:rPr>
          <w:rFonts w:hint="eastAsia" w:ascii="仿宋" w:hAnsi="仿宋" w:eastAsia="仿宋" w:cstheme="minorEastAsia"/>
          <w:b/>
          <w:color w:val="auto"/>
          <w:sz w:val="32"/>
          <w:szCs w:val="32"/>
        </w:rPr>
        <w:t>3.白蚁防治工作情况。</w:t>
      </w:r>
      <w:r>
        <w:rPr>
          <w:rFonts w:hint="eastAsia" w:ascii="仿宋" w:hAnsi="仿宋" w:eastAsia="仿宋" w:cs="仿宋"/>
          <w:b w:val="0"/>
          <w:bCs/>
          <w:color w:val="auto"/>
          <w:sz w:val="32"/>
          <w:szCs w:val="32"/>
        </w:rPr>
        <w:t>2024年，</w:t>
      </w:r>
      <w:r>
        <w:rPr>
          <w:rFonts w:hint="eastAsia" w:ascii="仿宋" w:hAnsi="仿宋" w:eastAsia="仿宋" w:cs="仿宋"/>
          <w:color w:val="auto"/>
          <w:sz w:val="32"/>
          <w:szCs w:val="32"/>
        </w:rPr>
        <w:t>受理</w:t>
      </w:r>
      <w:r>
        <w:rPr>
          <w:rFonts w:hint="eastAsia" w:ascii="仿宋" w:hAnsi="仿宋" w:eastAsia="仿宋" w:cs="仿宋"/>
          <w:color w:val="auto"/>
          <w:sz w:val="32"/>
          <w:szCs w:val="32"/>
          <w:lang w:eastAsia="zh-CN"/>
        </w:rPr>
        <w:t>和施工白蚁防治申请</w:t>
      </w:r>
      <w:r>
        <w:rPr>
          <w:rFonts w:hint="eastAsia" w:ascii="仿宋" w:hAnsi="仿宋" w:eastAsia="仿宋" w:cs="仿宋"/>
          <w:color w:val="auto"/>
          <w:sz w:val="32"/>
          <w:szCs w:val="32"/>
        </w:rPr>
        <w:t>155栋面积117.1万㎡，发放城市房屋白蚁预防实施证明155份。受理白蚁危害来访来电30人次，实施白蚁灭治施工13处，其中房屋7处，树木白蚁灭7处，并对16个不属于白蚁防治包治期内的进行现场勘察和治理方法指导。白蚁防治回访复查房屋623栋，回访面积757.6万㎡。</w:t>
      </w:r>
    </w:p>
    <w:p w14:paraId="14D947B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ascii="仿宋" w:hAnsi="仿宋" w:eastAsia="仿宋" w:cstheme="minorEastAsia"/>
          <w:color w:val="auto"/>
          <w:sz w:val="32"/>
          <w:szCs w:val="32"/>
        </w:rPr>
      </w:pPr>
      <w:r>
        <w:rPr>
          <w:rFonts w:hint="eastAsia" w:ascii="仿宋" w:hAnsi="仿宋" w:eastAsia="仿宋" w:cstheme="minorEastAsia"/>
          <w:b/>
          <w:color w:val="auto"/>
          <w:sz w:val="32"/>
          <w:szCs w:val="32"/>
        </w:rPr>
        <w:t>4.购房补贴发放工作情况。</w:t>
      </w:r>
      <w:r>
        <w:rPr>
          <w:rFonts w:hint="eastAsia" w:ascii="仿宋" w:hAnsi="仿宋" w:eastAsia="仿宋" w:cs="仿宋"/>
          <w:color w:val="auto"/>
          <w:sz w:val="32"/>
          <w:szCs w:val="32"/>
          <w:lang w:eastAsia="zh-CN"/>
        </w:rPr>
        <w:t>该项</w:t>
      </w:r>
      <w:r>
        <w:rPr>
          <w:rFonts w:hint="eastAsia" w:ascii="仿宋" w:hAnsi="仿宋" w:eastAsia="仿宋" w:cs="仿宋"/>
          <w:color w:val="auto"/>
          <w:sz w:val="32"/>
          <w:szCs w:val="32"/>
        </w:rPr>
        <w:t>工作自2023年5月正式启动以来，共完成补贴申请资料审核13248户，</w:t>
      </w:r>
      <w:r>
        <w:rPr>
          <w:rFonts w:hint="eastAsia" w:ascii="仿宋" w:hAnsi="仿宋" w:eastAsia="仿宋" w:cs="仿宋"/>
          <w:color w:val="auto"/>
          <w:sz w:val="32"/>
          <w:szCs w:val="32"/>
          <w:lang w:eastAsia="zh-CN"/>
        </w:rPr>
        <w:t>涉及房屋</w:t>
      </w:r>
      <w:r>
        <w:rPr>
          <w:rFonts w:hint="eastAsia" w:ascii="仿宋" w:hAnsi="仿宋" w:eastAsia="仿宋" w:cs="仿宋"/>
          <w:color w:val="auto"/>
          <w:sz w:val="32"/>
          <w:szCs w:val="32"/>
        </w:rPr>
        <w:t>交易面积共计162.3万㎡（其中住宅12202套面积152.48万㎡，非住宅1046套面积9.82万㎡），成交总金额82.52亿元；实现契税征缴金额1.41亿元，应发放购房补贴共计8488.86万元。截至</w:t>
      </w:r>
      <w:r>
        <w:rPr>
          <w:rFonts w:hint="eastAsia" w:ascii="仿宋" w:hAnsi="仿宋" w:eastAsia="仿宋" w:cs="仿宋"/>
          <w:color w:val="auto"/>
          <w:sz w:val="32"/>
          <w:szCs w:val="32"/>
          <w:lang w:val="en-US" w:eastAsia="zh-CN"/>
        </w:rPr>
        <w:t>2024年底</w:t>
      </w:r>
      <w:r>
        <w:rPr>
          <w:rFonts w:hint="eastAsia" w:ascii="仿宋" w:hAnsi="仿宋" w:eastAsia="仿宋" w:cs="仿宋"/>
          <w:color w:val="auto"/>
          <w:sz w:val="32"/>
          <w:szCs w:val="32"/>
        </w:rPr>
        <w:t>，已完成前五批6296户的公示，已完成</w:t>
      </w:r>
      <w:r>
        <w:rPr>
          <w:rFonts w:hint="eastAsia" w:ascii="仿宋" w:hAnsi="仿宋" w:eastAsia="仿宋" w:cs="仿宋"/>
          <w:color w:val="auto"/>
          <w:sz w:val="32"/>
          <w:szCs w:val="32"/>
          <w:lang w:eastAsia="zh-CN"/>
        </w:rPr>
        <w:t>前四批</w:t>
      </w:r>
      <w:r>
        <w:rPr>
          <w:rFonts w:hint="eastAsia" w:ascii="仿宋" w:hAnsi="仿宋" w:eastAsia="仿宋"/>
          <w:color w:val="auto"/>
          <w:sz w:val="32"/>
          <w:szCs w:val="32"/>
        </w:rPr>
        <w:t>3442户</w:t>
      </w:r>
      <w:r>
        <w:rPr>
          <w:rFonts w:hint="eastAsia" w:ascii="仿宋" w:hAnsi="仿宋" w:eastAsia="仿宋" w:cs="仿宋"/>
          <w:color w:val="auto"/>
          <w:sz w:val="32"/>
          <w:szCs w:val="32"/>
          <w:lang w:eastAsia="zh-CN"/>
        </w:rPr>
        <w:t>首年资金的发放以及</w:t>
      </w:r>
      <w:r>
        <w:rPr>
          <w:rFonts w:hint="eastAsia" w:ascii="仿宋" w:hAnsi="仿宋" w:eastAsia="仿宋" w:cs="仿宋"/>
          <w:color w:val="auto"/>
          <w:sz w:val="32"/>
          <w:szCs w:val="32"/>
        </w:rPr>
        <w:t>前三批</w:t>
      </w:r>
      <w:r>
        <w:rPr>
          <w:rFonts w:hint="eastAsia" w:ascii="仿宋" w:hAnsi="仿宋" w:eastAsia="仿宋"/>
          <w:color w:val="auto"/>
          <w:sz w:val="32"/>
          <w:szCs w:val="32"/>
        </w:rPr>
        <w:t>2054户</w:t>
      </w:r>
      <w:r>
        <w:rPr>
          <w:rFonts w:hint="eastAsia" w:ascii="仿宋" w:hAnsi="仿宋" w:eastAsia="仿宋" w:cs="仿宋"/>
          <w:color w:val="auto"/>
          <w:sz w:val="32"/>
          <w:szCs w:val="32"/>
          <w:lang w:eastAsia="zh-CN"/>
        </w:rPr>
        <w:t>第二年资金的</w:t>
      </w:r>
      <w:r>
        <w:rPr>
          <w:rFonts w:hint="eastAsia" w:ascii="仿宋" w:hAnsi="仿宋" w:eastAsia="仿宋" w:cs="仿宋"/>
          <w:color w:val="auto"/>
          <w:sz w:val="32"/>
          <w:szCs w:val="32"/>
        </w:rPr>
        <w:t>发放</w:t>
      </w:r>
      <w:r>
        <w:rPr>
          <w:rFonts w:hint="eastAsia" w:ascii="仿宋" w:hAnsi="仿宋" w:eastAsia="仿宋" w:cstheme="minorEastAsia"/>
          <w:color w:val="auto"/>
          <w:sz w:val="32"/>
          <w:szCs w:val="32"/>
        </w:rPr>
        <w:t>。</w:t>
      </w:r>
    </w:p>
    <w:p w14:paraId="5EDEBE59">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楷体" w:hAnsi="楷体" w:eastAsia="楷体" w:cstheme="minorEastAsia"/>
          <w:b/>
          <w:bCs/>
          <w:color w:val="auto"/>
          <w:sz w:val="32"/>
          <w:szCs w:val="32"/>
        </w:rPr>
      </w:pPr>
      <w:r>
        <w:rPr>
          <w:rFonts w:hint="eastAsia" w:ascii="楷体" w:hAnsi="楷体" w:eastAsia="楷体" w:cstheme="minorEastAsia"/>
          <w:b/>
          <w:bCs/>
          <w:color w:val="auto"/>
          <w:sz w:val="32"/>
          <w:szCs w:val="32"/>
        </w:rPr>
        <w:t>（二）履职尽责，服务中心工作情况</w:t>
      </w:r>
    </w:p>
    <w:p w14:paraId="6D586B1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ascii="仿宋" w:hAnsi="仿宋" w:eastAsia="仿宋" w:cstheme="minorEastAsia"/>
          <w:bCs/>
          <w:color w:val="auto"/>
          <w:sz w:val="32"/>
          <w:szCs w:val="32"/>
        </w:rPr>
      </w:pPr>
      <w:r>
        <w:rPr>
          <w:rFonts w:hint="eastAsia" w:ascii="仿宋" w:hAnsi="仿宋" w:eastAsia="仿宋" w:cstheme="minorEastAsia"/>
          <w:b/>
          <w:bCs/>
          <w:color w:val="auto"/>
          <w:sz w:val="32"/>
          <w:szCs w:val="32"/>
        </w:rPr>
        <w:t>1.积极推进房地产遗留问题处理。</w:t>
      </w:r>
      <w:r>
        <w:rPr>
          <w:rFonts w:hint="eastAsia" w:ascii="仿宋" w:hAnsi="仿宋" w:eastAsia="仿宋" w:cs="仿宋"/>
          <w:color w:val="auto"/>
          <w:sz w:val="32"/>
          <w:szCs w:val="32"/>
        </w:rPr>
        <w:t>中心负责的处遗项目共19个，已进入办证程序的项目15个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未进入办证程序4个</w:t>
      </w:r>
      <w:r>
        <w:rPr>
          <w:rFonts w:hint="eastAsia" w:ascii="仿宋" w:hAnsi="仿宋" w:eastAsia="仿宋" w:cs="仿宋"/>
          <w:color w:val="auto"/>
          <w:sz w:val="32"/>
          <w:szCs w:val="32"/>
          <w:lang w:eastAsia="zh-CN"/>
        </w:rPr>
        <w:t>。</w:t>
      </w:r>
      <w:r>
        <w:rPr>
          <w:rFonts w:hint="eastAsia" w:ascii="仿宋" w:hAnsi="仿宋" w:eastAsia="仿宋" w:cs="仿宋"/>
          <w:b/>
          <w:color w:val="auto"/>
          <w:sz w:val="32"/>
          <w:szCs w:val="32"/>
        </w:rPr>
        <w:t>怀化报业传媒大楼项目</w:t>
      </w:r>
      <w:r>
        <w:rPr>
          <w:rFonts w:hint="eastAsia" w:ascii="仿宋" w:hAnsi="仿宋" w:eastAsia="仿宋" w:cs="仿宋"/>
          <w:color w:val="auto"/>
          <w:sz w:val="32"/>
          <w:szCs w:val="32"/>
        </w:rPr>
        <w:t>复工续建进展顺利，正在主体工程施工建设，</w:t>
      </w:r>
      <w:r>
        <w:rPr>
          <w:rFonts w:hint="eastAsia" w:ascii="仿宋" w:hAnsi="仿宋" w:eastAsia="仿宋" w:cs="仿宋"/>
          <w:color w:val="auto"/>
          <w:sz w:val="32"/>
          <w:szCs w:val="32"/>
          <w:lang w:eastAsia="zh-CN"/>
        </w:rPr>
        <w:t>预计</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年1月</w:t>
      </w:r>
      <w:r>
        <w:rPr>
          <w:rFonts w:hint="eastAsia" w:ascii="仿宋" w:hAnsi="仿宋" w:eastAsia="仿宋" w:cs="仿宋"/>
          <w:color w:val="auto"/>
          <w:sz w:val="32"/>
          <w:szCs w:val="32"/>
          <w:lang w:eastAsia="zh-CN"/>
        </w:rPr>
        <w:t>底前可</w:t>
      </w:r>
      <w:r>
        <w:rPr>
          <w:rFonts w:hint="eastAsia" w:ascii="仿宋" w:hAnsi="仿宋" w:eastAsia="仿宋" w:cs="仿宋"/>
          <w:color w:val="auto"/>
          <w:sz w:val="32"/>
          <w:szCs w:val="32"/>
        </w:rPr>
        <w:t>封顶。</w:t>
      </w:r>
      <w:r>
        <w:rPr>
          <w:rFonts w:hint="eastAsia" w:ascii="仿宋" w:hAnsi="仿宋" w:eastAsia="仿宋" w:cs="仿宋"/>
          <w:b/>
          <w:color w:val="auto"/>
          <w:sz w:val="32"/>
          <w:szCs w:val="32"/>
        </w:rPr>
        <w:t>阳光上东国际项目</w:t>
      </w:r>
      <w:r>
        <w:rPr>
          <w:rFonts w:hint="eastAsia" w:ascii="仿宋" w:hAnsi="仿宋" w:eastAsia="仿宋" w:cs="仿宋"/>
          <w:color w:val="auto"/>
          <w:sz w:val="32"/>
          <w:szCs w:val="32"/>
        </w:rPr>
        <w:t>因建筑高度超过100米（实际高度为101米）及消防整改未到位问题未进入办证程序，</w:t>
      </w:r>
      <w:r>
        <w:rPr>
          <w:rFonts w:hint="eastAsia" w:ascii="仿宋" w:hAnsi="仿宋" w:eastAsia="仿宋" w:cs="仿宋"/>
          <w:color w:val="auto"/>
          <w:sz w:val="32"/>
          <w:szCs w:val="32"/>
          <w:lang w:eastAsia="zh-CN"/>
        </w:rPr>
        <w:t>正在积极协调处理烟杆较低和配电间少一个机电组的消防整改问题</w:t>
      </w:r>
      <w:r>
        <w:rPr>
          <w:rFonts w:hint="eastAsia" w:ascii="仿宋" w:hAnsi="仿宋" w:eastAsia="仿宋" w:cs="仿宋"/>
          <w:color w:val="auto"/>
          <w:sz w:val="32"/>
          <w:szCs w:val="32"/>
        </w:rPr>
        <w:t>。</w:t>
      </w:r>
      <w:r>
        <w:rPr>
          <w:rFonts w:hint="eastAsia" w:ascii="仿宋" w:hAnsi="仿宋" w:eastAsia="仿宋" w:cs="仿宋"/>
          <w:b/>
          <w:color w:val="auto"/>
          <w:sz w:val="32"/>
          <w:szCs w:val="32"/>
        </w:rPr>
        <w:t>西南名都项目</w:t>
      </w:r>
      <w:r>
        <w:rPr>
          <w:rFonts w:hint="eastAsia" w:ascii="仿宋" w:hAnsi="仿宋" w:eastAsia="仿宋" w:cs="仿宋"/>
          <w:color w:val="auto"/>
          <w:sz w:val="32"/>
          <w:szCs w:val="32"/>
        </w:rPr>
        <w:t>1、2号楼主体工程已完工，因存在一定的资金缺口（约500万元），</w:t>
      </w:r>
      <w:r>
        <w:rPr>
          <w:rFonts w:hint="eastAsia" w:ascii="仿宋" w:hAnsi="仿宋" w:eastAsia="仿宋" w:cs="仿宋"/>
          <w:color w:val="auto"/>
          <w:sz w:val="32"/>
          <w:szCs w:val="32"/>
          <w:lang w:eastAsia="zh-CN"/>
        </w:rPr>
        <w:t>已到位</w:t>
      </w:r>
      <w:r>
        <w:rPr>
          <w:rFonts w:hint="eastAsia" w:ascii="仿宋" w:hAnsi="仿宋" w:eastAsia="仿宋" w:cs="仿宋"/>
          <w:color w:val="auto"/>
          <w:sz w:val="32"/>
          <w:szCs w:val="32"/>
          <w:lang w:val="en-US" w:eastAsia="zh-CN"/>
        </w:rPr>
        <w:t>150万元，</w:t>
      </w:r>
      <w:r>
        <w:rPr>
          <w:rFonts w:hint="eastAsia" w:ascii="仿宋" w:hAnsi="仿宋" w:eastAsia="仿宋" w:cs="仿宋"/>
          <w:color w:val="auto"/>
          <w:sz w:val="32"/>
          <w:szCs w:val="32"/>
        </w:rPr>
        <w:t>配套工程</w:t>
      </w:r>
      <w:r>
        <w:rPr>
          <w:rFonts w:hint="eastAsia" w:ascii="仿宋" w:hAnsi="仿宋" w:eastAsia="仿宋" w:cs="仿宋"/>
          <w:color w:val="auto"/>
          <w:sz w:val="32"/>
          <w:szCs w:val="32"/>
          <w:lang w:eastAsia="zh-CN"/>
        </w:rPr>
        <w:t>和水电施工已完成</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待电力施工验收合格后即可开通水电，</w:t>
      </w:r>
      <w:r>
        <w:rPr>
          <w:rFonts w:hint="eastAsia" w:ascii="仿宋" w:hAnsi="仿宋" w:eastAsia="仿宋" w:cs="仿宋"/>
          <w:color w:val="auto"/>
          <w:sz w:val="32"/>
          <w:szCs w:val="32"/>
        </w:rPr>
        <w:t>暂未进入办证程序。</w:t>
      </w:r>
      <w:r>
        <w:rPr>
          <w:rFonts w:hint="eastAsia" w:ascii="仿宋" w:hAnsi="仿宋" w:eastAsia="仿宋" w:cs="仿宋"/>
          <w:b/>
          <w:color w:val="auto"/>
          <w:sz w:val="32"/>
          <w:szCs w:val="32"/>
        </w:rPr>
        <w:t>中坡瑞丰园项目</w:t>
      </w:r>
      <w:r>
        <w:rPr>
          <w:rFonts w:hint="eastAsia" w:ascii="仿宋" w:hAnsi="仿宋" w:eastAsia="仿宋" w:cs="仿宋"/>
          <w:color w:val="auto"/>
          <w:sz w:val="32"/>
          <w:szCs w:val="32"/>
        </w:rPr>
        <w:t>招募续建投资人工作取得进展，未完工程建设承包合同已经签订，</w:t>
      </w:r>
      <w:r>
        <w:rPr>
          <w:rFonts w:hint="eastAsia" w:ascii="仿宋" w:hAnsi="仿宋" w:eastAsia="仿宋" w:cs="仿宋"/>
          <w:color w:val="auto"/>
          <w:sz w:val="32"/>
          <w:szCs w:val="32"/>
          <w:lang w:eastAsia="zh-CN"/>
        </w:rPr>
        <w:t>主体已全部完工，正在开展玻璃和消防工程施工</w:t>
      </w:r>
      <w:r>
        <w:rPr>
          <w:rFonts w:hint="eastAsia" w:ascii="仿宋" w:hAnsi="仿宋" w:eastAsia="仿宋" w:cs="仿宋"/>
          <w:color w:val="auto"/>
          <w:sz w:val="32"/>
          <w:szCs w:val="32"/>
        </w:rPr>
        <w:t>。</w:t>
      </w:r>
      <w:r>
        <w:rPr>
          <w:rFonts w:hint="eastAsia" w:ascii="仿宋" w:hAnsi="仿宋" w:eastAsia="仿宋" w:cs="仿宋"/>
          <w:b/>
          <w:color w:val="auto"/>
          <w:sz w:val="32"/>
          <w:szCs w:val="32"/>
        </w:rPr>
        <w:t>湖天名居（大夫第）项目</w:t>
      </w:r>
      <w:r>
        <w:rPr>
          <w:rFonts w:hint="eastAsia" w:ascii="仿宋" w:hAnsi="仿宋" w:eastAsia="仿宋" w:cs="仿宋"/>
          <w:color w:val="auto"/>
          <w:sz w:val="32"/>
          <w:szCs w:val="32"/>
        </w:rPr>
        <w:t>4号楼因土地权属手续未完善未能进入办证程序，该问题已经取得重大进展，正在</w:t>
      </w:r>
      <w:r>
        <w:rPr>
          <w:rFonts w:hint="eastAsia" w:ascii="仿宋" w:hAnsi="仿宋" w:eastAsia="仿宋" w:cs="仿宋"/>
          <w:color w:val="auto"/>
          <w:sz w:val="32"/>
          <w:szCs w:val="32"/>
          <w:lang w:eastAsia="zh-CN"/>
        </w:rPr>
        <w:t>协调住建、资规等部门</w:t>
      </w:r>
      <w:r>
        <w:rPr>
          <w:rFonts w:hint="eastAsia" w:ascii="仿宋" w:hAnsi="仿宋" w:eastAsia="仿宋" w:cs="仿宋"/>
          <w:color w:val="auto"/>
          <w:sz w:val="32"/>
          <w:szCs w:val="32"/>
        </w:rPr>
        <w:t>办理相关手续。</w:t>
      </w:r>
    </w:p>
    <w:p w14:paraId="7934C060">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theme="minorEastAsia"/>
          <w:b/>
          <w:bCs/>
          <w:color w:val="auto"/>
          <w:sz w:val="32"/>
          <w:szCs w:val="32"/>
        </w:rPr>
        <w:t>2.信访工作办理情况。</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共</w:t>
      </w:r>
      <w:r>
        <w:rPr>
          <w:rFonts w:hint="eastAsia" w:ascii="仿宋" w:hAnsi="仿宋" w:eastAsia="仿宋" w:cs="仿宋"/>
          <w:color w:val="auto"/>
          <w:sz w:val="32"/>
          <w:szCs w:val="32"/>
        </w:rPr>
        <w:t>办理市长热线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省长信箱、红网、百姓呼声等各类</w:t>
      </w:r>
      <w:r>
        <w:rPr>
          <w:rFonts w:hint="eastAsia" w:ascii="仿宋" w:hAnsi="仿宋" w:eastAsia="仿宋" w:cs="仿宋"/>
          <w:color w:val="auto"/>
          <w:sz w:val="32"/>
          <w:szCs w:val="32"/>
          <w:lang w:eastAsia="zh-CN"/>
        </w:rPr>
        <w:t>网络</w:t>
      </w:r>
      <w:r>
        <w:rPr>
          <w:rFonts w:hint="eastAsia" w:ascii="仿宋" w:hAnsi="仿宋" w:eastAsia="仿宋" w:cs="仿宋"/>
          <w:color w:val="auto"/>
          <w:sz w:val="32"/>
          <w:szCs w:val="32"/>
        </w:rPr>
        <w:t>平台信访</w:t>
      </w:r>
      <w:r>
        <w:rPr>
          <w:rFonts w:hint="eastAsia" w:ascii="仿宋" w:hAnsi="仿宋" w:eastAsia="仿宋" w:cs="仿宋"/>
          <w:color w:val="auto"/>
          <w:sz w:val="32"/>
          <w:szCs w:val="32"/>
          <w:lang w:eastAsia="zh-CN"/>
        </w:rPr>
        <w:t>事项</w:t>
      </w:r>
      <w:r>
        <w:rPr>
          <w:rFonts w:hint="eastAsia" w:ascii="仿宋" w:hAnsi="仿宋" w:eastAsia="仿宋" w:cs="仿宋"/>
          <w:color w:val="auto"/>
          <w:sz w:val="32"/>
          <w:szCs w:val="32"/>
        </w:rPr>
        <w:t>87件，全部按时办理完结，办结率100%。同时对15件省委巡视未实体性办结的信访件，加强与信访人沟通、跟踪处理，力争实体办结。</w:t>
      </w:r>
    </w:p>
    <w:p w14:paraId="0ECFBB29">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仿宋" w:hAnsi="仿宋" w:eastAsia="仿宋" w:cstheme="minorEastAsia"/>
          <w:bCs/>
          <w:color w:val="auto"/>
          <w:sz w:val="32"/>
          <w:szCs w:val="32"/>
        </w:rPr>
      </w:pPr>
      <w:r>
        <w:rPr>
          <w:rFonts w:hint="eastAsia" w:ascii="仿宋" w:hAnsi="仿宋" w:eastAsia="仿宋" w:cstheme="minorEastAsia"/>
          <w:b/>
          <w:bCs/>
          <w:color w:val="auto"/>
          <w:sz w:val="32"/>
          <w:szCs w:val="32"/>
        </w:rPr>
        <w:t>3.市委巡察“回头看”反馈问题整改情况。</w:t>
      </w:r>
      <w:r>
        <w:rPr>
          <w:rFonts w:hint="eastAsia" w:ascii="仿宋" w:hAnsi="仿宋" w:eastAsia="仿宋" w:cs="仿宋"/>
          <w:color w:val="auto"/>
          <w:sz w:val="32"/>
          <w:szCs w:val="32"/>
        </w:rPr>
        <w:t>市委巡察反馈涉及我中心问题共19个，其中维修资金管理方面的问题14个。中心成立了巡察整改工作领导小组，共召开10次（其中</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年6次）巡察整改工作部署会议，分解任务，明确整改责任、措施、时限和责任人，按要求将整改进展情况及整改台账资料报局机关党委、市委巡察办。已整改到位1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个，</w:t>
      </w:r>
      <w:r>
        <w:rPr>
          <w:rFonts w:hint="eastAsia" w:ascii="仿宋" w:hAnsi="仿宋" w:eastAsia="仿宋" w:cs="仿宋"/>
          <w:color w:val="auto"/>
          <w:sz w:val="32"/>
          <w:szCs w:val="32"/>
          <w:lang w:eastAsia="zh-CN"/>
        </w:rPr>
        <w:t>另外</w:t>
      </w:r>
      <w:r>
        <w:rPr>
          <w:rFonts w:hint="eastAsia" w:ascii="仿宋" w:hAnsi="仿宋" w:eastAsia="仿宋" w:cs="仿宋"/>
          <w:color w:val="auto"/>
          <w:sz w:val="32"/>
          <w:szCs w:val="32"/>
          <w:lang w:val="en-US" w:eastAsia="zh-CN"/>
        </w:rPr>
        <w:t>关于“维修资金追缴”的问题</w:t>
      </w:r>
      <w:r>
        <w:rPr>
          <w:rFonts w:hint="eastAsia" w:ascii="仿宋" w:hAnsi="仿宋" w:eastAsia="仿宋" w:cs="仿宋"/>
          <w:color w:val="auto"/>
          <w:sz w:val="32"/>
          <w:szCs w:val="32"/>
          <w:lang w:eastAsia="zh-CN"/>
        </w:rPr>
        <w:t>正在</w:t>
      </w:r>
      <w:r>
        <w:rPr>
          <w:rFonts w:hint="eastAsia" w:ascii="仿宋" w:hAnsi="仿宋" w:eastAsia="仿宋" w:cs="仿宋"/>
          <w:color w:val="auto"/>
          <w:sz w:val="32"/>
          <w:szCs w:val="32"/>
        </w:rPr>
        <w:t>持续整改</w:t>
      </w:r>
      <w:r>
        <w:rPr>
          <w:rFonts w:hint="eastAsia" w:ascii="仿宋" w:hAnsi="仿宋" w:eastAsia="仿宋" w:cs="仿宋"/>
          <w:color w:val="auto"/>
          <w:sz w:val="32"/>
          <w:szCs w:val="32"/>
          <w:lang w:eastAsia="zh-CN"/>
        </w:rPr>
        <w:t>中</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通过了市委巡察“回头看”评估验收，评估成绩</w:t>
      </w:r>
      <w:r>
        <w:rPr>
          <w:rFonts w:hint="eastAsia" w:ascii="仿宋" w:hAnsi="仿宋" w:eastAsia="仿宋" w:cs="仿宋"/>
          <w:color w:val="auto"/>
          <w:sz w:val="32"/>
          <w:szCs w:val="32"/>
          <w:lang w:val="en-US" w:eastAsia="zh-CN"/>
        </w:rPr>
        <w:t>90分以上</w:t>
      </w:r>
      <w:r>
        <w:rPr>
          <w:rFonts w:hint="eastAsia" w:ascii="仿宋" w:hAnsi="仿宋" w:eastAsia="仿宋" w:cs="仿宋"/>
          <w:color w:val="auto"/>
          <w:sz w:val="32"/>
          <w:szCs w:val="32"/>
          <w:lang w:eastAsia="zh-CN"/>
        </w:rPr>
        <w:t>。</w:t>
      </w:r>
    </w:p>
    <w:p w14:paraId="1F2CA54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ascii="仿宋" w:hAnsi="仿宋" w:eastAsia="仿宋" w:cstheme="minorEastAsia"/>
          <w:bCs/>
          <w:color w:val="auto"/>
          <w:sz w:val="32"/>
          <w:szCs w:val="32"/>
        </w:rPr>
      </w:pPr>
      <w:r>
        <w:rPr>
          <w:rFonts w:hint="eastAsia" w:ascii="仿宋" w:hAnsi="仿宋" w:eastAsia="仿宋" w:cstheme="minorEastAsia"/>
          <w:b/>
          <w:bCs/>
          <w:color w:val="auto"/>
          <w:sz w:val="32"/>
          <w:szCs w:val="32"/>
        </w:rPr>
        <w:t>4.党风廉政建设责任贯彻落实情况。</w:t>
      </w:r>
      <w:r>
        <w:rPr>
          <w:rFonts w:hint="eastAsia" w:ascii="仿宋" w:hAnsi="仿宋" w:eastAsia="仿宋" w:cs="仿宋"/>
          <w:b/>
          <w:bCs/>
          <w:color w:val="auto"/>
          <w:sz w:val="32"/>
          <w:szCs w:val="32"/>
        </w:rPr>
        <w:t>一是</w:t>
      </w:r>
      <w:r>
        <w:rPr>
          <w:rFonts w:hint="eastAsia" w:ascii="仿宋" w:hAnsi="仿宋" w:eastAsia="仿宋" w:cs="仿宋"/>
          <w:color w:val="auto"/>
          <w:sz w:val="32"/>
          <w:szCs w:val="32"/>
        </w:rPr>
        <w:t>成立了干部队伍教育整顿工作领导小组，于2024年2月5日制定下发了《怀化市住房保障服务中心开展干部队伍教育整顿实施方案》</w:t>
      </w:r>
      <w:r>
        <w:rPr>
          <w:rFonts w:hint="eastAsia" w:ascii="仿宋" w:hAnsi="仿宋" w:eastAsia="仿宋" w:cs="仿宋"/>
          <w:color w:val="auto"/>
          <w:sz w:val="32"/>
          <w:szCs w:val="32"/>
          <w:lang w:eastAsia="zh-CN"/>
        </w:rPr>
        <w:t>，按照上级要求开展了</w:t>
      </w:r>
      <w:r>
        <w:rPr>
          <w:rFonts w:hint="eastAsia" w:ascii="仿宋" w:hAnsi="仿宋" w:eastAsia="仿宋" w:cs="仿宋"/>
          <w:color w:val="auto"/>
          <w:sz w:val="32"/>
          <w:szCs w:val="32"/>
        </w:rPr>
        <w:t>干部队伍教育整顿</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w:t>
      </w:r>
      <w:r>
        <w:rPr>
          <w:rFonts w:hint="eastAsia" w:ascii="仿宋" w:hAnsi="仿宋" w:eastAsia="仿宋" w:cs="仿宋"/>
          <w:b/>
          <w:bCs/>
          <w:color w:val="auto"/>
          <w:sz w:val="32"/>
          <w:szCs w:val="32"/>
        </w:rPr>
        <w:t>二是</w:t>
      </w:r>
      <w:r>
        <w:rPr>
          <w:rFonts w:hint="eastAsia" w:ascii="仿宋" w:hAnsi="仿宋" w:eastAsia="仿宋" w:cs="仿宋"/>
          <w:color w:val="auto"/>
          <w:sz w:val="32"/>
          <w:szCs w:val="32"/>
        </w:rPr>
        <w:t>认真落实“第一议程”制度，中心党总支第一时间组织传达学习习近平总书记重要讲话重要指示批示精神和关于住房城乡建设工作的重要论述，对标对表，结合中心工作实际认真安排部署并贯彻落实。</w:t>
      </w:r>
      <w:r>
        <w:rPr>
          <w:rFonts w:hint="eastAsia" w:ascii="仿宋" w:hAnsi="仿宋" w:eastAsia="仿宋" w:cs="仿宋"/>
          <w:b/>
          <w:bCs/>
          <w:color w:val="auto"/>
          <w:sz w:val="32"/>
          <w:szCs w:val="32"/>
        </w:rPr>
        <w:t>三是</w:t>
      </w:r>
      <w:r>
        <w:rPr>
          <w:rFonts w:hint="eastAsia" w:ascii="仿宋" w:hAnsi="仿宋" w:eastAsia="仿宋" w:cs="仿宋"/>
          <w:color w:val="auto"/>
          <w:sz w:val="32"/>
          <w:szCs w:val="32"/>
        </w:rPr>
        <w:t>开展了违纪违法案件警示教育。组织中心全体干部职工学习了住建局编印的《2018年以来怀化市住建系统部分党员干部违纪违法案例汇编》，通过集中学习警示教育，以案释纪、以案促改、以案促建，防微杜渐，警钟长鸣。同时，每人撰写了1篇不少于1000字的学习心得体会。</w:t>
      </w:r>
      <w:r>
        <w:rPr>
          <w:rFonts w:hint="eastAsia" w:ascii="仿宋" w:hAnsi="仿宋" w:eastAsia="仿宋" w:cs="仿宋"/>
          <w:b/>
          <w:bCs/>
          <w:color w:val="auto"/>
          <w:sz w:val="32"/>
          <w:szCs w:val="32"/>
        </w:rPr>
        <w:t>四是</w:t>
      </w:r>
      <w:r>
        <w:rPr>
          <w:rFonts w:hint="eastAsia" w:ascii="仿宋" w:hAnsi="仿宋" w:eastAsia="仿宋" w:cs="仿宋"/>
          <w:color w:val="auto"/>
          <w:sz w:val="32"/>
          <w:szCs w:val="32"/>
        </w:rPr>
        <w:t>开展了全员谈心谈话。按照“四必谈”和全覆盖要求，中心党总支书记与班子成员、党支部书记、各部门主要负责人开展一次集体谈心谈话、廉政谈话，班子成员、党支部书记、各部门主要负责人按照分管（负责）工作领域，开展了全覆盖式谈心谈话、廉政谈话。</w:t>
      </w:r>
      <w:r>
        <w:rPr>
          <w:rFonts w:hint="eastAsia" w:ascii="仿宋" w:hAnsi="仿宋" w:eastAsia="仿宋" w:cs="仿宋"/>
          <w:b/>
          <w:bCs/>
          <w:color w:val="auto"/>
          <w:sz w:val="32"/>
          <w:szCs w:val="32"/>
        </w:rPr>
        <w:t>五是</w:t>
      </w:r>
      <w:r>
        <w:rPr>
          <w:rFonts w:hint="eastAsia" w:ascii="仿宋" w:hAnsi="仿宋" w:eastAsia="仿宋" w:cs="仿宋"/>
          <w:color w:val="auto"/>
          <w:sz w:val="32"/>
          <w:szCs w:val="32"/>
        </w:rPr>
        <w:t>集中开展了纪法条规学习。根据住建局印发的《中国共产党问责条例》《中国共产党纪律处分条例》《中国共产党党内监督条例》《中国共产党支部工作条例（试行）》《中华人民共和国公职人员政务处分法》《中华人民共和国监察法》《事业单位工作人员处分规定》等党纪法规制度汇编，中心组织开展了全员集中学习，同时每人撰写了1篇不少于1000字的学习心得体会。</w:t>
      </w:r>
      <w:r>
        <w:rPr>
          <w:rFonts w:hint="eastAsia" w:ascii="仿宋" w:hAnsi="仿宋" w:eastAsia="仿宋" w:cs="仿宋"/>
          <w:b/>
          <w:bCs/>
          <w:color w:val="auto"/>
          <w:sz w:val="32"/>
          <w:szCs w:val="32"/>
        </w:rPr>
        <w:t>六是</w:t>
      </w:r>
      <w:r>
        <w:rPr>
          <w:rFonts w:hint="eastAsia" w:ascii="仿宋" w:hAnsi="仿宋" w:eastAsia="仿宋" w:cs="仿宋"/>
          <w:color w:val="auto"/>
          <w:sz w:val="32"/>
          <w:szCs w:val="32"/>
        </w:rPr>
        <w:t>聆听了廉政教育专题报告和党课。市住建局邀请了市纪委监委、市直机关工委、市检察院领导分别于3月10日和3月26日为住建系统全体干部职工授廉政教育党课，同时聆听了局党组书记和纪检组长的专题党课；中心党总支书记于3月27日给中心全体干部职工上了廉政教育专题党课。</w:t>
      </w:r>
      <w:r>
        <w:rPr>
          <w:rFonts w:hint="eastAsia" w:ascii="仿宋" w:hAnsi="仿宋" w:eastAsia="仿宋" w:cs="仿宋"/>
          <w:b/>
          <w:bCs/>
          <w:color w:val="auto"/>
          <w:sz w:val="32"/>
          <w:szCs w:val="32"/>
        </w:rPr>
        <w:t>七是</w:t>
      </w:r>
      <w:r>
        <w:rPr>
          <w:rFonts w:hint="eastAsia" w:ascii="仿宋" w:hAnsi="仿宋" w:eastAsia="仿宋" w:cs="仿宋"/>
          <w:color w:val="auto"/>
          <w:sz w:val="32"/>
          <w:szCs w:val="32"/>
        </w:rPr>
        <w:t>组织开展了体验式警示教育。根据市住建局安排，于4月16日组织全体干部职工到怀化监狱开展了体验式警示教育，参观了服刑人员生活区、劳动教育改造现场，聆听了职务犯罪服刑人员现身说法等。</w:t>
      </w:r>
    </w:p>
    <w:p w14:paraId="444512D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theme="minorEastAsia"/>
          <w:b/>
          <w:bCs/>
          <w:color w:val="auto"/>
          <w:sz w:val="32"/>
          <w:szCs w:val="32"/>
          <w:lang w:val="en-US" w:eastAsia="zh-CN"/>
        </w:rPr>
        <w:t>5</w:t>
      </w:r>
      <w:r>
        <w:rPr>
          <w:rFonts w:hint="eastAsia" w:ascii="仿宋" w:hAnsi="仿宋" w:eastAsia="仿宋" w:cstheme="minorEastAsia"/>
          <w:b/>
          <w:bCs/>
          <w:color w:val="auto"/>
          <w:sz w:val="32"/>
          <w:szCs w:val="32"/>
        </w:rPr>
        <w:t>.主题教育工作开展情况。</w:t>
      </w:r>
      <w:r>
        <w:rPr>
          <w:rFonts w:hint="eastAsia" w:ascii="仿宋" w:hAnsi="仿宋" w:eastAsia="仿宋" w:cs="仿宋"/>
          <w:color w:val="auto"/>
          <w:sz w:val="32"/>
          <w:szCs w:val="32"/>
        </w:rPr>
        <w:t>按照市委、市住建局党组关于开展党纪学习教育的工作安排部署，中心党总支结合党支部开展了4次集中学习及交流研讨，逐章逐条、逐字逐句学习《中国共产党纪律处分条例》，坚持原原本本学，推动《条例》入脑入心。</w:t>
      </w:r>
      <w:r>
        <w:rPr>
          <w:rFonts w:hint="eastAsia" w:ascii="仿宋" w:hAnsi="仿宋" w:eastAsia="仿宋" w:cs="仿宋"/>
          <w:color w:val="auto"/>
          <w:sz w:val="32"/>
          <w:szCs w:val="32"/>
          <w:lang w:eastAsia="zh-CN"/>
        </w:rPr>
        <w:t>中心</w:t>
      </w:r>
      <w:r>
        <w:rPr>
          <w:rFonts w:hint="eastAsia" w:ascii="仿宋" w:hAnsi="仿宋" w:eastAsia="仿宋" w:cs="仿宋"/>
          <w:color w:val="auto"/>
          <w:sz w:val="32"/>
          <w:szCs w:val="32"/>
        </w:rPr>
        <w:t>党总支书记</w:t>
      </w:r>
      <w:r>
        <w:rPr>
          <w:rFonts w:hint="eastAsia" w:ascii="仿宋" w:hAnsi="仿宋" w:eastAsia="仿宋" w:cs="仿宋"/>
          <w:color w:val="auto"/>
          <w:sz w:val="32"/>
          <w:szCs w:val="32"/>
          <w:lang w:eastAsia="zh-CN"/>
        </w:rPr>
        <w:t>易传旭同志于</w:t>
      </w:r>
      <w:r>
        <w:rPr>
          <w:rFonts w:hint="eastAsia" w:ascii="仿宋" w:hAnsi="仿宋" w:eastAsia="仿宋" w:cs="仿宋"/>
          <w:color w:val="auto"/>
          <w:sz w:val="32"/>
          <w:szCs w:val="32"/>
          <w:lang w:val="en-US" w:eastAsia="zh-CN"/>
        </w:rPr>
        <w:t>4月24日</w:t>
      </w:r>
      <w:r>
        <w:rPr>
          <w:rFonts w:hint="eastAsia" w:ascii="仿宋" w:hAnsi="仿宋" w:eastAsia="仿宋" w:cs="仿宋"/>
          <w:color w:val="auto"/>
          <w:sz w:val="32"/>
          <w:szCs w:val="32"/>
        </w:rPr>
        <w:t>以《深刻认识&lt;条例&gt;修订重要意义，做守纪律讲规矩的表率》、</w:t>
      </w:r>
      <w:r>
        <w:rPr>
          <w:rFonts w:hint="eastAsia" w:ascii="仿宋" w:hAnsi="仿宋" w:eastAsia="仿宋" w:cs="仿宋"/>
          <w:color w:val="auto"/>
          <w:sz w:val="32"/>
          <w:szCs w:val="32"/>
          <w:lang w:eastAsia="zh-CN"/>
        </w:rPr>
        <w:t>中心</w:t>
      </w:r>
      <w:r>
        <w:rPr>
          <w:rFonts w:hint="eastAsia" w:ascii="仿宋" w:hAnsi="仿宋" w:eastAsia="仿宋" w:cs="仿宋"/>
          <w:color w:val="auto"/>
          <w:sz w:val="32"/>
          <w:szCs w:val="32"/>
        </w:rPr>
        <w:t>党支部书记</w:t>
      </w:r>
      <w:r>
        <w:rPr>
          <w:rFonts w:hint="eastAsia" w:ascii="仿宋" w:hAnsi="仿宋" w:eastAsia="仿宋" w:cs="仿宋"/>
          <w:color w:val="auto"/>
          <w:sz w:val="32"/>
          <w:szCs w:val="32"/>
          <w:lang w:eastAsia="zh-CN"/>
        </w:rPr>
        <w:t>周心满同志</w:t>
      </w:r>
      <w:r>
        <w:rPr>
          <w:rFonts w:hint="eastAsia" w:ascii="仿宋" w:hAnsi="仿宋" w:eastAsia="仿宋" w:cs="仿宋"/>
          <w:color w:val="auto"/>
          <w:sz w:val="32"/>
          <w:szCs w:val="32"/>
        </w:rPr>
        <w:t>以《加强纪律，增强干部队伍自身作风和责任感》为题分别给中心全体党员干部职工上了党纪学习教育专题党课。另外，结合今年我市相关市级领导干部违纪违法案件和近年来住建系统部分党员干部违纪违法典型案例开展警示教育，引导中心党员干部常敲思想警钟、常绷纪律之弦、常存敬畏之心。同时，按照上级工作安排，中心市管领导干部及正科级班子成员在干部教育培训网络学院接受《中国共产党纪律处分条例》自学培训，深化对《条例》的理解和运用。</w:t>
      </w:r>
    </w:p>
    <w:p w14:paraId="5D2ECE67">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黑体" w:hAnsi="黑体" w:eastAsia="黑体" w:cstheme="minorEastAsia"/>
          <w:color w:val="auto"/>
          <w:sz w:val="32"/>
          <w:szCs w:val="32"/>
        </w:rPr>
      </w:pPr>
      <w:r>
        <w:rPr>
          <w:rFonts w:hint="eastAsia" w:ascii="黑体" w:hAnsi="黑体" w:eastAsia="黑体" w:cstheme="minorEastAsia"/>
          <w:color w:val="auto"/>
          <w:sz w:val="32"/>
          <w:szCs w:val="32"/>
        </w:rPr>
        <w:t>六、综合评价情况及评价结论</w:t>
      </w:r>
    </w:p>
    <w:p w14:paraId="331C01C7">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theme="minorEastAsia"/>
          <w:color w:val="auto"/>
          <w:sz w:val="32"/>
          <w:szCs w:val="32"/>
        </w:rPr>
      </w:pPr>
      <w:r>
        <w:rPr>
          <w:rFonts w:hint="eastAsia" w:ascii="仿宋" w:hAnsi="仿宋" w:eastAsia="仿宋" w:cstheme="minorEastAsia"/>
          <w:color w:val="auto"/>
          <w:sz w:val="32"/>
          <w:szCs w:val="32"/>
        </w:rPr>
        <w:t>我单位积极组织实施了</w:t>
      </w:r>
      <w:r>
        <w:rPr>
          <w:rFonts w:hint="eastAsia" w:ascii="仿宋" w:hAnsi="仿宋" w:eastAsia="仿宋" w:cstheme="minorEastAsia"/>
          <w:color w:val="auto"/>
          <w:sz w:val="32"/>
          <w:szCs w:val="32"/>
          <w:lang w:eastAsia="zh-CN"/>
        </w:rPr>
        <w:t>2024</w:t>
      </w:r>
      <w:r>
        <w:rPr>
          <w:rFonts w:hint="eastAsia" w:ascii="仿宋" w:hAnsi="仿宋" w:eastAsia="仿宋" w:cstheme="minorEastAsia"/>
          <w:color w:val="auto"/>
          <w:sz w:val="32"/>
          <w:szCs w:val="32"/>
        </w:rPr>
        <w:t>年度专项资金管理，建立了专项资金和项目管理制度，规范了实施程序，较好地完成了</w:t>
      </w:r>
      <w:r>
        <w:rPr>
          <w:rFonts w:hint="eastAsia" w:ascii="仿宋" w:hAnsi="仿宋" w:eastAsia="仿宋" w:cstheme="minorEastAsia"/>
          <w:color w:val="auto"/>
          <w:sz w:val="32"/>
          <w:szCs w:val="32"/>
          <w:lang w:eastAsia="zh-CN"/>
        </w:rPr>
        <w:t>2024</w:t>
      </w:r>
      <w:r>
        <w:rPr>
          <w:rFonts w:hint="eastAsia" w:ascii="仿宋" w:hAnsi="仿宋" w:eastAsia="仿宋" w:cstheme="minorEastAsia"/>
          <w:color w:val="auto"/>
          <w:sz w:val="32"/>
          <w:szCs w:val="32"/>
        </w:rPr>
        <w:t>年度工作目标，但仍存在绩效目标不够细化、量化等问题，</w:t>
      </w:r>
      <w:r>
        <w:rPr>
          <w:rFonts w:ascii="仿宋" w:hAnsi="仿宋" w:eastAsia="仿宋" w:cstheme="minorEastAsia"/>
          <w:color w:val="auto"/>
          <w:sz w:val="32"/>
          <w:szCs w:val="32"/>
        </w:rPr>
        <w:t>根据《部门整体支出绩效自评表》，</w:t>
      </w:r>
      <w:r>
        <w:rPr>
          <w:rFonts w:hint="eastAsia" w:ascii="仿宋" w:hAnsi="仿宋" w:eastAsia="仿宋" w:cstheme="minorEastAsia"/>
          <w:color w:val="auto"/>
          <w:sz w:val="32"/>
          <w:szCs w:val="32"/>
          <w:lang w:eastAsia="zh-CN"/>
        </w:rPr>
        <w:t>2024</w:t>
      </w:r>
      <w:r>
        <w:rPr>
          <w:rFonts w:hint="eastAsia" w:ascii="仿宋" w:hAnsi="仿宋" w:eastAsia="仿宋" w:cstheme="minorEastAsia"/>
          <w:color w:val="auto"/>
          <w:sz w:val="32"/>
          <w:szCs w:val="32"/>
        </w:rPr>
        <w:t>年度部门整体绩效自评综合评分为</w:t>
      </w:r>
      <w:r>
        <w:rPr>
          <w:rFonts w:ascii="仿宋" w:hAnsi="仿宋" w:eastAsia="仿宋" w:cstheme="minorEastAsia"/>
          <w:color w:val="auto"/>
          <w:sz w:val="32"/>
          <w:szCs w:val="32"/>
        </w:rPr>
        <w:t>9</w:t>
      </w:r>
      <w:r>
        <w:rPr>
          <w:rFonts w:hint="eastAsia" w:ascii="仿宋" w:hAnsi="仿宋" w:eastAsia="仿宋" w:cstheme="minorEastAsia"/>
          <w:color w:val="auto"/>
          <w:sz w:val="32"/>
          <w:szCs w:val="32"/>
          <w:lang w:val="en-US" w:eastAsia="zh-CN"/>
        </w:rPr>
        <w:t>5.95</w:t>
      </w:r>
      <w:r>
        <w:rPr>
          <w:rFonts w:hint="eastAsia" w:ascii="仿宋" w:hAnsi="仿宋" w:eastAsia="仿宋" w:cstheme="minorEastAsia"/>
          <w:color w:val="auto"/>
          <w:sz w:val="32"/>
          <w:szCs w:val="32"/>
        </w:rPr>
        <w:t>分，评价等级为“优”。</w:t>
      </w:r>
    </w:p>
    <w:p w14:paraId="6B6B904E">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黑体" w:hAnsi="黑体" w:eastAsia="黑体" w:cstheme="minorEastAsia"/>
          <w:color w:val="auto"/>
          <w:sz w:val="32"/>
          <w:szCs w:val="32"/>
        </w:rPr>
      </w:pPr>
      <w:r>
        <w:rPr>
          <w:rFonts w:ascii="黑体" w:hAnsi="黑体" w:eastAsia="黑体" w:cstheme="minorEastAsia"/>
          <w:color w:val="auto"/>
          <w:sz w:val="32"/>
          <w:szCs w:val="32"/>
        </w:rPr>
        <w:t>七</w:t>
      </w:r>
      <w:r>
        <w:rPr>
          <w:rFonts w:hint="eastAsia" w:ascii="黑体" w:hAnsi="黑体" w:eastAsia="黑体" w:cstheme="minorEastAsia"/>
          <w:color w:val="auto"/>
          <w:sz w:val="32"/>
          <w:szCs w:val="32"/>
        </w:rPr>
        <w:t>、存在的主要问题</w:t>
      </w:r>
    </w:p>
    <w:p w14:paraId="580D0C4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theme="minorEastAsia"/>
          <w:color w:val="auto"/>
          <w:sz w:val="32"/>
          <w:szCs w:val="32"/>
        </w:rPr>
      </w:pPr>
      <w:r>
        <w:rPr>
          <w:rFonts w:hint="eastAsia" w:ascii="仿宋" w:hAnsi="仿宋" w:eastAsia="仿宋" w:cstheme="minorEastAsia"/>
          <w:color w:val="auto"/>
          <w:sz w:val="32"/>
          <w:szCs w:val="32"/>
        </w:rPr>
        <w:t>根据绩效评价工作要求，本单位认真的研究和部署，使自评工作得以顺利开展，并取得了较好效果，但仍存在以下几个方面的问题。</w:t>
      </w:r>
    </w:p>
    <w:p w14:paraId="2C95B31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theme="minorEastAsia"/>
          <w:color w:val="auto"/>
          <w:sz w:val="32"/>
          <w:szCs w:val="32"/>
        </w:rPr>
      </w:pPr>
      <w:r>
        <w:rPr>
          <w:rFonts w:hint="eastAsia" w:ascii="仿宋" w:hAnsi="仿宋" w:eastAsia="仿宋" w:cstheme="minorEastAsia"/>
          <w:color w:val="auto"/>
          <w:sz w:val="32"/>
          <w:szCs w:val="32"/>
        </w:rPr>
        <w:t>（一）绩效评价工作内容需要在日常工作进行掌握和执行，对单位整体支出即有操作性和规范性，要求财务人员不断学习和培训才能提高单位绩效评价工作水平。</w:t>
      </w:r>
    </w:p>
    <w:p w14:paraId="21EEA1F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theme="minorEastAsia"/>
          <w:color w:val="auto"/>
          <w:sz w:val="32"/>
          <w:szCs w:val="32"/>
        </w:rPr>
      </w:pPr>
      <w:r>
        <w:rPr>
          <w:rFonts w:hint="eastAsia" w:ascii="仿宋" w:hAnsi="仿宋" w:eastAsia="仿宋" w:cstheme="minorEastAsia"/>
          <w:color w:val="auto"/>
          <w:sz w:val="32"/>
          <w:szCs w:val="32"/>
        </w:rPr>
        <w:t>（二）部门整体绩效评价工作是一项长期性的工作，专业性强，工作量大，</w:t>
      </w:r>
      <w:r>
        <w:rPr>
          <w:rFonts w:hint="eastAsia" w:ascii="仿宋" w:hAnsi="仿宋" w:eastAsia="仿宋" w:cstheme="minorEastAsia"/>
          <w:color w:val="auto"/>
          <w:sz w:val="32"/>
          <w:szCs w:val="32"/>
        </w:rPr>
        <w:t>建议财政部门</w:t>
      </w:r>
      <w:r>
        <w:rPr>
          <w:rFonts w:hint="eastAsia" w:ascii="仿宋" w:hAnsi="仿宋" w:eastAsia="仿宋" w:cstheme="minorEastAsia"/>
          <w:color w:val="auto"/>
          <w:sz w:val="32"/>
          <w:szCs w:val="32"/>
          <w:lang w:eastAsia="zh-CN"/>
        </w:rPr>
        <w:t>组织</w:t>
      </w:r>
      <w:r>
        <w:rPr>
          <w:rFonts w:hint="eastAsia" w:ascii="仿宋" w:hAnsi="仿宋" w:eastAsia="仿宋" w:cstheme="minorEastAsia"/>
          <w:color w:val="auto"/>
          <w:sz w:val="32"/>
          <w:szCs w:val="32"/>
        </w:rPr>
        <w:t>相关业务工作培训，</w:t>
      </w:r>
      <w:r>
        <w:rPr>
          <w:rFonts w:hint="eastAsia" w:ascii="仿宋" w:hAnsi="仿宋" w:eastAsia="仿宋" w:cstheme="minorEastAsia"/>
          <w:color w:val="auto"/>
          <w:sz w:val="32"/>
          <w:szCs w:val="32"/>
          <w:lang w:eastAsia="zh-CN"/>
        </w:rPr>
        <w:t>促进</w:t>
      </w:r>
      <w:r>
        <w:rPr>
          <w:rFonts w:hint="eastAsia" w:ascii="仿宋" w:hAnsi="仿宋" w:eastAsia="仿宋" w:cstheme="minorEastAsia"/>
          <w:color w:val="auto"/>
          <w:sz w:val="32"/>
          <w:szCs w:val="32"/>
        </w:rPr>
        <w:t>部门之间经验交流，</w:t>
      </w:r>
      <w:r>
        <w:rPr>
          <w:rFonts w:hint="eastAsia" w:ascii="仿宋" w:hAnsi="仿宋" w:eastAsia="仿宋" w:cstheme="minorEastAsia"/>
          <w:color w:val="auto"/>
          <w:sz w:val="32"/>
          <w:szCs w:val="32"/>
          <w:lang w:eastAsia="zh-CN"/>
        </w:rPr>
        <w:t>加强业务</w:t>
      </w:r>
      <w:r>
        <w:rPr>
          <w:rFonts w:hint="eastAsia" w:ascii="仿宋" w:hAnsi="仿宋" w:eastAsia="仿宋" w:cstheme="minorEastAsia"/>
          <w:color w:val="auto"/>
          <w:sz w:val="32"/>
          <w:szCs w:val="32"/>
        </w:rPr>
        <w:t>督促指导，切实推进绩效评价工作</w:t>
      </w:r>
      <w:r>
        <w:rPr>
          <w:rFonts w:hint="eastAsia" w:ascii="仿宋" w:hAnsi="仿宋" w:eastAsia="仿宋" w:cstheme="minorEastAsia"/>
          <w:color w:val="auto"/>
          <w:sz w:val="32"/>
          <w:szCs w:val="32"/>
          <w:lang w:eastAsia="zh-CN"/>
        </w:rPr>
        <w:t>有序</w:t>
      </w:r>
      <w:r>
        <w:rPr>
          <w:rFonts w:hint="eastAsia" w:ascii="仿宋" w:hAnsi="仿宋" w:eastAsia="仿宋" w:cstheme="minorEastAsia"/>
          <w:color w:val="auto"/>
          <w:sz w:val="32"/>
          <w:szCs w:val="32"/>
        </w:rPr>
        <w:t>开展。</w:t>
      </w:r>
    </w:p>
    <w:p w14:paraId="3B6BDB9E">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theme="minorEastAsia"/>
          <w:color w:val="auto"/>
          <w:sz w:val="32"/>
          <w:szCs w:val="32"/>
        </w:rPr>
      </w:pPr>
      <w:r>
        <w:rPr>
          <w:rFonts w:hint="eastAsia" w:ascii="仿宋" w:hAnsi="仿宋" w:eastAsia="仿宋" w:cstheme="minorEastAsia"/>
          <w:color w:val="auto"/>
          <w:sz w:val="32"/>
          <w:szCs w:val="32"/>
        </w:rPr>
        <w:t>（三）专项工作方面</w:t>
      </w:r>
      <w:r>
        <w:rPr>
          <w:rFonts w:hint="eastAsia" w:ascii="仿宋" w:hAnsi="仿宋" w:eastAsia="仿宋" w:cstheme="minorEastAsia"/>
          <w:color w:val="auto"/>
          <w:sz w:val="32"/>
          <w:szCs w:val="32"/>
          <w:lang w:eastAsia="zh-CN"/>
        </w:rPr>
        <w:t>。</w:t>
      </w:r>
      <w:r>
        <w:rPr>
          <w:rFonts w:hint="eastAsia" w:ascii="仿宋" w:hAnsi="仿宋" w:eastAsia="仿宋" w:cstheme="minorEastAsia"/>
          <w:b/>
          <w:bCs/>
          <w:color w:val="auto"/>
          <w:sz w:val="32"/>
          <w:szCs w:val="32"/>
          <w:lang w:eastAsia="zh-CN"/>
        </w:rPr>
        <w:t>维修资金追缴工作陷入困境。</w:t>
      </w:r>
      <w:r>
        <w:rPr>
          <w:rFonts w:hint="eastAsia" w:ascii="仿宋_GB2312" w:hAnsi="仿宋_GB2312" w:eastAsia="仿宋_GB2312" w:cs="仿宋_GB2312"/>
          <w:bCs/>
          <w:color w:val="auto"/>
          <w:sz w:val="32"/>
          <w:szCs w:val="32"/>
          <w:lang w:eastAsia="zh-CN"/>
        </w:rPr>
        <w:t>追缴工作存在的主要问题是开发商代收未交（挪用）部分的追缴工作无实质性进展。由于住保中心没有任何制约手段，虽然联合公安、行政执法等部门开展了联合约谈，但没有采取强制措施，导致开发商观望情绪非常严重、主动缴纳意愿非常低。经过两年多的追缴，群众反映比较强烈的欠缴项目未取得突破，工作合力、震慑效应未能形成，工作举步维艰。同时，平台公司无力按照市追缴办的会议精神对三次流拍资产进行兜底接拍，资产拍卖工作也处于停滞状态；引导业主进行民事诉讼工作进展缓慢，涉及法律障碍较多，工作成本高，没有经费保障，效果不明显</w:t>
      </w:r>
      <w:r>
        <w:rPr>
          <w:rFonts w:hint="eastAsia" w:ascii="仿宋" w:hAnsi="仿宋" w:eastAsia="仿宋" w:cstheme="minorEastAsia"/>
          <w:color w:val="auto"/>
          <w:sz w:val="32"/>
          <w:szCs w:val="32"/>
        </w:rPr>
        <w:t>。</w:t>
      </w:r>
    </w:p>
    <w:p w14:paraId="493F3E5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黑体" w:hAnsi="黑体" w:eastAsia="黑体"/>
          <w:color w:val="auto"/>
          <w:sz w:val="32"/>
          <w:szCs w:val="32"/>
        </w:rPr>
      </w:pPr>
      <w:r>
        <w:rPr>
          <w:rFonts w:ascii="黑体" w:hAnsi="黑体" w:eastAsia="黑体"/>
          <w:color w:val="auto"/>
          <w:sz w:val="32"/>
          <w:szCs w:val="32"/>
        </w:rPr>
        <w:t>八</w:t>
      </w:r>
      <w:r>
        <w:rPr>
          <w:rFonts w:hint="eastAsia" w:ascii="黑体" w:hAnsi="黑体" w:eastAsia="黑体"/>
          <w:color w:val="auto"/>
          <w:sz w:val="32"/>
          <w:szCs w:val="32"/>
        </w:rPr>
        <w:t>、改进措施和有关建议</w:t>
      </w:r>
    </w:p>
    <w:p w14:paraId="57A0FD7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1.将绩效管理与绩效评价两者的目标体系充分融合。在充分考虑内外部风险的基础上，围绕预算绩效管理重点和关键点，重塑科学性、规范性、操作性、可靠性强的绩效目标体系，并在目标体系建设过程中有效兼顾定性指标和定量指标、财务指标与非财务指标，对绩效指标进行针对性细化，确保指标体系能够保障实现行政、事业的社会公共服务职能和公益属性。如制定绩效目标的编报流程、职责分工、绩效目标设定范围和标准，涉及采购的符合政府采购要求的编报执行制度，采购资产、实施项目预算进度和达到何种绩效目标等均需明确相应要求，保证预算执行有章可循。</w:t>
      </w:r>
    </w:p>
    <w:p w14:paraId="2303F05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olor w:val="auto"/>
          <w:sz w:val="36"/>
          <w:szCs w:val="36"/>
        </w:rPr>
      </w:pPr>
      <w:r>
        <w:rPr>
          <w:rFonts w:hint="eastAsia" w:ascii="仿宋" w:hAnsi="仿宋" w:eastAsia="仿宋"/>
          <w:color w:val="auto"/>
          <w:sz w:val="32"/>
          <w:szCs w:val="32"/>
        </w:rPr>
        <w:t>2.引导单位将预算编制、执行过程中的绩效管理信息进行公开，使整个预算绩效目标从编报、申请到执行、反馈的全过程受到公众的监督管理；倒逼部门进一步增强责任意识、规矩意识，真正使“花钱必问效、无效必问责”落到实处；强化绩效管理意识，确保绩效管理的有效实施，实现以公开促规范、推改革、提效能的目标。</w:t>
      </w:r>
    </w:p>
    <w:p w14:paraId="59BB688A">
      <w:pPr>
        <w:spacing w:line="540" w:lineRule="exact"/>
        <w:ind w:firstLine="640" w:firstLineChars="200"/>
        <w:rPr>
          <w:rFonts w:hint="eastAsia" w:ascii="仿宋" w:hAnsi="仿宋" w:eastAsia="仿宋"/>
          <w:color w:val="auto"/>
          <w:sz w:val="32"/>
          <w:szCs w:val="32"/>
        </w:rPr>
      </w:pPr>
    </w:p>
    <w:p w14:paraId="0C508FFD">
      <w:pPr>
        <w:spacing w:line="540" w:lineRule="exact"/>
        <w:ind w:firstLine="640" w:firstLineChars="200"/>
        <w:rPr>
          <w:rFonts w:hint="eastAsia" w:ascii="仿宋" w:hAnsi="仿宋" w:eastAsia="仿宋"/>
          <w:color w:val="auto"/>
          <w:sz w:val="32"/>
          <w:szCs w:val="32"/>
        </w:rPr>
      </w:pPr>
    </w:p>
    <w:p w14:paraId="4FAB36AE">
      <w:pPr>
        <w:spacing w:line="540" w:lineRule="exact"/>
        <w:ind w:firstLine="640" w:firstLineChars="200"/>
        <w:rPr>
          <w:rFonts w:hint="eastAsia" w:ascii="仿宋" w:hAnsi="仿宋" w:eastAsia="仿宋"/>
          <w:color w:val="auto"/>
          <w:sz w:val="32"/>
          <w:szCs w:val="32"/>
        </w:rPr>
      </w:pPr>
    </w:p>
    <w:p w14:paraId="64C4251F">
      <w:pPr>
        <w:spacing w:line="500" w:lineRule="exact"/>
        <w:rPr>
          <w:rFonts w:eastAsia="黑体"/>
          <w:color w:val="auto"/>
          <w:sz w:val="32"/>
          <w:szCs w:val="32"/>
        </w:rPr>
      </w:pPr>
      <w:r>
        <w:rPr>
          <w:rFonts w:eastAsia="黑体"/>
          <w:color w:val="auto"/>
          <w:sz w:val="32"/>
          <w:szCs w:val="32"/>
        </w:rPr>
        <w:t>附件</w:t>
      </w:r>
      <w:r>
        <w:rPr>
          <w:rFonts w:hint="eastAsia" w:eastAsia="黑体"/>
          <w:color w:val="auto"/>
          <w:sz w:val="32"/>
          <w:szCs w:val="32"/>
        </w:rPr>
        <w:t>1-1</w:t>
      </w:r>
    </w:p>
    <w:p w14:paraId="562CE8A5">
      <w:pPr>
        <w:spacing w:line="500" w:lineRule="exact"/>
        <w:jc w:val="center"/>
        <w:rPr>
          <w:rFonts w:eastAsia="仿宋_GB2312"/>
          <w:color w:val="auto"/>
          <w:sz w:val="24"/>
        </w:rPr>
      </w:pPr>
      <w:r>
        <w:rPr>
          <w:rFonts w:eastAsia="方正小标宋_GBK"/>
          <w:color w:val="auto"/>
          <w:sz w:val="36"/>
          <w:szCs w:val="36"/>
        </w:rPr>
        <w:t>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09951675">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5B365377">
            <w:pPr>
              <w:widowControl/>
              <w:spacing w:line="500" w:lineRule="exact"/>
              <w:jc w:val="center"/>
              <w:rPr>
                <w:rFonts w:eastAsia="仿宋_GB2312"/>
                <w:color w:val="auto"/>
                <w:sz w:val="20"/>
                <w:szCs w:val="20"/>
              </w:rPr>
            </w:pPr>
            <w:r>
              <w:rPr>
                <w:rFonts w:eastAsia="仿宋_GB2312"/>
                <w:color w:val="auto"/>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14:paraId="0084911D">
            <w:pPr>
              <w:widowControl/>
              <w:spacing w:line="500" w:lineRule="exact"/>
              <w:jc w:val="center"/>
              <w:rPr>
                <w:rFonts w:eastAsia="仿宋_GB2312"/>
                <w:b/>
                <w:bCs/>
                <w:color w:val="auto"/>
                <w:sz w:val="20"/>
                <w:szCs w:val="20"/>
              </w:rPr>
            </w:pPr>
            <w:r>
              <w:rPr>
                <w:rFonts w:eastAsia="仿宋_GB2312"/>
                <w:b/>
                <w:bCs/>
                <w:color w:val="auto"/>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14:paraId="7CA36657">
            <w:pPr>
              <w:widowControl/>
              <w:spacing w:line="500" w:lineRule="exact"/>
              <w:jc w:val="center"/>
              <w:rPr>
                <w:rFonts w:eastAsia="仿宋_GB2312"/>
                <w:b/>
                <w:bCs/>
                <w:color w:val="auto"/>
                <w:sz w:val="20"/>
                <w:szCs w:val="20"/>
              </w:rPr>
            </w:pPr>
            <w:r>
              <w:rPr>
                <w:rFonts w:hint="eastAsia" w:eastAsia="仿宋_GB2312"/>
                <w:b/>
                <w:bCs/>
                <w:color w:val="auto"/>
                <w:sz w:val="20"/>
                <w:szCs w:val="20"/>
                <w:lang w:eastAsia="zh-CN"/>
              </w:rPr>
              <w:t>2024</w:t>
            </w:r>
            <w:r>
              <w:rPr>
                <w:rFonts w:eastAsia="仿宋_GB2312"/>
                <w:b/>
                <w:bCs/>
                <w:color w:val="auto"/>
                <w:sz w:val="20"/>
                <w:szCs w:val="20"/>
              </w:rPr>
              <w:t>年实际在职人数</w:t>
            </w:r>
          </w:p>
        </w:tc>
        <w:tc>
          <w:tcPr>
            <w:tcW w:w="2041" w:type="dxa"/>
            <w:gridSpan w:val="2"/>
            <w:tcBorders>
              <w:top w:val="single" w:color="auto" w:sz="4" w:space="0"/>
              <w:left w:val="nil"/>
              <w:bottom w:val="single" w:color="auto" w:sz="4" w:space="0"/>
              <w:right w:val="single" w:color="auto" w:sz="4" w:space="0"/>
            </w:tcBorders>
            <w:vAlign w:val="center"/>
          </w:tcPr>
          <w:p w14:paraId="749897EC">
            <w:pPr>
              <w:widowControl/>
              <w:spacing w:line="500" w:lineRule="exact"/>
              <w:jc w:val="center"/>
              <w:rPr>
                <w:rFonts w:eastAsia="仿宋_GB2312"/>
                <w:b/>
                <w:bCs/>
                <w:color w:val="auto"/>
                <w:sz w:val="20"/>
                <w:szCs w:val="20"/>
              </w:rPr>
            </w:pPr>
            <w:r>
              <w:rPr>
                <w:rFonts w:eastAsia="仿宋_GB2312"/>
                <w:b/>
                <w:bCs/>
                <w:color w:val="auto"/>
                <w:sz w:val="20"/>
                <w:szCs w:val="20"/>
              </w:rPr>
              <w:t>控制率</w:t>
            </w:r>
          </w:p>
        </w:tc>
      </w:tr>
      <w:tr w14:paraId="32215543">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104D11AF">
            <w:pPr>
              <w:widowControl/>
              <w:spacing w:line="500" w:lineRule="exact"/>
              <w:jc w:val="left"/>
              <w:rPr>
                <w:rFonts w:eastAsia="仿宋_GB2312"/>
                <w:color w:val="auto"/>
                <w:sz w:val="20"/>
                <w:szCs w:val="20"/>
              </w:rPr>
            </w:pPr>
          </w:p>
        </w:tc>
        <w:tc>
          <w:tcPr>
            <w:tcW w:w="2038" w:type="dxa"/>
            <w:gridSpan w:val="2"/>
            <w:tcBorders>
              <w:top w:val="single" w:color="auto" w:sz="4" w:space="0"/>
              <w:left w:val="nil"/>
              <w:bottom w:val="single" w:color="auto" w:sz="4" w:space="0"/>
              <w:right w:val="single" w:color="auto" w:sz="4" w:space="0"/>
            </w:tcBorders>
            <w:vAlign w:val="center"/>
          </w:tcPr>
          <w:p w14:paraId="677EF097">
            <w:pPr>
              <w:widowControl/>
              <w:spacing w:line="500" w:lineRule="exact"/>
              <w:jc w:val="center"/>
              <w:rPr>
                <w:rFonts w:eastAsia="仿宋_GB2312"/>
                <w:color w:val="auto"/>
                <w:sz w:val="20"/>
                <w:szCs w:val="20"/>
              </w:rPr>
            </w:pPr>
            <w:r>
              <w:rPr>
                <w:rFonts w:hint="eastAsia" w:eastAsia="仿宋_GB2312"/>
                <w:color w:val="auto"/>
                <w:sz w:val="20"/>
                <w:szCs w:val="20"/>
              </w:rPr>
              <w:t>57</w:t>
            </w:r>
          </w:p>
        </w:tc>
        <w:tc>
          <w:tcPr>
            <w:tcW w:w="2240" w:type="dxa"/>
            <w:gridSpan w:val="2"/>
            <w:tcBorders>
              <w:top w:val="single" w:color="auto" w:sz="4" w:space="0"/>
              <w:left w:val="nil"/>
              <w:bottom w:val="single" w:color="auto" w:sz="4" w:space="0"/>
              <w:right w:val="single" w:color="auto" w:sz="4" w:space="0"/>
            </w:tcBorders>
            <w:vAlign w:val="center"/>
          </w:tcPr>
          <w:p w14:paraId="34F8B4A9">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51</w:t>
            </w:r>
          </w:p>
        </w:tc>
        <w:tc>
          <w:tcPr>
            <w:tcW w:w="2041" w:type="dxa"/>
            <w:gridSpan w:val="2"/>
            <w:tcBorders>
              <w:top w:val="single" w:color="auto" w:sz="4" w:space="0"/>
              <w:left w:val="nil"/>
              <w:bottom w:val="single" w:color="auto" w:sz="4" w:space="0"/>
              <w:right w:val="single" w:color="auto" w:sz="4" w:space="0"/>
            </w:tcBorders>
            <w:vAlign w:val="center"/>
          </w:tcPr>
          <w:p w14:paraId="0B1194B5">
            <w:pPr>
              <w:widowControl/>
              <w:spacing w:line="500" w:lineRule="exact"/>
              <w:jc w:val="center"/>
              <w:rPr>
                <w:rFonts w:eastAsia="仿宋_GB2312"/>
                <w:color w:val="auto"/>
                <w:sz w:val="20"/>
                <w:szCs w:val="20"/>
              </w:rPr>
            </w:pPr>
            <w:r>
              <w:rPr>
                <w:rFonts w:eastAsia="仿宋_GB2312"/>
                <w:color w:val="auto"/>
                <w:sz w:val="20"/>
                <w:szCs w:val="20"/>
              </w:rPr>
              <w:t>8</w:t>
            </w:r>
            <w:r>
              <w:rPr>
                <w:rFonts w:hint="eastAsia" w:eastAsia="仿宋_GB2312"/>
                <w:color w:val="auto"/>
                <w:sz w:val="20"/>
                <w:szCs w:val="20"/>
                <w:lang w:val="en-US" w:eastAsia="zh-CN"/>
              </w:rPr>
              <w:t>9.47</w:t>
            </w:r>
            <w:r>
              <w:rPr>
                <w:rFonts w:eastAsia="仿宋_GB2312"/>
                <w:color w:val="auto"/>
                <w:sz w:val="20"/>
                <w:szCs w:val="20"/>
              </w:rPr>
              <w:t>%</w:t>
            </w:r>
          </w:p>
        </w:tc>
      </w:tr>
      <w:tr w14:paraId="798F24AA">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208D8368">
            <w:pPr>
              <w:widowControl/>
              <w:spacing w:line="500" w:lineRule="exact"/>
              <w:jc w:val="center"/>
              <w:rPr>
                <w:rFonts w:eastAsia="仿宋_GB2312"/>
                <w:color w:val="auto"/>
                <w:sz w:val="20"/>
                <w:szCs w:val="20"/>
              </w:rPr>
            </w:pPr>
            <w:r>
              <w:rPr>
                <w:rFonts w:eastAsia="仿宋_GB2312"/>
                <w:color w:val="auto"/>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14:paraId="0F395E0E">
            <w:pPr>
              <w:widowControl/>
              <w:spacing w:line="500" w:lineRule="exact"/>
              <w:jc w:val="center"/>
              <w:rPr>
                <w:rFonts w:eastAsia="仿宋_GB2312"/>
                <w:b/>
                <w:bCs/>
                <w:color w:val="auto"/>
                <w:sz w:val="20"/>
                <w:szCs w:val="20"/>
              </w:rPr>
            </w:pPr>
            <w:r>
              <w:rPr>
                <w:rFonts w:eastAsia="仿宋_GB2312"/>
                <w:b/>
                <w:bCs/>
                <w:color w:val="auto"/>
                <w:sz w:val="20"/>
                <w:szCs w:val="20"/>
              </w:rPr>
              <w:t>202</w:t>
            </w:r>
            <w:r>
              <w:rPr>
                <w:rFonts w:hint="eastAsia" w:eastAsia="仿宋_GB2312"/>
                <w:b/>
                <w:bCs/>
                <w:color w:val="auto"/>
                <w:sz w:val="20"/>
                <w:szCs w:val="20"/>
              </w:rPr>
              <w:t>2</w:t>
            </w:r>
            <w:r>
              <w:rPr>
                <w:rFonts w:eastAsia="仿宋_GB2312"/>
                <w:b/>
                <w:bCs/>
                <w:color w:val="auto"/>
                <w:sz w:val="20"/>
                <w:szCs w:val="20"/>
              </w:rPr>
              <w:t>年决算数</w:t>
            </w:r>
          </w:p>
        </w:tc>
        <w:tc>
          <w:tcPr>
            <w:tcW w:w="2240" w:type="dxa"/>
            <w:gridSpan w:val="2"/>
            <w:tcBorders>
              <w:top w:val="single" w:color="auto" w:sz="4" w:space="0"/>
              <w:left w:val="nil"/>
              <w:bottom w:val="single" w:color="auto" w:sz="4" w:space="0"/>
              <w:right w:val="single" w:color="000000" w:sz="4" w:space="0"/>
            </w:tcBorders>
            <w:vAlign w:val="center"/>
          </w:tcPr>
          <w:p w14:paraId="3D85B458">
            <w:pPr>
              <w:widowControl/>
              <w:spacing w:line="500" w:lineRule="exact"/>
              <w:jc w:val="center"/>
              <w:rPr>
                <w:rFonts w:eastAsia="仿宋_GB2312"/>
                <w:b/>
                <w:bCs/>
                <w:color w:val="auto"/>
                <w:sz w:val="20"/>
                <w:szCs w:val="20"/>
              </w:rPr>
            </w:pPr>
            <w:r>
              <w:rPr>
                <w:rFonts w:hint="eastAsia" w:eastAsia="仿宋_GB2312"/>
                <w:b/>
                <w:bCs/>
                <w:color w:val="auto"/>
                <w:sz w:val="20"/>
                <w:szCs w:val="20"/>
                <w:lang w:eastAsia="zh-CN"/>
              </w:rPr>
              <w:t>2024</w:t>
            </w:r>
            <w:r>
              <w:rPr>
                <w:rFonts w:eastAsia="仿宋_GB2312"/>
                <w:b/>
                <w:bCs/>
                <w:color w:val="auto"/>
                <w:sz w:val="20"/>
                <w:szCs w:val="20"/>
              </w:rPr>
              <w:t>年预算数</w:t>
            </w:r>
          </w:p>
        </w:tc>
        <w:tc>
          <w:tcPr>
            <w:tcW w:w="2041" w:type="dxa"/>
            <w:gridSpan w:val="2"/>
            <w:tcBorders>
              <w:top w:val="single" w:color="auto" w:sz="4" w:space="0"/>
              <w:left w:val="nil"/>
              <w:bottom w:val="single" w:color="auto" w:sz="4" w:space="0"/>
              <w:right w:val="single" w:color="000000" w:sz="4" w:space="0"/>
            </w:tcBorders>
            <w:vAlign w:val="center"/>
          </w:tcPr>
          <w:p w14:paraId="7FDDE80A">
            <w:pPr>
              <w:widowControl/>
              <w:spacing w:line="500" w:lineRule="exact"/>
              <w:jc w:val="center"/>
              <w:rPr>
                <w:rFonts w:eastAsia="仿宋_GB2312"/>
                <w:b/>
                <w:bCs/>
                <w:color w:val="auto"/>
                <w:sz w:val="20"/>
                <w:szCs w:val="20"/>
              </w:rPr>
            </w:pPr>
            <w:r>
              <w:rPr>
                <w:rFonts w:hint="eastAsia" w:eastAsia="仿宋_GB2312"/>
                <w:b/>
                <w:bCs/>
                <w:color w:val="auto"/>
                <w:sz w:val="20"/>
                <w:szCs w:val="20"/>
                <w:lang w:eastAsia="zh-CN"/>
              </w:rPr>
              <w:t>2024</w:t>
            </w:r>
            <w:r>
              <w:rPr>
                <w:rFonts w:eastAsia="仿宋_GB2312"/>
                <w:b/>
                <w:bCs/>
                <w:color w:val="auto"/>
                <w:sz w:val="20"/>
                <w:szCs w:val="20"/>
              </w:rPr>
              <w:t>年决算数</w:t>
            </w:r>
          </w:p>
        </w:tc>
      </w:tr>
      <w:tr w14:paraId="778F01E2">
        <w:tblPrEx>
          <w:tblCellMar>
            <w:top w:w="0" w:type="dxa"/>
            <w:left w:w="108" w:type="dxa"/>
            <w:bottom w:w="0" w:type="dxa"/>
            <w:right w:w="108" w:type="dxa"/>
          </w:tblCellMar>
        </w:tblPrEx>
        <w:trPr>
          <w:trHeight w:val="347" w:hRule="atLeast"/>
          <w:jc w:val="center"/>
        </w:trPr>
        <w:tc>
          <w:tcPr>
            <w:tcW w:w="3354" w:type="dxa"/>
            <w:tcBorders>
              <w:top w:val="nil"/>
              <w:left w:val="single" w:color="auto" w:sz="4" w:space="0"/>
              <w:bottom w:val="single" w:color="auto" w:sz="4" w:space="0"/>
              <w:right w:val="single" w:color="auto" w:sz="4" w:space="0"/>
            </w:tcBorders>
            <w:vAlign w:val="center"/>
          </w:tcPr>
          <w:p w14:paraId="1AA657E7">
            <w:pPr>
              <w:widowControl/>
              <w:spacing w:line="500" w:lineRule="exact"/>
              <w:jc w:val="left"/>
              <w:rPr>
                <w:rFonts w:eastAsia="仿宋_GB2312"/>
                <w:color w:val="auto"/>
                <w:sz w:val="20"/>
                <w:szCs w:val="20"/>
              </w:rPr>
            </w:pPr>
            <w:r>
              <w:rPr>
                <w:rFonts w:eastAsia="仿宋_GB2312"/>
                <w:color w:val="auto"/>
                <w:sz w:val="20"/>
                <w:szCs w:val="20"/>
              </w:rPr>
              <w:t>三公经费</w:t>
            </w:r>
          </w:p>
        </w:tc>
        <w:tc>
          <w:tcPr>
            <w:tcW w:w="2038" w:type="dxa"/>
            <w:gridSpan w:val="2"/>
            <w:tcBorders>
              <w:top w:val="single" w:color="auto" w:sz="4" w:space="0"/>
              <w:left w:val="nil"/>
              <w:bottom w:val="single" w:color="auto" w:sz="4" w:space="0"/>
              <w:right w:val="single" w:color="000000" w:sz="4" w:space="0"/>
            </w:tcBorders>
            <w:vAlign w:val="center"/>
          </w:tcPr>
          <w:p w14:paraId="17ABE3A2">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0.51</w:t>
            </w:r>
          </w:p>
        </w:tc>
        <w:tc>
          <w:tcPr>
            <w:tcW w:w="2240" w:type="dxa"/>
            <w:gridSpan w:val="2"/>
            <w:tcBorders>
              <w:top w:val="single" w:color="auto" w:sz="4" w:space="0"/>
              <w:left w:val="nil"/>
              <w:bottom w:val="single" w:color="auto" w:sz="4" w:space="0"/>
              <w:right w:val="single" w:color="000000" w:sz="4" w:space="0"/>
            </w:tcBorders>
            <w:vAlign w:val="center"/>
          </w:tcPr>
          <w:p w14:paraId="610B6C8C">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3.1</w:t>
            </w:r>
          </w:p>
        </w:tc>
        <w:tc>
          <w:tcPr>
            <w:tcW w:w="2041" w:type="dxa"/>
            <w:gridSpan w:val="2"/>
            <w:tcBorders>
              <w:top w:val="single" w:color="auto" w:sz="4" w:space="0"/>
              <w:left w:val="nil"/>
              <w:bottom w:val="single" w:color="auto" w:sz="4" w:space="0"/>
              <w:right w:val="single" w:color="000000" w:sz="4" w:space="0"/>
            </w:tcBorders>
            <w:vAlign w:val="center"/>
          </w:tcPr>
          <w:p w14:paraId="16518CBA">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3.45</w:t>
            </w:r>
          </w:p>
        </w:tc>
      </w:tr>
      <w:tr w14:paraId="0D927D15">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29309969">
            <w:pPr>
              <w:widowControl/>
              <w:spacing w:line="500" w:lineRule="exact"/>
              <w:jc w:val="left"/>
              <w:rPr>
                <w:rFonts w:eastAsia="仿宋_GB2312"/>
                <w:color w:val="auto"/>
                <w:sz w:val="20"/>
                <w:szCs w:val="20"/>
              </w:rPr>
            </w:pPr>
            <w:r>
              <w:rPr>
                <w:rFonts w:eastAsia="仿宋_GB2312"/>
                <w:color w:val="auto"/>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14:paraId="58F49518">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0.45</w:t>
            </w:r>
          </w:p>
        </w:tc>
        <w:tc>
          <w:tcPr>
            <w:tcW w:w="2240" w:type="dxa"/>
            <w:gridSpan w:val="2"/>
            <w:tcBorders>
              <w:top w:val="single" w:color="auto" w:sz="4" w:space="0"/>
              <w:left w:val="nil"/>
              <w:bottom w:val="single" w:color="auto" w:sz="4" w:space="0"/>
              <w:right w:val="single" w:color="000000" w:sz="4" w:space="0"/>
            </w:tcBorders>
            <w:vAlign w:val="center"/>
          </w:tcPr>
          <w:p w14:paraId="721E6279">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2.6</w:t>
            </w:r>
          </w:p>
        </w:tc>
        <w:tc>
          <w:tcPr>
            <w:tcW w:w="2041" w:type="dxa"/>
            <w:gridSpan w:val="2"/>
            <w:tcBorders>
              <w:top w:val="single" w:color="auto" w:sz="4" w:space="0"/>
              <w:left w:val="nil"/>
              <w:bottom w:val="single" w:color="auto" w:sz="4" w:space="0"/>
              <w:right w:val="single" w:color="000000" w:sz="4" w:space="0"/>
            </w:tcBorders>
            <w:vAlign w:val="center"/>
          </w:tcPr>
          <w:p w14:paraId="02A7AE79">
            <w:pPr>
              <w:widowControl/>
              <w:spacing w:line="500" w:lineRule="exact"/>
              <w:jc w:val="center"/>
              <w:rPr>
                <w:rFonts w:eastAsia="仿宋_GB2312"/>
                <w:color w:val="auto"/>
                <w:sz w:val="20"/>
                <w:szCs w:val="20"/>
              </w:rPr>
            </w:pPr>
            <w:r>
              <w:rPr>
                <w:rFonts w:hint="eastAsia" w:eastAsia="仿宋_GB2312"/>
                <w:color w:val="auto"/>
                <w:sz w:val="20"/>
                <w:szCs w:val="20"/>
                <w:lang w:val="en-US" w:eastAsia="zh-CN"/>
              </w:rPr>
              <w:t>3</w:t>
            </w:r>
            <w:r>
              <w:rPr>
                <w:rFonts w:hint="eastAsia" w:eastAsia="仿宋_GB2312"/>
                <w:color w:val="auto"/>
                <w:sz w:val="20"/>
                <w:szCs w:val="20"/>
              </w:rPr>
              <w:t>.45</w:t>
            </w:r>
          </w:p>
        </w:tc>
      </w:tr>
      <w:tr w14:paraId="36E17D42">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8003F71">
            <w:pPr>
              <w:widowControl/>
              <w:spacing w:line="500" w:lineRule="exact"/>
              <w:jc w:val="left"/>
              <w:rPr>
                <w:rFonts w:eastAsia="仿宋_GB2312"/>
                <w:color w:val="auto"/>
                <w:sz w:val="20"/>
                <w:szCs w:val="20"/>
              </w:rPr>
            </w:pPr>
            <w:r>
              <w:rPr>
                <w:rFonts w:eastAsia="仿宋_GB2312"/>
                <w:color w:val="auto"/>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14:paraId="73BAAA9D">
            <w:pPr>
              <w:widowControl/>
              <w:spacing w:line="500" w:lineRule="exact"/>
              <w:jc w:val="center"/>
              <w:rPr>
                <w:rFonts w:eastAsia="仿宋_GB2312"/>
                <w:color w:val="auto"/>
                <w:sz w:val="20"/>
                <w:szCs w:val="20"/>
              </w:rPr>
            </w:pPr>
            <w:r>
              <w:rPr>
                <w:rFonts w:hint="eastAsia" w:eastAsia="仿宋_GB2312"/>
                <w:color w:val="auto"/>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14:paraId="7BF357A4">
            <w:pPr>
              <w:widowControl/>
              <w:spacing w:line="500" w:lineRule="exact"/>
              <w:jc w:val="center"/>
              <w:rPr>
                <w:rFonts w:eastAsia="仿宋_GB2312"/>
                <w:color w:val="auto"/>
                <w:sz w:val="20"/>
                <w:szCs w:val="20"/>
              </w:rPr>
            </w:pPr>
            <w:r>
              <w:rPr>
                <w:rFonts w:hint="eastAsia" w:eastAsia="仿宋_GB2312"/>
                <w:color w:val="auto"/>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14:paraId="1B0396FD">
            <w:pPr>
              <w:widowControl/>
              <w:spacing w:line="500" w:lineRule="exact"/>
              <w:jc w:val="center"/>
              <w:rPr>
                <w:rFonts w:eastAsia="仿宋_GB2312"/>
                <w:color w:val="auto"/>
                <w:sz w:val="20"/>
                <w:szCs w:val="20"/>
              </w:rPr>
            </w:pPr>
            <w:r>
              <w:rPr>
                <w:rFonts w:hint="eastAsia" w:eastAsia="仿宋_GB2312"/>
                <w:color w:val="auto"/>
                <w:sz w:val="20"/>
                <w:szCs w:val="20"/>
              </w:rPr>
              <w:t>0</w:t>
            </w:r>
          </w:p>
        </w:tc>
      </w:tr>
      <w:tr w14:paraId="77C349B4">
        <w:tblPrEx>
          <w:tblCellMar>
            <w:top w:w="0" w:type="dxa"/>
            <w:left w:w="108" w:type="dxa"/>
            <w:bottom w:w="0" w:type="dxa"/>
            <w:right w:w="108" w:type="dxa"/>
          </w:tblCellMar>
        </w:tblPrEx>
        <w:trPr>
          <w:trHeight w:val="573" w:hRule="atLeast"/>
          <w:jc w:val="center"/>
        </w:trPr>
        <w:tc>
          <w:tcPr>
            <w:tcW w:w="3354" w:type="dxa"/>
            <w:tcBorders>
              <w:top w:val="nil"/>
              <w:left w:val="single" w:color="auto" w:sz="4" w:space="0"/>
              <w:bottom w:val="single" w:color="auto" w:sz="4" w:space="0"/>
              <w:right w:val="single" w:color="auto" w:sz="4" w:space="0"/>
            </w:tcBorders>
            <w:vAlign w:val="center"/>
          </w:tcPr>
          <w:p w14:paraId="16E22AB5">
            <w:pPr>
              <w:widowControl/>
              <w:spacing w:line="500" w:lineRule="exact"/>
              <w:jc w:val="left"/>
              <w:rPr>
                <w:rFonts w:eastAsia="仿宋_GB2312"/>
                <w:color w:val="auto"/>
                <w:sz w:val="20"/>
                <w:szCs w:val="20"/>
              </w:rPr>
            </w:pPr>
            <w:r>
              <w:rPr>
                <w:rFonts w:eastAsia="仿宋_GB2312"/>
                <w:color w:val="auto"/>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14:paraId="2DE19FB9">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0.45</w:t>
            </w:r>
          </w:p>
        </w:tc>
        <w:tc>
          <w:tcPr>
            <w:tcW w:w="2240" w:type="dxa"/>
            <w:gridSpan w:val="2"/>
            <w:tcBorders>
              <w:top w:val="single" w:color="auto" w:sz="4" w:space="0"/>
              <w:left w:val="nil"/>
              <w:bottom w:val="single" w:color="auto" w:sz="4" w:space="0"/>
              <w:right w:val="single" w:color="000000" w:sz="4" w:space="0"/>
            </w:tcBorders>
            <w:vAlign w:val="center"/>
          </w:tcPr>
          <w:p w14:paraId="4A99D2AB">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2.6</w:t>
            </w:r>
          </w:p>
        </w:tc>
        <w:tc>
          <w:tcPr>
            <w:tcW w:w="2041" w:type="dxa"/>
            <w:gridSpan w:val="2"/>
            <w:tcBorders>
              <w:top w:val="single" w:color="auto" w:sz="4" w:space="0"/>
              <w:left w:val="nil"/>
              <w:bottom w:val="single" w:color="auto" w:sz="4" w:space="0"/>
              <w:right w:val="single" w:color="000000" w:sz="4" w:space="0"/>
            </w:tcBorders>
            <w:vAlign w:val="center"/>
          </w:tcPr>
          <w:p w14:paraId="222DAD44">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3.45</w:t>
            </w:r>
          </w:p>
        </w:tc>
      </w:tr>
      <w:tr w14:paraId="7BB0CCD0">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54E4F2DC">
            <w:pPr>
              <w:widowControl/>
              <w:spacing w:line="500" w:lineRule="exact"/>
              <w:jc w:val="left"/>
              <w:rPr>
                <w:rFonts w:eastAsia="仿宋_GB2312"/>
                <w:color w:val="auto"/>
                <w:sz w:val="20"/>
                <w:szCs w:val="20"/>
              </w:rPr>
            </w:pPr>
            <w:r>
              <w:rPr>
                <w:rFonts w:eastAsia="仿宋_GB2312"/>
                <w:color w:val="auto"/>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14:paraId="41ED53C8">
            <w:pPr>
              <w:widowControl/>
              <w:spacing w:line="500" w:lineRule="exact"/>
              <w:jc w:val="center"/>
              <w:rPr>
                <w:rFonts w:eastAsia="仿宋_GB2312"/>
                <w:color w:val="auto"/>
                <w:sz w:val="20"/>
                <w:szCs w:val="20"/>
              </w:rPr>
            </w:pPr>
            <w:r>
              <w:rPr>
                <w:rFonts w:eastAsia="仿宋_GB2312"/>
                <w:color w:val="auto"/>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14:paraId="26DA252E">
            <w:pPr>
              <w:widowControl/>
              <w:spacing w:line="500" w:lineRule="exact"/>
              <w:jc w:val="center"/>
              <w:rPr>
                <w:rFonts w:eastAsia="仿宋_GB2312"/>
                <w:color w:val="auto"/>
                <w:sz w:val="20"/>
                <w:szCs w:val="20"/>
              </w:rPr>
            </w:pPr>
            <w:r>
              <w:rPr>
                <w:rFonts w:hint="eastAsia" w:eastAsia="仿宋_GB2312"/>
                <w:color w:val="auto"/>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14:paraId="280F2887">
            <w:pPr>
              <w:widowControl/>
              <w:spacing w:line="500" w:lineRule="exact"/>
              <w:jc w:val="center"/>
              <w:rPr>
                <w:rFonts w:eastAsia="仿宋_GB2312"/>
                <w:color w:val="auto"/>
                <w:sz w:val="20"/>
                <w:szCs w:val="20"/>
              </w:rPr>
            </w:pPr>
            <w:r>
              <w:rPr>
                <w:rFonts w:hint="eastAsia" w:eastAsia="仿宋_GB2312"/>
                <w:color w:val="auto"/>
                <w:sz w:val="20"/>
                <w:szCs w:val="20"/>
              </w:rPr>
              <w:t>0</w:t>
            </w:r>
          </w:p>
        </w:tc>
      </w:tr>
      <w:tr w14:paraId="0A39352B">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080C1748">
            <w:pPr>
              <w:widowControl/>
              <w:spacing w:line="500" w:lineRule="exact"/>
              <w:jc w:val="left"/>
              <w:rPr>
                <w:rFonts w:eastAsia="仿宋_GB2312"/>
                <w:color w:val="auto"/>
                <w:sz w:val="20"/>
                <w:szCs w:val="20"/>
              </w:rPr>
            </w:pPr>
            <w:r>
              <w:rPr>
                <w:rFonts w:eastAsia="仿宋_GB2312"/>
                <w:color w:val="auto"/>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14:paraId="20038701">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0.06</w:t>
            </w:r>
          </w:p>
        </w:tc>
        <w:tc>
          <w:tcPr>
            <w:tcW w:w="2240" w:type="dxa"/>
            <w:gridSpan w:val="2"/>
            <w:tcBorders>
              <w:top w:val="single" w:color="auto" w:sz="4" w:space="0"/>
              <w:left w:val="nil"/>
              <w:bottom w:val="single" w:color="auto" w:sz="4" w:space="0"/>
              <w:right w:val="single" w:color="000000" w:sz="4" w:space="0"/>
            </w:tcBorders>
            <w:vAlign w:val="center"/>
          </w:tcPr>
          <w:p w14:paraId="00551094">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0.5</w:t>
            </w:r>
          </w:p>
        </w:tc>
        <w:tc>
          <w:tcPr>
            <w:tcW w:w="2041" w:type="dxa"/>
            <w:gridSpan w:val="2"/>
            <w:tcBorders>
              <w:top w:val="single" w:color="auto" w:sz="4" w:space="0"/>
              <w:left w:val="nil"/>
              <w:bottom w:val="single" w:color="auto" w:sz="4" w:space="0"/>
              <w:right w:val="single" w:color="000000" w:sz="4" w:space="0"/>
            </w:tcBorders>
            <w:vAlign w:val="center"/>
          </w:tcPr>
          <w:p w14:paraId="5C737305">
            <w:pPr>
              <w:widowControl/>
              <w:spacing w:line="500" w:lineRule="exact"/>
              <w:jc w:val="center"/>
              <w:rPr>
                <w:rFonts w:hint="eastAsia" w:eastAsia="仿宋_GB2312"/>
                <w:color w:val="auto"/>
                <w:sz w:val="20"/>
                <w:szCs w:val="20"/>
                <w:lang w:eastAsia="zh-CN"/>
              </w:rPr>
            </w:pPr>
            <w:r>
              <w:rPr>
                <w:rFonts w:hint="eastAsia" w:eastAsia="仿宋_GB2312"/>
                <w:color w:val="auto"/>
                <w:sz w:val="20"/>
                <w:szCs w:val="20"/>
                <w:lang w:val="en-US" w:eastAsia="zh-CN"/>
              </w:rPr>
              <w:t>0</w:t>
            </w:r>
          </w:p>
        </w:tc>
      </w:tr>
      <w:tr w14:paraId="0AC3E89B">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674877A1">
            <w:pPr>
              <w:widowControl/>
              <w:spacing w:line="500" w:lineRule="exact"/>
              <w:jc w:val="left"/>
              <w:rPr>
                <w:rFonts w:eastAsia="仿宋_GB2312"/>
                <w:color w:val="auto"/>
                <w:sz w:val="20"/>
                <w:szCs w:val="20"/>
              </w:rPr>
            </w:pPr>
            <w:r>
              <w:rPr>
                <w:rFonts w:eastAsia="仿宋_GB2312"/>
                <w:color w:val="auto"/>
                <w:sz w:val="20"/>
                <w:szCs w:val="20"/>
              </w:rPr>
              <w:t>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14:paraId="75EB96C7">
            <w:pPr>
              <w:widowControl/>
              <w:spacing w:line="500" w:lineRule="exact"/>
              <w:jc w:val="center"/>
              <w:rPr>
                <w:rFonts w:eastAsia="仿宋_GB2312"/>
                <w:color w:val="auto"/>
                <w:sz w:val="20"/>
                <w:szCs w:val="20"/>
              </w:rPr>
            </w:pPr>
            <w:r>
              <w:rPr>
                <w:rFonts w:eastAsia="仿宋_GB2312"/>
                <w:color w:val="auto"/>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14:paraId="722803A3">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751.34</w:t>
            </w:r>
          </w:p>
        </w:tc>
        <w:tc>
          <w:tcPr>
            <w:tcW w:w="2041" w:type="dxa"/>
            <w:gridSpan w:val="2"/>
            <w:tcBorders>
              <w:top w:val="single" w:color="auto" w:sz="4" w:space="0"/>
              <w:left w:val="nil"/>
              <w:bottom w:val="single" w:color="auto" w:sz="4" w:space="0"/>
              <w:right w:val="single" w:color="000000" w:sz="4" w:space="0"/>
            </w:tcBorders>
            <w:vAlign w:val="center"/>
          </w:tcPr>
          <w:p w14:paraId="281B60D3">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504.27</w:t>
            </w:r>
          </w:p>
        </w:tc>
      </w:tr>
      <w:tr w14:paraId="66550290">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6C610DD2">
            <w:pPr>
              <w:widowControl/>
              <w:spacing w:line="500" w:lineRule="exact"/>
              <w:jc w:val="center"/>
              <w:rPr>
                <w:rFonts w:eastAsia="仿宋_GB2312"/>
                <w:color w:val="auto"/>
                <w:sz w:val="20"/>
                <w:szCs w:val="20"/>
              </w:rPr>
            </w:pPr>
            <w:r>
              <w:rPr>
                <w:rFonts w:eastAsia="仿宋_GB2312"/>
                <w:color w:val="auto"/>
                <w:sz w:val="20"/>
                <w:szCs w:val="20"/>
              </w:rPr>
              <w:t>白蚁防治专项经费</w:t>
            </w:r>
          </w:p>
        </w:tc>
        <w:tc>
          <w:tcPr>
            <w:tcW w:w="2038" w:type="dxa"/>
            <w:gridSpan w:val="2"/>
            <w:tcBorders>
              <w:top w:val="single" w:color="auto" w:sz="4" w:space="0"/>
              <w:left w:val="nil"/>
              <w:bottom w:val="single" w:color="auto" w:sz="4" w:space="0"/>
              <w:right w:val="single" w:color="000000" w:sz="4" w:space="0"/>
            </w:tcBorders>
            <w:vAlign w:val="center"/>
          </w:tcPr>
          <w:p w14:paraId="598E9E7E">
            <w:pPr>
              <w:widowControl/>
              <w:spacing w:line="500" w:lineRule="exact"/>
              <w:jc w:val="center"/>
              <w:rPr>
                <w:rFonts w:eastAsia="仿宋_GB2312"/>
                <w:color w:val="auto"/>
                <w:sz w:val="20"/>
                <w:szCs w:val="20"/>
              </w:rPr>
            </w:pPr>
            <w:r>
              <w:rPr>
                <w:rFonts w:eastAsia="仿宋_GB2312"/>
                <w:color w:val="auto"/>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14:paraId="265A42D5">
            <w:pPr>
              <w:widowControl/>
              <w:spacing w:line="500" w:lineRule="exact"/>
              <w:jc w:val="center"/>
              <w:rPr>
                <w:rFonts w:eastAsia="仿宋_GB2312"/>
                <w:color w:val="auto"/>
                <w:sz w:val="20"/>
                <w:szCs w:val="20"/>
              </w:rPr>
            </w:pPr>
            <w:r>
              <w:rPr>
                <w:rFonts w:hint="eastAsia" w:eastAsia="仿宋_GB2312"/>
                <w:color w:val="auto"/>
                <w:sz w:val="20"/>
                <w:szCs w:val="20"/>
              </w:rPr>
              <w:t>162</w:t>
            </w:r>
          </w:p>
        </w:tc>
        <w:tc>
          <w:tcPr>
            <w:tcW w:w="2041" w:type="dxa"/>
            <w:gridSpan w:val="2"/>
            <w:tcBorders>
              <w:top w:val="single" w:color="auto" w:sz="4" w:space="0"/>
              <w:left w:val="nil"/>
              <w:bottom w:val="single" w:color="auto" w:sz="4" w:space="0"/>
              <w:right w:val="single" w:color="000000" w:sz="4" w:space="0"/>
            </w:tcBorders>
            <w:vAlign w:val="center"/>
          </w:tcPr>
          <w:p w14:paraId="47D1AC1E">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9.74</w:t>
            </w:r>
          </w:p>
        </w:tc>
      </w:tr>
      <w:tr w14:paraId="3DE28977">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506D78AB">
            <w:pPr>
              <w:widowControl/>
              <w:spacing w:line="500" w:lineRule="exact"/>
              <w:jc w:val="left"/>
              <w:rPr>
                <w:rFonts w:eastAsia="仿宋_GB2312"/>
                <w:color w:val="auto"/>
                <w:sz w:val="20"/>
                <w:szCs w:val="20"/>
              </w:rPr>
            </w:pPr>
            <w:r>
              <w:rPr>
                <w:rFonts w:eastAsia="仿宋_GB2312"/>
                <w:color w:val="auto"/>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14:paraId="31EBFDCA">
            <w:pPr>
              <w:widowControl/>
              <w:spacing w:line="500" w:lineRule="exact"/>
              <w:jc w:val="center"/>
              <w:rPr>
                <w:rFonts w:eastAsia="仿宋_GB2312"/>
                <w:color w:val="auto"/>
                <w:sz w:val="20"/>
                <w:szCs w:val="20"/>
              </w:rPr>
            </w:pPr>
            <w:r>
              <w:rPr>
                <w:rFonts w:eastAsia="仿宋_GB2312"/>
                <w:color w:val="auto"/>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14:paraId="5A17386E">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62.4</w:t>
            </w:r>
          </w:p>
        </w:tc>
        <w:tc>
          <w:tcPr>
            <w:tcW w:w="2041" w:type="dxa"/>
            <w:gridSpan w:val="2"/>
            <w:tcBorders>
              <w:top w:val="single" w:color="auto" w:sz="4" w:space="0"/>
              <w:left w:val="nil"/>
              <w:bottom w:val="single" w:color="auto" w:sz="4" w:space="0"/>
              <w:right w:val="single" w:color="000000" w:sz="4" w:space="0"/>
            </w:tcBorders>
            <w:vAlign w:val="center"/>
          </w:tcPr>
          <w:p w14:paraId="3734A062">
            <w:pPr>
              <w:widowControl/>
              <w:spacing w:line="500" w:lineRule="exact"/>
              <w:jc w:val="center"/>
              <w:rPr>
                <w:rFonts w:eastAsia="仿宋_GB2312"/>
                <w:color w:val="auto"/>
                <w:sz w:val="20"/>
                <w:szCs w:val="20"/>
              </w:rPr>
            </w:pPr>
            <w:r>
              <w:rPr>
                <w:rFonts w:hint="eastAsia" w:eastAsia="仿宋_GB2312"/>
                <w:color w:val="auto"/>
                <w:sz w:val="20"/>
                <w:szCs w:val="20"/>
              </w:rPr>
              <w:t>61.24</w:t>
            </w:r>
          </w:p>
        </w:tc>
      </w:tr>
      <w:tr w14:paraId="6E87C84F">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1359AD14">
            <w:pPr>
              <w:widowControl/>
              <w:spacing w:line="500" w:lineRule="exact"/>
              <w:jc w:val="left"/>
              <w:rPr>
                <w:rFonts w:eastAsia="仿宋_GB2312"/>
                <w:color w:val="auto"/>
                <w:sz w:val="20"/>
                <w:szCs w:val="20"/>
              </w:rPr>
            </w:pPr>
            <w:r>
              <w:rPr>
                <w:rFonts w:eastAsia="仿宋_GB2312"/>
                <w:color w:val="auto"/>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14:paraId="24F66721">
            <w:pPr>
              <w:widowControl/>
              <w:spacing w:line="500" w:lineRule="exact"/>
              <w:jc w:val="center"/>
              <w:rPr>
                <w:rFonts w:eastAsia="仿宋_GB2312"/>
                <w:color w:val="auto"/>
                <w:sz w:val="20"/>
                <w:szCs w:val="20"/>
              </w:rPr>
            </w:pPr>
            <w:r>
              <w:rPr>
                <w:rFonts w:eastAsia="仿宋_GB2312"/>
                <w:color w:val="auto"/>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14:paraId="7E2DF7BF">
            <w:pPr>
              <w:widowControl/>
              <w:spacing w:line="500" w:lineRule="exact"/>
              <w:jc w:val="center"/>
              <w:rPr>
                <w:rFonts w:hint="eastAsia" w:eastAsia="仿宋_GB2312"/>
                <w:color w:val="auto"/>
                <w:sz w:val="20"/>
                <w:szCs w:val="20"/>
                <w:lang w:eastAsia="zh-CN"/>
              </w:rPr>
            </w:pPr>
            <w:r>
              <w:rPr>
                <w:rFonts w:hint="eastAsia" w:eastAsia="仿宋_GB2312"/>
                <w:color w:val="auto"/>
                <w:sz w:val="20"/>
                <w:szCs w:val="20"/>
                <w:lang w:val="en-US" w:eastAsia="zh-CN"/>
              </w:rPr>
              <w:t>2</w:t>
            </w:r>
          </w:p>
        </w:tc>
        <w:tc>
          <w:tcPr>
            <w:tcW w:w="2041" w:type="dxa"/>
            <w:gridSpan w:val="2"/>
            <w:tcBorders>
              <w:top w:val="single" w:color="auto" w:sz="4" w:space="0"/>
              <w:left w:val="nil"/>
              <w:bottom w:val="single" w:color="auto" w:sz="4" w:space="0"/>
              <w:right w:val="single" w:color="000000" w:sz="4" w:space="0"/>
            </w:tcBorders>
            <w:vAlign w:val="center"/>
          </w:tcPr>
          <w:p w14:paraId="346C2D1B">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14.52</w:t>
            </w:r>
          </w:p>
        </w:tc>
      </w:tr>
      <w:tr w14:paraId="004E7211">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2CAF3554">
            <w:pPr>
              <w:widowControl/>
              <w:spacing w:line="500" w:lineRule="exact"/>
              <w:jc w:val="left"/>
              <w:rPr>
                <w:rFonts w:eastAsia="仿宋_GB2312"/>
                <w:color w:val="auto"/>
                <w:sz w:val="20"/>
                <w:szCs w:val="20"/>
              </w:rPr>
            </w:pPr>
            <w:r>
              <w:rPr>
                <w:rFonts w:eastAsia="仿宋_GB2312"/>
                <w:color w:val="auto"/>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14:paraId="03B6E984">
            <w:pPr>
              <w:widowControl/>
              <w:spacing w:line="500" w:lineRule="exact"/>
              <w:jc w:val="center"/>
              <w:rPr>
                <w:rFonts w:eastAsia="仿宋_GB2312"/>
                <w:color w:val="auto"/>
                <w:sz w:val="20"/>
                <w:szCs w:val="20"/>
              </w:rPr>
            </w:pPr>
            <w:r>
              <w:rPr>
                <w:rFonts w:eastAsia="仿宋_GB2312"/>
                <w:color w:val="auto"/>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14:paraId="4C5ED1E6">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18</w:t>
            </w:r>
          </w:p>
        </w:tc>
        <w:tc>
          <w:tcPr>
            <w:tcW w:w="2041" w:type="dxa"/>
            <w:gridSpan w:val="2"/>
            <w:tcBorders>
              <w:top w:val="single" w:color="auto" w:sz="4" w:space="0"/>
              <w:left w:val="nil"/>
              <w:bottom w:val="single" w:color="auto" w:sz="4" w:space="0"/>
              <w:right w:val="single" w:color="000000" w:sz="4" w:space="0"/>
            </w:tcBorders>
            <w:vAlign w:val="center"/>
          </w:tcPr>
          <w:p w14:paraId="6B9C8489">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34.61</w:t>
            </w:r>
          </w:p>
        </w:tc>
      </w:tr>
      <w:tr w14:paraId="379D9CDD">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0C825DBC">
            <w:pPr>
              <w:widowControl/>
              <w:spacing w:line="500" w:lineRule="exact"/>
              <w:jc w:val="left"/>
              <w:rPr>
                <w:rFonts w:eastAsia="仿宋_GB2312"/>
                <w:color w:val="auto"/>
                <w:sz w:val="20"/>
                <w:szCs w:val="20"/>
              </w:rPr>
            </w:pPr>
            <w:r>
              <w:rPr>
                <w:rFonts w:eastAsia="仿宋_GB2312"/>
                <w:color w:val="auto"/>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14:paraId="6A54D358">
            <w:pPr>
              <w:widowControl/>
              <w:spacing w:line="500" w:lineRule="exact"/>
              <w:jc w:val="center"/>
              <w:rPr>
                <w:rFonts w:eastAsia="仿宋_GB2312"/>
                <w:color w:val="auto"/>
                <w:sz w:val="20"/>
                <w:szCs w:val="20"/>
              </w:rPr>
            </w:pPr>
            <w:r>
              <w:rPr>
                <w:rFonts w:eastAsia="仿宋_GB2312"/>
                <w:color w:val="auto"/>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14:paraId="47AD2EBB">
            <w:pPr>
              <w:widowControl/>
              <w:spacing w:line="500" w:lineRule="exact"/>
              <w:jc w:val="center"/>
              <w:rPr>
                <w:rFonts w:eastAsia="仿宋_GB2312"/>
                <w:color w:val="auto"/>
                <w:sz w:val="20"/>
                <w:szCs w:val="20"/>
              </w:rPr>
            </w:pPr>
            <w:r>
              <w:rPr>
                <w:rFonts w:hint="eastAsia" w:eastAsia="仿宋_GB2312"/>
                <w:color w:val="auto"/>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14:paraId="6D035BB7">
            <w:pPr>
              <w:widowControl/>
              <w:spacing w:line="500" w:lineRule="exact"/>
              <w:jc w:val="center"/>
              <w:rPr>
                <w:rFonts w:hint="default" w:eastAsia="仿宋_GB2312"/>
                <w:color w:val="auto"/>
                <w:sz w:val="20"/>
                <w:szCs w:val="20"/>
                <w:lang w:val="en-US" w:eastAsia="zh-CN"/>
              </w:rPr>
            </w:pPr>
            <w:r>
              <w:rPr>
                <w:rFonts w:eastAsia="仿宋_GB2312"/>
                <w:color w:val="auto"/>
                <w:sz w:val="20"/>
                <w:szCs w:val="20"/>
              </w:rPr>
              <w:t>0</w:t>
            </w:r>
            <w:r>
              <w:rPr>
                <w:rFonts w:hint="eastAsia" w:eastAsia="仿宋_GB2312"/>
                <w:color w:val="auto"/>
                <w:sz w:val="20"/>
                <w:szCs w:val="20"/>
                <w:lang w:val="en-US" w:eastAsia="zh-CN"/>
              </w:rPr>
              <w:t>.16</w:t>
            </w:r>
          </w:p>
        </w:tc>
      </w:tr>
      <w:tr w14:paraId="61005F98">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692E57E8">
            <w:pPr>
              <w:widowControl/>
              <w:spacing w:line="500" w:lineRule="exact"/>
              <w:jc w:val="left"/>
              <w:rPr>
                <w:rFonts w:eastAsia="仿宋_GB2312"/>
                <w:color w:val="auto"/>
                <w:sz w:val="20"/>
                <w:szCs w:val="20"/>
              </w:rPr>
            </w:pPr>
            <w:r>
              <w:rPr>
                <w:rFonts w:eastAsia="仿宋_GB2312"/>
                <w:color w:val="auto"/>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14:paraId="0ACD6DB7">
            <w:pPr>
              <w:widowControl/>
              <w:spacing w:line="500" w:lineRule="exact"/>
              <w:jc w:val="center"/>
              <w:rPr>
                <w:rFonts w:eastAsia="仿宋_GB2312"/>
                <w:color w:val="auto"/>
                <w:sz w:val="20"/>
                <w:szCs w:val="20"/>
              </w:rPr>
            </w:pPr>
            <w:r>
              <w:rPr>
                <w:rFonts w:eastAsia="仿宋_GB2312"/>
                <w:color w:val="auto"/>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14:paraId="70E86E32">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162</w:t>
            </w:r>
          </w:p>
        </w:tc>
        <w:tc>
          <w:tcPr>
            <w:tcW w:w="2041" w:type="dxa"/>
            <w:gridSpan w:val="2"/>
            <w:tcBorders>
              <w:top w:val="single" w:color="auto" w:sz="4" w:space="0"/>
              <w:left w:val="nil"/>
              <w:bottom w:val="single" w:color="auto" w:sz="4" w:space="0"/>
              <w:right w:val="single" w:color="000000" w:sz="4" w:space="0"/>
            </w:tcBorders>
            <w:vAlign w:val="center"/>
          </w:tcPr>
          <w:p w14:paraId="33FFC238">
            <w:pPr>
              <w:widowControl/>
              <w:spacing w:line="500" w:lineRule="exact"/>
              <w:jc w:val="center"/>
              <w:rPr>
                <w:rFonts w:hint="default" w:eastAsia="仿宋_GB2312"/>
                <w:color w:val="auto"/>
                <w:sz w:val="20"/>
                <w:szCs w:val="20"/>
                <w:lang w:val="en-US" w:eastAsia="zh-CN"/>
              </w:rPr>
            </w:pPr>
            <w:r>
              <w:rPr>
                <w:rFonts w:hint="eastAsia" w:eastAsia="仿宋_GB2312"/>
                <w:color w:val="auto"/>
                <w:sz w:val="20"/>
                <w:szCs w:val="20"/>
                <w:lang w:val="en-US" w:eastAsia="zh-CN"/>
              </w:rPr>
              <w:t>397.58</w:t>
            </w:r>
          </w:p>
        </w:tc>
      </w:tr>
      <w:tr w14:paraId="34A605F4">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54893BB5">
            <w:pPr>
              <w:widowControl/>
              <w:spacing w:line="500" w:lineRule="exact"/>
              <w:jc w:val="left"/>
              <w:rPr>
                <w:rFonts w:eastAsia="仿宋_GB2312"/>
                <w:color w:val="auto"/>
                <w:sz w:val="20"/>
                <w:szCs w:val="20"/>
              </w:rPr>
            </w:pPr>
            <w:r>
              <w:rPr>
                <w:rFonts w:eastAsia="仿宋_GB2312"/>
                <w:color w:val="auto"/>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14:paraId="7AD2523B">
            <w:pPr>
              <w:widowControl/>
              <w:spacing w:line="500" w:lineRule="exact"/>
              <w:jc w:val="center"/>
              <w:rPr>
                <w:rFonts w:eastAsia="仿宋_GB2312"/>
                <w:color w:val="auto"/>
                <w:sz w:val="20"/>
                <w:szCs w:val="20"/>
              </w:rPr>
            </w:pPr>
            <w:r>
              <w:rPr>
                <w:rFonts w:eastAsia="仿宋_GB2312"/>
                <w:color w:val="auto"/>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14:paraId="775A48D5">
            <w:pPr>
              <w:widowControl/>
              <w:spacing w:line="500" w:lineRule="exact"/>
              <w:jc w:val="center"/>
              <w:rPr>
                <w:rFonts w:eastAsia="仿宋_GB2312"/>
                <w:color w:val="auto"/>
                <w:sz w:val="20"/>
                <w:szCs w:val="20"/>
              </w:rPr>
            </w:pPr>
            <w:r>
              <w:rPr>
                <w:rFonts w:eastAsia="仿宋_GB2312"/>
                <w:color w:val="auto"/>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14:paraId="1EC46DAF">
            <w:pPr>
              <w:widowControl/>
              <w:spacing w:line="500" w:lineRule="exact"/>
              <w:jc w:val="center"/>
              <w:rPr>
                <w:rFonts w:eastAsia="仿宋_GB2312"/>
                <w:color w:val="auto"/>
                <w:sz w:val="20"/>
                <w:szCs w:val="20"/>
              </w:rPr>
            </w:pPr>
            <w:r>
              <w:rPr>
                <w:rFonts w:eastAsia="仿宋_GB2312"/>
                <w:color w:val="auto"/>
                <w:sz w:val="20"/>
                <w:szCs w:val="20"/>
              </w:rPr>
              <w:t>0</w:t>
            </w:r>
          </w:p>
        </w:tc>
      </w:tr>
      <w:tr w14:paraId="3D754F12">
        <w:tblPrEx>
          <w:tblCellMar>
            <w:top w:w="0" w:type="dxa"/>
            <w:left w:w="108" w:type="dxa"/>
            <w:bottom w:w="0" w:type="dxa"/>
            <w:right w:w="108" w:type="dxa"/>
          </w:tblCellMar>
        </w:tblPrEx>
        <w:trPr>
          <w:trHeight w:val="777" w:hRule="atLeast"/>
          <w:jc w:val="center"/>
        </w:trPr>
        <w:tc>
          <w:tcPr>
            <w:tcW w:w="3354" w:type="dxa"/>
            <w:vMerge w:val="restart"/>
            <w:tcBorders>
              <w:top w:val="nil"/>
              <w:left w:val="single" w:color="auto" w:sz="4" w:space="0"/>
              <w:bottom w:val="single" w:color="auto" w:sz="4" w:space="0"/>
              <w:right w:val="single" w:color="auto" w:sz="4" w:space="0"/>
            </w:tcBorders>
            <w:vAlign w:val="center"/>
          </w:tcPr>
          <w:p w14:paraId="47154B0E">
            <w:pPr>
              <w:widowControl/>
              <w:spacing w:line="500" w:lineRule="exact"/>
              <w:jc w:val="center"/>
              <w:rPr>
                <w:rFonts w:eastAsia="仿宋_GB2312"/>
                <w:color w:val="auto"/>
                <w:sz w:val="20"/>
                <w:szCs w:val="20"/>
              </w:rPr>
            </w:pPr>
            <w:r>
              <w:rPr>
                <w:rFonts w:eastAsia="仿宋_GB2312"/>
                <w:color w:val="auto"/>
                <w:sz w:val="20"/>
                <w:szCs w:val="20"/>
              </w:rPr>
              <w:t>楼堂馆所控制情况</w:t>
            </w:r>
          </w:p>
        </w:tc>
        <w:tc>
          <w:tcPr>
            <w:tcW w:w="1189" w:type="dxa"/>
            <w:tcBorders>
              <w:top w:val="nil"/>
              <w:left w:val="nil"/>
              <w:bottom w:val="single" w:color="auto" w:sz="4" w:space="0"/>
              <w:right w:val="single" w:color="auto" w:sz="4" w:space="0"/>
            </w:tcBorders>
            <w:vAlign w:val="center"/>
          </w:tcPr>
          <w:p w14:paraId="67B8C77D">
            <w:pPr>
              <w:widowControl/>
              <w:spacing w:line="500" w:lineRule="exact"/>
              <w:jc w:val="center"/>
              <w:rPr>
                <w:rFonts w:eastAsia="仿宋_GB2312"/>
                <w:bCs/>
                <w:color w:val="auto"/>
                <w:sz w:val="20"/>
                <w:szCs w:val="20"/>
              </w:rPr>
            </w:pPr>
            <w:r>
              <w:rPr>
                <w:rFonts w:eastAsia="仿宋_GB2312"/>
                <w:bCs/>
                <w:color w:val="auto"/>
                <w:sz w:val="20"/>
                <w:szCs w:val="20"/>
              </w:rPr>
              <w:t>批复规模</w:t>
            </w:r>
            <w:r>
              <w:rPr>
                <w:rFonts w:eastAsia="仿宋_GB2312"/>
                <w:bCs/>
                <w:color w:val="auto"/>
                <w:sz w:val="20"/>
                <w:szCs w:val="20"/>
              </w:rPr>
              <w:br w:type="textWrapping"/>
            </w:r>
            <w:r>
              <w:rPr>
                <w:rFonts w:eastAsia="仿宋_GB2312"/>
                <w:bCs/>
                <w:color w:val="auto"/>
                <w:sz w:val="20"/>
                <w:szCs w:val="20"/>
              </w:rPr>
              <w:t>（</w:t>
            </w:r>
            <w:r>
              <w:rPr>
                <w:bCs/>
                <w:color w:val="auto"/>
                <w:sz w:val="20"/>
                <w:szCs w:val="20"/>
              </w:rPr>
              <w:t>㎡</w:t>
            </w:r>
            <w:r>
              <w:rPr>
                <w:rFonts w:eastAsia="仿宋_GB2312"/>
                <w:bCs/>
                <w:color w:val="auto"/>
                <w:sz w:val="20"/>
                <w:szCs w:val="20"/>
              </w:rPr>
              <w:t>）</w:t>
            </w:r>
          </w:p>
        </w:tc>
        <w:tc>
          <w:tcPr>
            <w:tcW w:w="849" w:type="dxa"/>
            <w:tcBorders>
              <w:top w:val="nil"/>
              <w:left w:val="nil"/>
              <w:bottom w:val="single" w:color="auto" w:sz="4" w:space="0"/>
              <w:right w:val="single" w:color="auto" w:sz="4" w:space="0"/>
            </w:tcBorders>
            <w:vAlign w:val="center"/>
          </w:tcPr>
          <w:p w14:paraId="3794ABCA">
            <w:pPr>
              <w:widowControl/>
              <w:spacing w:line="500" w:lineRule="exact"/>
              <w:jc w:val="center"/>
              <w:rPr>
                <w:rFonts w:eastAsia="仿宋_GB2312"/>
                <w:bCs/>
                <w:color w:val="auto"/>
                <w:sz w:val="20"/>
                <w:szCs w:val="20"/>
              </w:rPr>
            </w:pPr>
            <w:r>
              <w:rPr>
                <w:rFonts w:eastAsia="仿宋_GB2312"/>
                <w:bCs/>
                <w:color w:val="auto"/>
                <w:sz w:val="20"/>
                <w:szCs w:val="20"/>
              </w:rPr>
              <w:t>实际规模（</w:t>
            </w:r>
            <w:r>
              <w:rPr>
                <w:bCs/>
                <w:color w:val="auto"/>
                <w:sz w:val="20"/>
                <w:szCs w:val="20"/>
              </w:rPr>
              <w:t>㎡</w:t>
            </w:r>
            <w:r>
              <w:rPr>
                <w:rFonts w:eastAsia="仿宋_GB2312"/>
                <w:bCs/>
                <w:color w:val="auto"/>
                <w:sz w:val="20"/>
                <w:szCs w:val="20"/>
              </w:rPr>
              <w:t>）</w:t>
            </w:r>
          </w:p>
        </w:tc>
        <w:tc>
          <w:tcPr>
            <w:tcW w:w="1129" w:type="dxa"/>
            <w:tcBorders>
              <w:top w:val="nil"/>
              <w:left w:val="nil"/>
              <w:bottom w:val="single" w:color="auto" w:sz="4" w:space="0"/>
              <w:right w:val="single" w:color="auto" w:sz="4" w:space="0"/>
            </w:tcBorders>
            <w:vAlign w:val="center"/>
          </w:tcPr>
          <w:p w14:paraId="76200E06">
            <w:pPr>
              <w:widowControl/>
              <w:spacing w:line="500" w:lineRule="exact"/>
              <w:jc w:val="center"/>
              <w:rPr>
                <w:rFonts w:eastAsia="仿宋_GB2312"/>
                <w:bCs/>
                <w:color w:val="auto"/>
                <w:sz w:val="20"/>
                <w:szCs w:val="20"/>
              </w:rPr>
            </w:pPr>
            <w:r>
              <w:rPr>
                <w:rFonts w:eastAsia="仿宋_GB2312"/>
                <w:bCs/>
                <w:color w:val="auto"/>
                <w:sz w:val="20"/>
                <w:szCs w:val="20"/>
              </w:rPr>
              <w:t>规模控制率</w:t>
            </w:r>
          </w:p>
        </w:tc>
        <w:tc>
          <w:tcPr>
            <w:tcW w:w="1111" w:type="dxa"/>
            <w:tcBorders>
              <w:top w:val="nil"/>
              <w:left w:val="nil"/>
              <w:bottom w:val="single" w:color="auto" w:sz="4" w:space="0"/>
              <w:right w:val="single" w:color="auto" w:sz="4" w:space="0"/>
            </w:tcBorders>
            <w:vAlign w:val="center"/>
          </w:tcPr>
          <w:p w14:paraId="60896333">
            <w:pPr>
              <w:widowControl/>
              <w:spacing w:line="500" w:lineRule="exact"/>
              <w:jc w:val="center"/>
              <w:rPr>
                <w:rFonts w:eastAsia="仿宋_GB2312"/>
                <w:bCs/>
                <w:color w:val="auto"/>
                <w:sz w:val="20"/>
                <w:szCs w:val="20"/>
              </w:rPr>
            </w:pPr>
            <w:r>
              <w:rPr>
                <w:rFonts w:eastAsia="仿宋_GB2312"/>
                <w:bCs/>
                <w:color w:val="auto"/>
                <w:sz w:val="20"/>
                <w:szCs w:val="20"/>
              </w:rPr>
              <w:t>预算投资（万元）</w:t>
            </w:r>
          </w:p>
        </w:tc>
        <w:tc>
          <w:tcPr>
            <w:tcW w:w="1081" w:type="dxa"/>
            <w:tcBorders>
              <w:top w:val="nil"/>
              <w:left w:val="nil"/>
              <w:bottom w:val="single" w:color="auto" w:sz="4" w:space="0"/>
              <w:right w:val="single" w:color="auto" w:sz="4" w:space="0"/>
            </w:tcBorders>
            <w:vAlign w:val="center"/>
          </w:tcPr>
          <w:p w14:paraId="568D456A">
            <w:pPr>
              <w:widowControl/>
              <w:spacing w:line="500" w:lineRule="exact"/>
              <w:jc w:val="center"/>
              <w:rPr>
                <w:rFonts w:eastAsia="仿宋_GB2312"/>
                <w:bCs/>
                <w:color w:val="auto"/>
                <w:sz w:val="20"/>
                <w:szCs w:val="20"/>
              </w:rPr>
            </w:pPr>
            <w:r>
              <w:rPr>
                <w:rFonts w:eastAsia="仿宋_GB2312"/>
                <w:bCs/>
                <w:color w:val="auto"/>
                <w:sz w:val="20"/>
                <w:szCs w:val="20"/>
              </w:rPr>
              <w:t>实际投资（万元）</w:t>
            </w:r>
          </w:p>
        </w:tc>
        <w:tc>
          <w:tcPr>
            <w:tcW w:w="960" w:type="dxa"/>
            <w:tcBorders>
              <w:top w:val="nil"/>
              <w:left w:val="nil"/>
              <w:bottom w:val="single" w:color="auto" w:sz="4" w:space="0"/>
              <w:right w:val="single" w:color="auto" w:sz="4" w:space="0"/>
            </w:tcBorders>
            <w:vAlign w:val="center"/>
          </w:tcPr>
          <w:p w14:paraId="730AC7C2">
            <w:pPr>
              <w:widowControl/>
              <w:spacing w:line="500" w:lineRule="exact"/>
              <w:jc w:val="center"/>
              <w:rPr>
                <w:rFonts w:eastAsia="仿宋_GB2312"/>
                <w:bCs/>
                <w:color w:val="auto"/>
                <w:sz w:val="20"/>
                <w:szCs w:val="20"/>
              </w:rPr>
            </w:pPr>
            <w:r>
              <w:rPr>
                <w:rFonts w:eastAsia="仿宋_GB2312"/>
                <w:bCs/>
                <w:color w:val="auto"/>
                <w:sz w:val="20"/>
                <w:szCs w:val="20"/>
              </w:rPr>
              <w:t>投资概算控制率</w:t>
            </w:r>
          </w:p>
        </w:tc>
      </w:tr>
      <w:tr w14:paraId="0A0E0400">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14:paraId="414CD418">
            <w:pPr>
              <w:widowControl/>
              <w:spacing w:line="500" w:lineRule="exact"/>
              <w:jc w:val="center"/>
              <w:rPr>
                <w:rFonts w:eastAsia="仿宋_GB2312"/>
                <w:color w:val="auto"/>
                <w:sz w:val="20"/>
                <w:szCs w:val="20"/>
              </w:rPr>
            </w:pPr>
          </w:p>
        </w:tc>
        <w:tc>
          <w:tcPr>
            <w:tcW w:w="1189" w:type="dxa"/>
            <w:tcBorders>
              <w:top w:val="nil"/>
              <w:left w:val="nil"/>
              <w:bottom w:val="single" w:color="auto" w:sz="4" w:space="0"/>
              <w:right w:val="single" w:color="auto" w:sz="4" w:space="0"/>
            </w:tcBorders>
            <w:vAlign w:val="center"/>
          </w:tcPr>
          <w:p w14:paraId="22B6C3F0">
            <w:pPr>
              <w:widowControl/>
              <w:spacing w:line="500" w:lineRule="exact"/>
              <w:jc w:val="center"/>
              <w:rPr>
                <w:rFonts w:eastAsia="仿宋_GB2312"/>
                <w:color w:val="auto"/>
                <w:sz w:val="20"/>
                <w:szCs w:val="20"/>
              </w:rPr>
            </w:pPr>
            <w:r>
              <w:rPr>
                <w:rFonts w:eastAsia="仿宋_GB2312"/>
                <w:color w:val="auto"/>
                <w:sz w:val="20"/>
                <w:szCs w:val="20"/>
              </w:rPr>
              <w:t>0</w:t>
            </w:r>
          </w:p>
        </w:tc>
        <w:tc>
          <w:tcPr>
            <w:tcW w:w="849" w:type="dxa"/>
            <w:tcBorders>
              <w:top w:val="nil"/>
              <w:left w:val="nil"/>
              <w:bottom w:val="single" w:color="auto" w:sz="4" w:space="0"/>
              <w:right w:val="single" w:color="auto" w:sz="4" w:space="0"/>
            </w:tcBorders>
            <w:vAlign w:val="center"/>
          </w:tcPr>
          <w:p w14:paraId="1989227B">
            <w:pPr>
              <w:widowControl/>
              <w:spacing w:line="500" w:lineRule="exact"/>
              <w:ind w:firstLine="300" w:firstLineChars="150"/>
              <w:jc w:val="center"/>
              <w:rPr>
                <w:rFonts w:eastAsia="仿宋_GB2312"/>
                <w:color w:val="auto"/>
                <w:sz w:val="20"/>
                <w:szCs w:val="20"/>
              </w:rPr>
            </w:pPr>
            <w:r>
              <w:rPr>
                <w:rFonts w:eastAsia="仿宋_GB2312"/>
                <w:color w:val="auto"/>
                <w:sz w:val="20"/>
                <w:szCs w:val="20"/>
              </w:rPr>
              <w:t>0</w:t>
            </w:r>
          </w:p>
        </w:tc>
        <w:tc>
          <w:tcPr>
            <w:tcW w:w="1129" w:type="dxa"/>
            <w:tcBorders>
              <w:top w:val="nil"/>
              <w:left w:val="nil"/>
              <w:bottom w:val="single" w:color="auto" w:sz="4" w:space="0"/>
              <w:right w:val="single" w:color="auto" w:sz="4" w:space="0"/>
            </w:tcBorders>
            <w:vAlign w:val="center"/>
          </w:tcPr>
          <w:p w14:paraId="1D30F60E">
            <w:pPr>
              <w:widowControl/>
              <w:spacing w:line="500" w:lineRule="exact"/>
              <w:jc w:val="center"/>
              <w:rPr>
                <w:rFonts w:eastAsia="仿宋_GB2312"/>
                <w:color w:val="auto"/>
                <w:sz w:val="20"/>
                <w:szCs w:val="20"/>
              </w:rPr>
            </w:pPr>
            <w:r>
              <w:rPr>
                <w:rFonts w:eastAsia="仿宋_GB2312"/>
                <w:color w:val="auto"/>
                <w:sz w:val="20"/>
                <w:szCs w:val="20"/>
              </w:rPr>
              <w:t>100%</w:t>
            </w:r>
          </w:p>
        </w:tc>
        <w:tc>
          <w:tcPr>
            <w:tcW w:w="1111" w:type="dxa"/>
            <w:tcBorders>
              <w:top w:val="nil"/>
              <w:left w:val="nil"/>
              <w:bottom w:val="single" w:color="auto" w:sz="4" w:space="0"/>
              <w:right w:val="single" w:color="auto" w:sz="4" w:space="0"/>
            </w:tcBorders>
            <w:vAlign w:val="center"/>
          </w:tcPr>
          <w:p w14:paraId="334EBCA7">
            <w:pPr>
              <w:widowControl/>
              <w:spacing w:line="500" w:lineRule="exact"/>
              <w:jc w:val="center"/>
              <w:rPr>
                <w:rFonts w:eastAsia="仿宋_GB2312"/>
                <w:color w:val="auto"/>
                <w:sz w:val="20"/>
                <w:szCs w:val="20"/>
              </w:rPr>
            </w:pPr>
            <w:r>
              <w:rPr>
                <w:rFonts w:eastAsia="仿宋_GB2312"/>
                <w:color w:val="auto"/>
                <w:sz w:val="20"/>
                <w:szCs w:val="20"/>
              </w:rPr>
              <w:t>0</w:t>
            </w:r>
          </w:p>
        </w:tc>
        <w:tc>
          <w:tcPr>
            <w:tcW w:w="1081" w:type="dxa"/>
            <w:tcBorders>
              <w:top w:val="nil"/>
              <w:left w:val="nil"/>
              <w:bottom w:val="single" w:color="auto" w:sz="4" w:space="0"/>
              <w:right w:val="single" w:color="auto" w:sz="4" w:space="0"/>
            </w:tcBorders>
            <w:vAlign w:val="center"/>
          </w:tcPr>
          <w:p w14:paraId="7FECF1FD">
            <w:pPr>
              <w:widowControl/>
              <w:spacing w:line="500" w:lineRule="exact"/>
              <w:jc w:val="center"/>
              <w:rPr>
                <w:rFonts w:eastAsia="仿宋_GB2312"/>
                <w:color w:val="auto"/>
                <w:sz w:val="20"/>
                <w:szCs w:val="20"/>
              </w:rPr>
            </w:pPr>
            <w:r>
              <w:rPr>
                <w:rFonts w:eastAsia="仿宋_GB2312"/>
                <w:color w:val="auto"/>
                <w:sz w:val="20"/>
                <w:szCs w:val="20"/>
              </w:rPr>
              <w:t>0</w:t>
            </w:r>
          </w:p>
        </w:tc>
        <w:tc>
          <w:tcPr>
            <w:tcW w:w="960" w:type="dxa"/>
            <w:tcBorders>
              <w:top w:val="nil"/>
              <w:left w:val="nil"/>
              <w:bottom w:val="single" w:color="auto" w:sz="4" w:space="0"/>
              <w:right w:val="single" w:color="auto" w:sz="4" w:space="0"/>
            </w:tcBorders>
            <w:vAlign w:val="center"/>
          </w:tcPr>
          <w:p w14:paraId="0AC558E7">
            <w:pPr>
              <w:widowControl/>
              <w:spacing w:line="500" w:lineRule="exact"/>
              <w:jc w:val="center"/>
              <w:rPr>
                <w:rFonts w:eastAsia="仿宋_GB2312"/>
                <w:color w:val="auto"/>
                <w:sz w:val="20"/>
                <w:szCs w:val="20"/>
              </w:rPr>
            </w:pPr>
            <w:r>
              <w:rPr>
                <w:rFonts w:eastAsia="仿宋_GB2312"/>
                <w:color w:val="auto"/>
                <w:sz w:val="20"/>
                <w:szCs w:val="20"/>
              </w:rPr>
              <w:t>100%</w:t>
            </w:r>
          </w:p>
        </w:tc>
      </w:tr>
      <w:tr w14:paraId="41157438">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14:paraId="4A84D24A">
            <w:pPr>
              <w:widowControl/>
              <w:spacing w:line="500" w:lineRule="exact"/>
              <w:jc w:val="center"/>
              <w:rPr>
                <w:rFonts w:eastAsia="仿宋_GB2312"/>
                <w:color w:val="auto"/>
                <w:sz w:val="20"/>
                <w:szCs w:val="20"/>
              </w:rPr>
            </w:pPr>
            <w:r>
              <w:rPr>
                <w:rFonts w:eastAsia="仿宋_GB2312"/>
                <w:color w:val="auto"/>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vAlign w:val="center"/>
          </w:tcPr>
          <w:p w14:paraId="052583C5">
            <w:pPr>
              <w:widowControl/>
              <w:spacing w:line="500" w:lineRule="exact"/>
              <w:jc w:val="center"/>
              <w:rPr>
                <w:rFonts w:eastAsia="仿宋_GB2312"/>
                <w:color w:val="auto"/>
                <w:sz w:val="20"/>
                <w:szCs w:val="20"/>
              </w:rPr>
            </w:pPr>
            <w:r>
              <w:rPr>
                <w:rFonts w:eastAsia="仿宋_GB2312"/>
                <w:color w:val="auto"/>
                <w:sz w:val="20"/>
                <w:szCs w:val="20"/>
              </w:rPr>
              <w:t>严格执行上级相关要求，树立过紧日子思想，减少不必要的开支</w:t>
            </w:r>
          </w:p>
        </w:tc>
      </w:tr>
    </w:tbl>
    <w:p w14:paraId="239E64F3">
      <w:pPr>
        <w:tabs>
          <w:tab w:val="left" w:pos="673"/>
        </w:tabs>
        <w:spacing w:line="500" w:lineRule="exact"/>
        <w:jc w:val="left"/>
        <w:rPr>
          <w:color w:val="auto"/>
        </w:rPr>
      </w:pPr>
    </w:p>
    <w:p w14:paraId="6EDBAB7A">
      <w:pPr>
        <w:tabs>
          <w:tab w:val="left" w:pos="673"/>
        </w:tabs>
        <w:spacing w:line="500" w:lineRule="exact"/>
        <w:jc w:val="left"/>
        <w:rPr>
          <w:color w:val="auto"/>
        </w:rPr>
      </w:pPr>
    </w:p>
    <w:p w14:paraId="5A810178">
      <w:pPr>
        <w:widowControl/>
        <w:spacing w:afterLines="50"/>
        <w:jc w:val="left"/>
        <w:rPr>
          <w:rFonts w:eastAsia="黑体"/>
          <w:color w:val="auto"/>
          <w:sz w:val="32"/>
          <w:szCs w:val="32"/>
        </w:rPr>
      </w:pPr>
      <w:r>
        <w:rPr>
          <w:rFonts w:eastAsia="黑体"/>
          <w:color w:val="auto"/>
          <w:sz w:val="32"/>
          <w:szCs w:val="32"/>
        </w:rPr>
        <w:t>附件</w:t>
      </w:r>
      <w:r>
        <w:rPr>
          <w:rFonts w:hint="eastAsia" w:eastAsia="黑体"/>
          <w:color w:val="auto"/>
          <w:sz w:val="32"/>
          <w:szCs w:val="32"/>
        </w:rPr>
        <w:t>1-2</w:t>
      </w:r>
    </w:p>
    <w:p w14:paraId="04BE7FF5">
      <w:pPr>
        <w:widowControl/>
        <w:spacing w:afterLines="50"/>
        <w:jc w:val="center"/>
        <w:rPr>
          <w:rFonts w:eastAsia="方正小标宋_GBK"/>
          <w:color w:val="auto"/>
          <w:sz w:val="36"/>
          <w:szCs w:val="36"/>
        </w:rPr>
      </w:pPr>
      <w:r>
        <w:rPr>
          <w:rFonts w:eastAsia="方正小标宋_GBK"/>
          <w:color w:val="auto"/>
          <w:sz w:val="36"/>
          <w:szCs w:val="36"/>
        </w:rPr>
        <w:t>部门整体支出绩效自评表</w:t>
      </w:r>
    </w:p>
    <w:tbl>
      <w:tblPr>
        <w:tblStyle w:val="4"/>
        <w:tblW w:w="10079" w:type="dxa"/>
        <w:jc w:val="center"/>
        <w:tblLayout w:type="autofit"/>
        <w:tblCellMar>
          <w:top w:w="0" w:type="dxa"/>
          <w:left w:w="108" w:type="dxa"/>
          <w:bottom w:w="0" w:type="dxa"/>
          <w:right w:w="108" w:type="dxa"/>
        </w:tblCellMar>
      </w:tblPr>
      <w:tblGrid>
        <w:gridCol w:w="1075"/>
        <w:gridCol w:w="1076"/>
        <w:gridCol w:w="1074"/>
        <w:gridCol w:w="1127"/>
        <w:gridCol w:w="94"/>
        <w:gridCol w:w="1307"/>
        <w:gridCol w:w="1266"/>
        <w:gridCol w:w="714"/>
        <w:gridCol w:w="916"/>
        <w:gridCol w:w="1430"/>
      </w:tblGrid>
      <w:tr w14:paraId="53AFB51E">
        <w:tblPrEx>
          <w:tblCellMar>
            <w:top w:w="0" w:type="dxa"/>
            <w:left w:w="108" w:type="dxa"/>
            <w:bottom w:w="0" w:type="dxa"/>
            <w:right w:w="108" w:type="dxa"/>
          </w:tblCellMar>
        </w:tblPrEx>
        <w:trPr>
          <w:jc w:val="center"/>
        </w:trPr>
        <w:tc>
          <w:tcPr>
            <w:tcW w:w="1075" w:type="dxa"/>
            <w:tcBorders>
              <w:top w:val="single" w:color="auto" w:sz="4" w:space="0"/>
              <w:left w:val="single" w:color="auto" w:sz="4" w:space="0"/>
              <w:bottom w:val="single" w:color="auto" w:sz="4" w:space="0"/>
              <w:right w:val="single" w:color="auto" w:sz="4" w:space="0"/>
            </w:tcBorders>
            <w:vAlign w:val="center"/>
          </w:tcPr>
          <w:p w14:paraId="2E87E387">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预算单位名称</w:t>
            </w:r>
          </w:p>
        </w:tc>
        <w:tc>
          <w:tcPr>
            <w:tcW w:w="9004" w:type="dxa"/>
            <w:gridSpan w:val="9"/>
            <w:tcBorders>
              <w:top w:val="single" w:color="auto" w:sz="4" w:space="0"/>
              <w:left w:val="nil"/>
              <w:bottom w:val="single" w:color="auto" w:sz="4" w:space="0"/>
              <w:right w:val="single" w:color="auto" w:sz="4" w:space="0"/>
            </w:tcBorders>
            <w:vAlign w:val="center"/>
          </w:tcPr>
          <w:p w14:paraId="7528B20A">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怀化市住房保障服务中心</w:t>
            </w:r>
          </w:p>
        </w:tc>
      </w:tr>
      <w:tr w14:paraId="2A2C1779">
        <w:tblPrEx>
          <w:tblCellMar>
            <w:top w:w="0" w:type="dxa"/>
            <w:left w:w="108" w:type="dxa"/>
            <w:bottom w:w="0" w:type="dxa"/>
            <w:right w:w="108" w:type="dxa"/>
          </w:tblCellMar>
        </w:tblPrEx>
        <w:trPr>
          <w:jc w:val="center"/>
        </w:trPr>
        <w:tc>
          <w:tcPr>
            <w:tcW w:w="1075" w:type="dxa"/>
            <w:vMerge w:val="restart"/>
            <w:tcBorders>
              <w:top w:val="nil"/>
              <w:left w:val="single" w:color="auto" w:sz="4" w:space="0"/>
              <w:right w:val="single" w:color="auto" w:sz="4" w:space="0"/>
            </w:tcBorders>
            <w:vAlign w:val="center"/>
          </w:tcPr>
          <w:p w14:paraId="06398A1D">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年度预</w:t>
            </w:r>
          </w:p>
          <w:p w14:paraId="29EF4509">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算申请</w:t>
            </w:r>
            <w:r>
              <w:rPr>
                <w:rFonts w:hint="eastAsia" w:ascii="仿宋" w:hAnsi="仿宋" w:eastAsia="仿宋" w:cs="仿宋"/>
                <w:color w:val="auto"/>
                <w:sz w:val="20"/>
                <w:szCs w:val="20"/>
              </w:rPr>
              <w:br w:type="textWrapping"/>
            </w:r>
            <w:r>
              <w:rPr>
                <w:rFonts w:hint="eastAsia" w:ascii="仿宋" w:hAnsi="仿宋" w:eastAsia="仿宋" w:cs="仿宋"/>
                <w:color w:val="auto"/>
                <w:sz w:val="20"/>
                <w:szCs w:val="20"/>
              </w:rPr>
              <w:t>（万元）</w:t>
            </w:r>
          </w:p>
        </w:tc>
        <w:tc>
          <w:tcPr>
            <w:tcW w:w="2150" w:type="dxa"/>
            <w:gridSpan w:val="2"/>
            <w:tcBorders>
              <w:top w:val="nil"/>
              <w:left w:val="nil"/>
              <w:bottom w:val="single" w:color="auto" w:sz="4" w:space="0"/>
              <w:right w:val="single" w:color="auto" w:sz="4" w:space="0"/>
            </w:tcBorders>
            <w:vAlign w:val="center"/>
          </w:tcPr>
          <w:p w14:paraId="450FECE8">
            <w:pPr>
              <w:spacing w:line="240" w:lineRule="exact"/>
              <w:jc w:val="center"/>
              <w:rPr>
                <w:rFonts w:ascii="仿宋" w:hAnsi="仿宋" w:eastAsia="仿宋" w:cs="仿宋"/>
                <w:color w:val="auto"/>
                <w:sz w:val="20"/>
                <w:szCs w:val="20"/>
              </w:rPr>
            </w:pPr>
          </w:p>
        </w:tc>
        <w:tc>
          <w:tcPr>
            <w:tcW w:w="1127" w:type="dxa"/>
            <w:tcBorders>
              <w:top w:val="nil"/>
              <w:left w:val="nil"/>
              <w:bottom w:val="single" w:color="auto" w:sz="4" w:space="0"/>
              <w:right w:val="single" w:color="auto" w:sz="4" w:space="0"/>
            </w:tcBorders>
            <w:vAlign w:val="center"/>
          </w:tcPr>
          <w:p w14:paraId="1E073373">
            <w:pPr>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年初预算数</w:t>
            </w:r>
          </w:p>
        </w:tc>
        <w:tc>
          <w:tcPr>
            <w:tcW w:w="1401" w:type="dxa"/>
            <w:gridSpan w:val="2"/>
            <w:tcBorders>
              <w:top w:val="nil"/>
              <w:left w:val="nil"/>
              <w:bottom w:val="single" w:color="auto" w:sz="4" w:space="0"/>
              <w:right w:val="single" w:color="auto" w:sz="4" w:space="0"/>
            </w:tcBorders>
            <w:vAlign w:val="center"/>
          </w:tcPr>
          <w:p w14:paraId="5B5CEAAD">
            <w:pPr>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全年预算数</w:t>
            </w:r>
          </w:p>
        </w:tc>
        <w:tc>
          <w:tcPr>
            <w:tcW w:w="1266" w:type="dxa"/>
            <w:tcBorders>
              <w:top w:val="nil"/>
              <w:left w:val="nil"/>
              <w:bottom w:val="single" w:color="auto" w:sz="4" w:space="0"/>
              <w:right w:val="single" w:color="auto" w:sz="4" w:space="0"/>
            </w:tcBorders>
            <w:vAlign w:val="center"/>
          </w:tcPr>
          <w:p w14:paraId="45848458">
            <w:pPr>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全年执行数</w:t>
            </w:r>
          </w:p>
        </w:tc>
        <w:tc>
          <w:tcPr>
            <w:tcW w:w="714" w:type="dxa"/>
            <w:tcBorders>
              <w:top w:val="nil"/>
              <w:left w:val="nil"/>
              <w:bottom w:val="single" w:color="auto" w:sz="4" w:space="0"/>
              <w:right w:val="single" w:color="auto" w:sz="4" w:space="0"/>
            </w:tcBorders>
            <w:vAlign w:val="center"/>
          </w:tcPr>
          <w:p w14:paraId="2AF6CF91">
            <w:pPr>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分值</w:t>
            </w:r>
          </w:p>
        </w:tc>
        <w:tc>
          <w:tcPr>
            <w:tcW w:w="916" w:type="dxa"/>
            <w:tcBorders>
              <w:top w:val="nil"/>
              <w:left w:val="nil"/>
              <w:bottom w:val="single" w:color="auto" w:sz="4" w:space="0"/>
              <w:right w:val="single" w:color="auto" w:sz="4" w:space="0"/>
            </w:tcBorders>
            <w:vAlign w:val="center"/>
          </w:tcPr>
          <w:p w14:paraId="4CB93C16">
            <w:pPr>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执行率</w:t>
            </w:r>
          </w:p>
        </w:tc>
        <w:tc>
          <w:tcPr>
            <w:tcW w:w="1430" w:type="dxa"/>
            <w:tcBorders>
              <w:top w:val="nil"/>
              <w:left w:val="nil"/>
              <w:bottom w:val="single" w:color="auto" w:sz="4" w:space="0"/>
              <w:right w:val="single" w:color="auto" w:sz="4" w:space="0"/>
            </w:tcBorders>
            <w:vAlign w:val="center"/>
          </w:tcPr>
          <w:p w14:paraId="3A6D2B2C">
            <w:pPr>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得分</w:t>
            </w:r>
          </w:p>
        </w:tc>
      </w:tr>
      <w:tr w14:paraId="45D3206B">
        <w:tblPrEx>
          <w:tblCellMar>
            <w:top w:w="0" w:type="dxa"/>
            <w:left w:w="108" w:type="dxa"/>
            <w:bottom w:w="0" w:type="dxa"/>
            <w:right w:w="108" w:type="dxa"/>
          </w:tblCellMar>
        </w:tblPrEx>
        <w:trPr>
          <w:jc w:val="center"/>
        </w:trPr>
        <w:tc>
          <w:tcPr>
            <w:tcW w:w="1075" w:type="dxa"/>
            <w:vMerge w:val="continue"/>
            <w:tcBorders>
              <w:top w:val="nil"/>
              <w:left w:val="single" w:color="auto" w:sz="4" w:space="0"/>
              <w:right w:val="single" w:color="auto" w:sz="4" w:space="0"/>
            </w:tcBorders>
            <w:vAlign w:val="center"/>
          </w:tcPr>
          <w:p w14:paraId="58159818">
            <w:pPr>
              <w:widowControl/>
              <w:spacing w:line="240" w:lineRule="exact"/>
              <w:jc w:val="center"/>
              <w:rPr>
                <w:rFonts w:ascii="仿宋" w:hAnsi="仿宋" w:eastAsia="仿宋" w:cs="仿宋"/>
                <w:color w:val="auto"/>
                <w:sz w:val="20"/>
                <w:szCs w:val="20"/>
              </w:rPr>
            </w:pPr>
          </w:p>
        </w:tc>
        <w:tc>
          <w:tcPr>
            <w:tcW w:w="2150" w:type="dxa"/>
            <w:gridSpan w:val="2"/>
            <w:tcBorders>
              <w:top w:val="nil"/>
              <w:left w:val="nil"/>
              <w:bottom w:val="single" w:color="auto" w:sz="4" w:space="0"/>
              <w:right w:val="single" w:color="auto" w:sz="4" w:space="0"/>
            </w:tcBorders>
            <w:vAlign w:val="center"/>
          </w:tcPr>
          <w:p w14:paraId="4A752B96">
            <w:pPr>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年度资金总额</w:t>
            </w:r>
          </w:p>
        </w:tc>
        <w:tc>
          <w:tcPr>
            <w:tcW w:w="1127" w:type="dxa"/>
            <w:tcBorders>
              <w:top w:val="nil"/>
              <w:left w:val="nil"/>
              <w:bottom w:val="single" w:color="auto" w:sz="4" w:space="0"/>
              <w:right w:val="single" w:color="auto" w:sz="4" w:space="0"/>
            </w:tcBorders>
            <w:vAlign w:val="center"/>
          </w:tcPr>
          <w:p w14:paraId="21066013">
            <w:pPr>
              <w:spacing w:line="240" w:lineRule="exact"/>
              <w:jc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3550.44</w:t>
            </w:r>
          </w:p>
        </w:tc>
        <w:tc>
          <w:tcPr>
            <w:tcW w:w="1401" w:type="dxa"/>
            <w:gridSpan w:val="2"/>
            <w:tcBorders>
              <w:top w:val="nil"/>
              <w:left w:val="nil"/>
              <w:bottom w:val="single" w:color="auto" w:sz="4" w:space="0"/>
              <w:right w:val="single" w:color="auto" w:sz="4" w:space="0"/>
            </w:tcBorders>
            <w:vAlign w:val="center"/>
          </w:tcPr>
          <w:p w14:paraId="08474636">
            <w:pPr>
              <w:spacing w:line="240" w:lineRule="exact"/>
              <w:jc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1764.12</w:t>
            </w:r>
          </w:p>
        </w:tc>
        <w:tc>
          <w:tcPr>
            <w:tcW w:w="1266" w:type="dxa"/>
            <w:tcBorders>
              <w:top w:val="nil"/>
              <w:left w:val="nil"/>
              <w:bottom w:val="single" w:color="auto" w:sz="4" w:space="0"/>
              <w:right w:val="single" w:color="auto" w:sz="4" w:space="0"/>
            </w:tcBorders>
            <w:vAlign w:val="center"/>
          </w:tcPr>
          <w:p w14:paraId="0D4518C5">
            <w:pPr>
              <w:spacing w:line="240" w:lineRule="exact"/>
              <w:jc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rPr>
              <w:t>1</w:t>
            </w:r>
            <w:r>
              <w:rPr>
                <w:rFonts w:hint="eastAsia" w:ascii="仿宋" w:hAnsi="仿宋" w:eastAsia="仿宋" w:cs="仿宋"/>
                <w:color w:val="auto"/>
                <w:sz w:val="20"/>
                <w:szCs w:val="20"/>
                <w:lang w:val="en-US" w:eastAsia="zh-CN"/>
              </w:rPr>
              <w:t>403.23</w:t>
            </w:r>
          </w:p>
        </w:tc>
        <w:tc>
          <w:tcPr>
            <w:tcW w:w="714" w:type="dxa"/>
            <w:tcBorders>
              <w:top w:val="nil"/>
              <w:left w:val="nil"/>
              <w:bottom w:val="single" w:color="auto" w:sz="4" w:space="0"/>
              <w:right w:val="single" w:color="auto" w:sz="4" w:space="0"/>
            </w:tcBorders>
            <w:vAlign w:val="center"/>
          </w:tcPr>
          <w:p w14:paraId="16C3648B">
            <w:pPr>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10</w:t>
            </w:r>
          </w:p>
        </w:tc>
        <w:tc>
          <w:tcPr>
            <w:tcW w:w="916" w:type="dxa"/>
            <w:tcBorders>
              <w:top w:val="nil"/>
              <w:left w:val="nil"/>
              <w:bottom w:val="single" w:color="auto" w:sz="4" w:space="0"/>
              <w:right w:val="single" w:color="auto" w:sz="4" w:space="0"/>
            </w:tcBorders>
            <w:vAlign w:val="center"/>
          </w:tcPr>
          <w:p w14:paraId="4D119C99">
            <w:pPr>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79.54</w:t>
            </w:r>
            <w:r>
              <w:rPr>
                <w:rFonts w:hint="eastAsia" w:ascii="仿宋" w:hAnsi="仿宋" w:eastAsia="仿宋" w:cs="仿宋"/>
                <w:color w:val="auto"/>
                <w:sz w:val="20"/>
                <w:szCs w:val="20"/>
              </w:rPr>
              <w:t>%</w:t>
            </w:r>
          </w:p>
        </w:tc>
        <w:tc>
          <w:tcPr>
            <w:tcW w:w="1430" w:type="dxa"/>
            <w:tcBorders>
              <w:top w:val="nil"/>
              <w:left w:val="nil"/>
              <w:bottom w:val="single" w:color="auto" w:sz="4" w:space="0"/>
              <w:right w:val="single" w:color="auto" w:sz="4" w:space="0"/>
            </w:tcBorders>
            <w:vAlign w:val="center"/>
          </w:tcPr>
          <w:p w14:paraId="45E6127F">
            <w:pPr>
              <w:spacing w:line="240" w:lineRule="exact"/>
              <w:jc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7.95</w:t>
            </w:r>
          </w:p>
        </w:tc>
      </w:tr>
      <w:tr w14:paraId="47EAAAAC">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vAlign w:val="center"/>
          </w:tcPr>
          <w:p w14:paraId="442AF5C8">
            <w:pPr>
              <w:widowControl/>
              <w:spacing w:line="240" w:lineRule="exact"/>
              <w:jc w:val="left"/>
              <w:rPr>
                <w:rFonts w:ascii="仿宋" w:hAnsi="仿宋" w:eastAsia="仿宋" w:cs="仿宋"/>
                <w:color w:val="auto"/>
                <w:sz w:val="20"/>
                <w:szCs w:val="20"/>
              </w:rPr>
            </w:pPr>
          </w:p>
        </w:tc>
        <w:tc>
          <w:tcPr>
            <w:tcW w:w="4678" w:type="dxa"/>
            <w:gridSpan w:val="5"/>
            <w:tcBorders>
              <w:top w:val="nil"/>
              <w:left w:val="nil"/>
              <w:bottom w:val="single" w:color="auto" w:sz="4" w:space="0"/>
              <w:right w:val="single" w:color="auto" w:sz="4" w:space="0"/>
            </w:tcBorders>
            <w:vAlign w:val="center"/>
          </w:tcPr>
          <w:p w14:paraId="5C8893A0">
            <w:pPr>
              <w:widowControl/>
              <w:spacing w:line="240" w:lineRule="exact"/>
              <w:jc w:val="left"/>
              <w:rPr>
                <w:rFonts w:ascii="仿宋" w:hAnsi="仿宋" w:eastAsia="仿宋" w:cs="仿宋"/>
                <w:color w:val="auto"/>
                <w:sz w:val="20"/>
                <w:szCs w:val="20"/>
              </w:rPr>
            </w:pPr>
            <w:r>
              <w:rPr>
                <w:rFonts w:hint="eastAsia" w:ascii="仿宋" w:hAnsi="仿宋" w:eastAsia="仿宋" w:cs="仿宋"/>
                <w:color w:val="auto"/>
                <w:sz w:val="20"/>
                <w:szCs w:val="20"/>
              </w:rPr>
              <w:t>按收入性质分：</w:t>
            </w:r>
          </w:p>
        </w:tc>
        <w:tc>
          <w:tcPr>
            <w:tcW w:w="4326" w:type="dxa"/>
            <w:gridSpan w:val="4"/>
            <w:tcBorders>
              <w:top w:val="nil"/>
              <w:left w:val="nil"/>
              <w:bottom w:val="single" w:color="auto" w:sz="4" w:space="0"/>
              <w:right w:val="single" w:color="auto" w:sz="4" w:space="0"/>
            </w:tcBorders>
            <w:vAlign w:val="center"/>
          </w:tcPr>
          <w:p w14:paraId="40B63B6D">
            <w:pPr>
              <w:widowControl/>
              <w:spacing w:line="240" w:lineRule="exact"/>
              <w:jc w:val="left"/>
              <w:rPr>
                <w:rFonts w:ascii="仿宋" w:hAnsi="仿宋" w:eastAsia="仿宋" w:cs="仿宋"/>
                <w:color w:val="auto"/>
                <w:sz w:val="20"/>
                <w:szCs w:val="20"/>
              </w:rPr>
            </w:pPr>
            <w:r>
              <w:rPr>
                <w:rFonts w:hint="eastAsia" w:ascii="仿宋" w:hAnsi="仿宋" w:eastAsia="仿宋" w:cs="仿宋"/>
                <w:color w:val="auto"/>
                <w:sz w:val="20"/>
                <w:szCs w:val="20"/>
              </w:rPr>
              <w:t>按支出性质分：</w:t>
            </w:r>
          </w:p>
        </w:tc>
      </w:tr>
      <w:tr w14:paraId="619BBAFD">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vAlign w:val="center"/>
          </w:tcPr>
          <w:p w14:paraId="7DB152EB">
            <w:pPr>
              <w:widowControl/>
              <w:spacing w:line="240" w:lineRule="exact"/>
              <w:jc w:val="left"/>
              <w:rPr>
                <w:rFonts w:ascii="仿宋" w:hAnsi="仿宋" w:eastAsia="仿宋" w:cs="仿宋"/>
                <w:color w:val="auto"/>
                <w:sz w:val="20"/>
                <w:szCs w:val="20"/>
              </w:rPr>
            </w:pPr>
          </w:p>
        </w:tc>
        <w:tc>
          <w:tcPr>
            <w:tcW w:w="4678" w:type="dxa"/>
            <w:gridSpan w:val="5"/>
            <w:tcBorders>
              <w:top w:val="nil"/>
              <w:left w:val="nil"/>
              <w:bottom w:val="single" w:color="auto" w:sz="4" w:space="0"/>
              <w:right w:val="single" w:color="auto" w:sz="4" w:space="0"/>
            </w:tcBorders>
            <w:vAlign w:val="center"/>
          </w:tcPr>
          <w:p w14:paraId="31A25620">
            <w:pPr>
              <w:widowControl/>
              <w:spacing w:line="240" w:lineRule="exact"/>
              <w:jc w:val="left"/>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rPr>
              <w:t xml:space="preserve">  其中：  一般公共预算：</w:t>
            </w:r>
            <w:r>
              <w:rPr>
                <w:rFonts w:hint="eastAsia" w:ascii="仿宋" w:hAnsi="仿宋" w:eastAsia="仿宋" w:cs="仿宋"/>
                <w:color w:val="auto"/>
                <w:sz w:val="20"/>
                <w:szCs w:val="20"/>
                <w:lang w:val="en-US" w:eastAsia="zh-CN"/>
              </w:rPr>
              <w:t>1644.62</w:t>
            </w:r>
          </w:p>
        </w:tc>
        <w:tc>
          <w:tcPr>
            <w:tcW w:w="4326" w:type="dxa"/>
            <w:gridSpan w:val="4"/>
            <w:tcBorders>
              <w:top w:val="nil"/>
              <w:left w:val="nil"/>
              <w:bottom w:val="single" w:color="auto" w:sz="4" w:space="0"/>
              <w:right w:val="single" w:color="auto" w:sz="4" w:space="0"/>
            </w:tcBorders>
            <w:vAlign w:val="center"/>
          </w:tcPr>
          <w:p w14:paraId="271D3B45">
            <w:pPr>
              <w:widowControl/>
              <w:spacing w:line="240" w:lineRule="exact"/>
              <w:jc w:val="left"/>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rPr>
              <w:t>其中：基本支出：</w:t>
            </w:r>
            <w:r>
              <w:rPr>
                <w:rFonts w:hint="eastAsia" w:ascii="仿宋" w:hAnsi="仿宋" w:eastAsia="仿宋" w:cs="仿宋"/>
                <w:color w:val="auto"/>
                <w:sz w:val="20"/>
                <w:szCs w:val="20"/>
                <w:lang w:val="en-US" w:eastAsia="zh-CN"/>
              </w:rPr>
              <w:t>859.70</w:t>
            </w:r>
          </w:p>
        </w:tc>
      </w:tr>
      <w:tr w14:paraId="7FAE8180">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vAlign w:val="center"/>
          </w:tcPr>
          <w:p w14:paraId="3FC7F84E">
            <w:pPr>
              <w:widowControl/>
              <w:spacing w:line="240" w:lineRule="exact"/>
              <w:jc w:val="left"/>
              <w:rPr>
                <w:rFonts w:ascii="仿宋" w:hAnsi="仿宋" w:eastAsia="仿宋" w:cs="仿宋"/>
                <w:color w:val="auto"/>
                <w:sz w:val="20"/>
                <w:szCs w:val="20"/>
              </w:rPr>
            </w:pPr>
          </w:p>
        </w:tc>
        <w:tc>
          <w:tcPr>
            <w:tcW w:w="4678" w:type="dxa"/>
            <w:gridSpan w:val="5"/>
            <w:tcBorders>
              <w:top w:val="nil"/>
              <w:left w:val="nil"/>
              <w:bottom w:val="single" w:color="auto" w:sz="4" w:space="0"/>
              <w:right w:val="single" w:color="auto" w:sz="4" w:space="0"/>
            </w:tcBorders>
            <w:vAlign w:val="center"/>
          </w:tcPr>
          <w:p w14:paraId="5CE804DD">
            <w:pPr>
              <w:widowControl/>
              <w:spacing w:line="240" w:lineRule="exact"/>
              <w:ind w:firstLine="800" w:firstLineChars="400"/>
              <w:jc w:val="left"/>
              <w:rPr>
                <w:rFonts w:ascii="仿宋" w:hAnsi="仿宋" w:eastAsia="仿宋" w:cs="仿宋"/>
                <w:color w:val="auto"/>
                <w:sz w:val="20"/>
                <w:szCs w:val="20"/>
              </w:rPr>
            </w:pPr>
            <w:r>
              <w:rPr>
                <w:rFonts w:hint="eastAsia" w:ascii="仿宋" w:hAnsi="仿宋" w:eastAsia="仿宋" w:cs="仿宋"/>
                <w:color w:val="auto"/>
                <w:sz w:val="20"/>
                <w:szCs w:val="20"/>
              </w:rPr>
              <w:t>政府性基金拨款：5</w:t>
            </w:r>
          </w:p>
        </w:tc>
        <w:tc>
          <w:tcPr>
            <w:tcW w:w="4326" w:type="dxa"/>
            <w:gridSpan w:val="4"/>
            <w:tcBorders>
              <w:top w:val="nil"/>
              <w:left w:val="nil"/>
              <w:bottom w:val="single" w:color="auto" w:sz="4" w:space="0"/>
              <w:right w:val="single" w:color="auto" w:sz="4" w:space="0"/>
            </w:tcBorders>
            <w:vAlign w:val="center"/>
          </w:tcPr>
          <w:p w14:paraId="65B9827A">
            <w:pPr>
              <w:widowControl/>
              <w:spacing w:line="240" w:lineRule="exact"/>
              <w:ind w:firstLine="600" w:firstLineChars="300"/>
              <w:jc w:val="left"/>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rPr>
              <w:t>项目支出：</w:t>
            </w:r>
            <w:r>
              <w:rPr>
                <w:rFonts w:hint="eastAsia" w:ascii="仿宋" w:hAnsi="仿宋" w:eastAsia="仿宋" w:cs="仿宋"/>
                <w:color w:val="auto"/>
                <w:sz w:val="20"/>
                <w:szCs w:val="20"/>
                <w:lang w:val="en-US" w:eastAsia="zh-CN"/>
              </w:rPr>
              <w:t>543.53</w:t>
            </w:r>
          </w:p>
        </w:tc>
      </w:tr>
      <w:tr w14:paraId="65947848">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vAlign w:val="center"/>
          </w:tcPr>
          <w:p w14:paraId="2E2EA4A9">
            <w:pPr>
              <w:widowControl/>
              <w:spacing w:line="240" w:lineRule="exact"/>
              <w:jc w:val="left"/>
              <w:rPr>
                <w:rFonts w:ascii="仿宋" w:hAnsi="仿宋" w:eastAsia="仿宋" w:cs="仿宋"/>
                <w:color w:val="auto"/>
                <w:sz w:val="20"/>
                <w:szCs w:val="20"/>
              </w:rPr>
            </w:pPr>
          </w:p>
        </w:tc>
        <w:tc>
          <w:tcPr>
            <w:tcW w:w="4678" w:type="dxa"/>
            <w:gridSpan w:val="5"/>
            <w:tcBorders>
              <w:top w:val="nil"/>
              <w:left w:val="nil"/>
              <w:bottom w:val="single" w:color="auto" w:sz="4" w:space="0"/>
              <w:right w:val="single" w:color="auto" w:sz="4" w:space="0"/>
            </w:tcBorders>
            <w:vAlign w:val="center"/>
          </w:tcPr>
          <w:p w14:paraId="064F7AAB">
            <w:pPr>
              <w:widowControl/>
              <w:spacing w:line="240" w:lineRule="exact"/>
              <w:jc w:val="left"/>
              <w:rPr>
                <w:rFonts w:ascii="仿宋" w:hAnsi="仿宋" w:eastAsia="仿宋" w:cs="仿宋"/>
                <w:color w:val="auto"/>
                <w:sz w:val="20"/>
                <w:szCs w:val="20"/>
              </w:rPr>
            </w:pPr>
            <w:r>
              <w:rPr>
                <w:rFonts w:hint="eastAsia" w:ascii="仿宋" w:hAnsi="仿宋" w:eastAsia="仿宋" w:cs="仿宋"/>
                <w:color w:val="auto"/>
                <w:sz w:val="20"/>
                <w:szCs w:val="20"/>
              </w:rPr>
              <w:t>纳入专户管理的非税收入拨款：0</w:t>
            </w:r>
          </w:p>
        </w:tc>
        <w:tc>
          <w:tcPr>
            <w:tcW w:w="4326" w:type="dxa"/>
            <w:gridSpan w:val="4"/>
            <w:tcBorders>
              <w:top w:val="nil"/>
              <w:left w:val="nil"/>
              <w:bottom w:val="single" w:color="auto" w:sz="4" w:space="0"/>
              <w:right w:val="single" w:color="auto" w:sz="4" w:space="0"/>
            </w:tcBorders>
            <w:vAlign w:val="center"/>
          </w:tcPr>
          <w:p w14:paraId="0AE94290">
            <w:pPr>
              <w:widowControl/>
              <w:spacing w:line="240" w:lineRule="exact"/>
              <w:jc w:val="left"/>
              <w:rPr>
                <w:rFonts w:ascii="仿宋" w:hAnsi="仿宋" w:eastAsia="仿宋" w:cs="仿宋"/>
                <w:color w:val="auto"/>
                <w:sz w:val="20"/>
                <w:szCs w:val="20"/>
              </w:rPr>
            </w:pPr>
          </w:p>
        </w:tc>
      </w:tr>
      <w:tr w14:paraId="69466353">
        <w:tblPrEx>
          <w:tblCellMar>
            <w:top w:w="0" w:type="dxa"/>
            <w:left w:w="108" w:type="dxa"/>
            <w:bottom w:w="0" w:type="dxa"/>
            <w:right w:w="108" w:type="dxa"/>
          </w:tblCellMar>
        </w:tblPrEx>
        <w:trPr>
          <w:jc w:val="center"/>
        </w:trPr>
        <w:tc>
          <w:tcPr>
            <w:tcW w:w="1075" w:type="dxa"/>
            <w:vMerge w:val="continue"/>
            <w:tcBorders>
              <w:left w:val="single" w:color="auto" w:sz="4" w:space="0"/>
              <w:bottom w:val="single" w:color="000000" w:sz="4" w:space="0"/>
              <w:right w:val="single" w:color="auto" w:sz="4" w:space="0"/>
            </w:tcBorders>
            <w:vAlign w:val="center"/>
          </w:tcPr>
          <w:p w14:paraId="0E2D3321">
            <w:pPr>
              <w:widowControl/>
              <w:spacing w:line="240" w:lineRule="exact"/>
              <w:jc w:val="left"/>
              <w:rPr>
                <w:rFonts w:ascii="仿宋" w:hAnsi="仿宋" w:eastAsia="仿宋" w:cs="仿宋"/>
                <w:color w:val="auto"/>
                <w:sz w:val="20"/>
                <w:szCs w:val="20"/>
              </w:rPr>
            </w:pPr>
          </w:p>
        </w:tc>
        <w:tc>
          <w:tcPr>
            <w:tcW w:w="4678" w:type="dxa"/>
            <w:gridSpan w:val="5"/>
            <w:tcBorders>
              <w:top w:val="nil"/>
              <w:left w:val="nil"/>
              <w:bottom w:val="single" w:color="auto" w:sz="4" w:space="0"/>
              <w:right w:val="single" w:color="auto" w:sz="4" w:space="0"/>
            </w:tcBorders>
            <w:vAlign w:val="center"/>
          </w:tcPr>
          <w:p w14:paraId="4609E71F">
            <w:pPr>
              <w:widowControl/>
              <w:spacing w:line="240" w:lineRule="exact"/>
              <w:ind w:firstLine="1400" w:firstLineChars="700"/>
              <w:jc w:val="left"/>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rPr>
              <w:t>其他资金：</w:t>
            </w:r>
            <w:r>
              <w:rPr>
                <w:rFonts w:hint="eastAsia" w:ascii="仿宋" w:hAnsi="仿宋" w:eastAsia="仿宋" w:cs="仿宋"/>
                <w:color w:val="auto"/>
                <w:sz w:val="20"/>
                <w:szCs w:val="20"/>
                <w:lang w:val="en-US" w:eastAsia="zh-CN"/>
              </w:rPr>
              <w:t>114.50</w:t>
            </w:r>
          </w:p>
        </w:tc>
        <w:tc>
          <w:tcPr>
            <w:tcW w:w="4326" w:type="dxa"/>
            <w:gridSpan w:val="4"/>
            <w:tcBorders>
              <w:top w:val="nil"/>
              <w:left w:val="nil"/>
              <w:bottom w:val="single" w:color="auto" w:sz="4" w:space="0"/>
              <w:right w:val="single" w:color="auto" w:sz="4" w:space="0"/>
            </w:tcBorders>
            <w:vAlign w:val="center"/>
          </w:tcPr>
          <w:p w14:paraId="512379C4">
            <w:pPr>
              <w:widowControl/>
              <w:spacing w:line="240" w:lineRule="exact"/>
              <w:jc w:val="left"/>
              <w:rPr>
                <w:rFonts w:ascii="仿宋" w:hAnsi="仿宋" w:eastAsia="仿宋" w:cs="仿宋"/>
                <w:color w:val="auto"/>
                <w:sz w:val="20"/>
                <w:szCs w:val="20"/>
              </w:rPr>
            </w:pPr>
          </w:p>
        </w:tc>
      </w:tr>
      <w:tr w14:paraId="65BAFBF9">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vAlign w:val="center"/>
          </w:tcPr>
          <w:p w14:paraId="258F2A76">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年度总体目标</w:t>
            </w:r>
          </w:p>
        </w:tc>
        <w:tc>
          <w:tcPr>
            <w:tcW w:w="4678" w:type="dxa"/>
            <w:gridSpan w:val="5"/>
            <w:tcBorders>
              <w:top w:val="single" w:color="auto" w:sz="4" w:space="0"/>
              <w:left w:val="nil"/>
              <w:bottom w:val="single" w:color="auto" w:sz="4" w:space="0"/>
              <w:right w:val="single" w:color="000000" w:sz="4" w:space="0"/>
            </w:tcBorders>
            <w:vAlign w:val="center"/>
          </w:tcPr>
          <w:p w14:paraId="27AB5D57">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预期目标</w:t>
            </w:r>
          </w:p>
        </w:tc>
        <w:tc>
          <w:tcPr>
            <w:tcW w:w="4326" w:type="dxa"/>
            <w:gridSpan w:val="4"/>
            <w:tcBorders>
              <w:top w:val="single" w:color="auto" w:sz="4" w:space="0"/>
              <w:left w:val="nil"/>
              <w:bottom w:val="single" w:color="auto" w:sz="4" w:space="0"/>
              <w:right w:val="single" w:color="auto" w:sz="4" w:space="0"/>
            </w:tcBorders>
            <w:vAlign w:val="center"/>
          </w:tcPr>
          <w:p w14:paraId="3073B84E">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实际完成情况</w:t>
            </w:r>
          </w:p>
        </w:tc>
      </w:tr>
      <w:tr w14:paraId="58CCDF14">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auto" w:sz="4" w:space="0"/>
              <w:right w:val="single" w:color="auto" w:sz="4" w:space="0"/>
            </w:tcBorders>
            <w:vAlign w:val="center"/>
          </w:tcPr>
          <w:p w14:paraId="568215FA">
            <w:pPr>
              <w:widowControl/>
              <w:spacing w:line="240" w:lineRule="exact"/>
              <w:jc w:val="left"/>
              <w:rPr>
                <w:rFonts w:ascii="仿宋" w:hAnsi="仿宋" w:eastAsia="仿宋" w:cs="仿宋"/>
                <w:color w:val="auto"/>
                <w:sz w:val="20"/>
                <w:szCs w:val="20"/>
              </w:rPr>
            </w:pPr>
          </w:p>
        </w:tc>
        <w:tc>
          <w:tcPr>
            <w:tcW w:w="4678" w:type="dxa"/>
            <w:gridSpan w:val="5"/>
            <w:tcBorders>
              <w:top w:val="single" w:color="auto" w:sz="4" w:space="0"/>
              <w:left w:val="nil"/>
              <w:bottom w:val="single" w:color="auto" w:sz="4" w:space="0"/>
              <w:right w:val="single" w:color="000000" w:sz="4" w:space="0"/>
            </w:tcBorders>
            <w:vAlign w:val="center"/>
          </w:tcPr>
          <w:p w14:paraId="5AADBC49">
            <w:pPr>
              <w:widowControl/>
              <w:spacing w:line="240" w:lineRule="exact"/>
              <w:rPr>
                <w:rFonts w:ascii="仿宋" w:hAnsi="仿宋" w:eastAsia="仿宋" w:cs="仿宋"/>
                <w:color w:val="auto"/>
                <w:sz w:val="20"/>
                <w:szCs w:val="20"/>
              </w:rPr>
            </w:pPr>
            <w:r>
              <w:rPr>
                <w:rFonts w:hint="eastAsia" w:ascii="仿宋" w:hAnsi="仿宋" w:eastAsia="仿宋" w:cs="仿宋"/>
                <w:color w:val="auto"/>
                <w:sz w:val="20"/>
                <w:szCs w:val="20"/>
              </w:rPr>
              <w:t>1.做好物业专项维修资金管理服务工作，尤其是物业专项维修资金追缴工作。</w:t>
            </w:r>
          </w:p>
          <w:p w14:paraId="1DBA8DC6">
            <w:pPr>
              <w:widowControl/>
              <w:spacing w:line="240" w:lineRule="exact"/>
              <w:rPr>
                <w:rFonts w:ascii="仿宋" w:hAnsi="仿宋" w:eastAsia="仿宋" w:cs="仿宋"/>
                <w:color w:val="auto"/>
                <w:sz w:val="20"/>
                <w:szCs w:val="20"/>
              </w:rPr>
            </w:pPr>
            <w:r>
              <w:rPr>
                <w:rFonts w:hint="eastAsia" w:ascii="仿宋" w:hAnsi="仿宋" w:eastAsia="仿宋" w:cs="仿宋"/>
                <w:color w:val="auto"/>
                <w:sz w:val="20"/>
                <w:szCs w:val="20"/>
              </w:rPr>
              <w:t>2.抓好房屋租赁和公租房管理后续服务工作。</w:t>
            </w:r>
          </w:p>
          <w:p w14:paraId="58143605">
            <w:pPr>
              <w:widowControl/>
              <w:spacing w:line="240" w:lineRule="exact"/>
              <w:rPr>
                <w:rFonts w:ascii="仿宋" w:hAnsi="仿宋" w:eastAsia="仿宋" w:cs="仿宋"/>
                <w:color w:val="auto"/>
                <w:sz w:val="20"/>
                <w:szCs w:val="20"/>
              </w:rPr>
            </w:pPr>
            <w:r>
              <w:rPr>
                <w:rFonts w:hint="eastAsia" w:ascii="仿宋" w:hAnsi="仿宋" w:eastAsia="仿宋" w:cs="仿宋"/>
                <w:color w:val="auto"/>
                <w:sz w:val="20"/>
                <w:szCs w:val="20"/>
              </w:rPr>
              <w:t>3.抓好白蚁防治工作。</w:t>
            </w:r>
          </w:p>
          <w:p w14:paraId="1023619C">
            <w:pPr>
              <w:widowControl/>
              <w:spacing w:line="240" w:lineRule="exact"/>
              <w:rPr>
                <w:rFonts w:ascii="仿宋" w:hAnsi="仿宋" w:eastAsia="仿宋" w:cs="仿宋"/>
                <w:color w:val="auto"/>
                <w:sz w:val="20"/>
                <w:szCs w:val="20"/>
              </w:rPr>
            </w:pPr>
            <w:r>
              <w:rPr>
                <w:rFonts w:hint="eastAsia" w:ascii="仿宋" w:hAnsi="仿宋" w:eastAsia="仿宋" w:cs="仿宋"/>
                <w:color w:val="auto"/>
                <w:sz w:val="20"/>
                <w:szCs w:val="20"/>
              </w:rPr>
              <w:t>4.其他工作任务等。</w:t>
            </w:r>
          </w:p>
        </w:tc>
        <w:tc>
          <w:tcPr>
            <w:tcW w:w="4326" w:type="dxa"/>
            <w:gridSpan w:val="4"/>
            <w:tcBorders>
              <w:top w:val="single" w:color="auto" w:sz="4" w:space="0"/>
              <w:left w:val="nil"/>
              <w:bottom w:val="single" w:color="auto" w:sz="4" w:space="0"/>
              <w:right w:val="single" w:color="auto" w:sz="4" w:space="0"/>
            </w:tcBorders>
            <w:vAlign w:val="center"/>
          </w:tcPr>
          <w:p w14:paraId="4115EBEC">
            <w:pPr>
              <w:widowControl/>
              <w:spacing w:line="240" w:lineRule="exact"/>
              <w:jc w:val="left"/>
              <w:rPr>
                <w:rFonts w:ascii="仿宋" w:hAnsi="仿宋" w:eastAsia="仿宋" w:cs="仿宋"/>
                <w:color w:val="auto"/>
                <w:sz w:val="20"/>
                <w:szCs w:val="20"/>
              </w:rPr>
            </w:pPr>
            <w:r>
              <w:rPr>
                <w:rFonts w:hint="eastAsia" w:ascii="仿宋" w:hAnsi="仿宋" w:eastAsia="仿宋" w:cs="仿宋"/>
                <w:color w:val="auto"/>
                <w:sz w:val="20"/>
                <w:szCs w:val="20"/>
              </w:rPr>
              <w:t>1.2024年，维修资金归集0.92亿元，使用963万元；维修资金余额22.26亿元（历年来，累计归集20.4亿元，累计利息收益2.71亿元，累计使用0.82亿元）。维修资金追缴入库3845.91万元，完成年度目标任务的54%（2024年市追缴办下达市本级维修资金追缴任务7121.85万元）。电梯维修保险改革试点工作有序开展，市本级已签约参保20个小区共229台电梯，保费支出84.3万元，意向签约电梯超过300台。</w:t>
            </w:r>
          </w:p>
          <w:p w14:paraId="3B84E54C">
            <w:pPr>
              <w:widowControl/>
              <w:spacing w:line="240" w:lineRule="exact"/>
              <w:jc w:val="left"/>
              <w:rPr>
                <w:rFonts w:ascii="仿宋" w:hAnsi="仿宋" w:eastAsia="仿宋" w:cs="仿宋"/>
                <w:color w:val="auto"/>
                <w:sz w:val="20"/>
                <w:szCs w:val="20"/>
              </w:rPr>
            </w:pPr>
            <w:r>
              <w:rPr>
                <w:rFonts w:hint="eastAsia" w:ascii="仿宋" w:hAnsi="仿宋" w:eastAsia="仿宋" w:cs="仿宋"/>
                <w:color w:val="auto"/>
                <w:sz w:val="20"/>
                <w:szCs w:val="20"/>
              </w:rPr>
              <w:t>2.市本级城东、城南、城北三个公租房小区共有住房54</w:t>
            </w:r>
            <w:r>
              <w:rPr>
                <w:rFonts w:hint="eastAsia" w:ascii="仿宋" w:hAnsi="仿宋" w:eastAsia="仿宋" w:cs="仿宋"/>
                <w:color w:val="auto"/>
                <w:sz w:val="20"/>
                <w:szCs w:val="20"/>
                <w:lang w:val="en-US" w:eastAsia="zh-CN"/>
              </w:rPr>
              <w:t>90</w:t>
            </w:r>
            <w:r>
              <w:rPr>
                <w:rFonts w:hint="eastAsia" w:ascii="仿宋" w:hAnsi="仿宋" w:eastAsia="仿宋" w:cs="仿宋"/>
                <w:color w:val="auto"/>
                <w:sz w:val="20"/>
                <w:szCs w:val="20"/>
              </w:rPr>
              <w:t>套</w:t>
            </w:r>
            <w:r>
              <w:rPr>
                <w:rFonts w:hint="eastAsia" w:ascii="仿宋" w:hAnsi="仿宋" w:eastAsia="仿宋" w:cs="仿宋"/>
                <w:color w:val="auto"/>
                <w:sz w:val="20"/>
                <w:szCs w:val="20"/>
                <w:lang w:eastAsia="zh-CN"/>
              </w:rPr>
              <w:t>，截止</w:t>
            </w:r>
            <w:r>
              <w:rPr>
                <w:rFonts w:hint="eastAsia" w:ascii="仿宋" w:hAnsi="仿宋" w:eastAsia="仿宋" w:cs="仿宋"/>
                <w:color w:val="auto"/>
                <w:sz w:val="20"/>
                <w:szCs w:val="20"/>
                <w:lang w:val="en-US" w:eastAsia="zh-CN"/>
              </w:rPr>
              <w:t>2024年底</w:t>
            </w:r>
            <w:r>
              <w:rPr>
                <w:rFonts w:hint="eastAsia" w:ascii="仿宋" w:hAnsi="仿宋" w:eastAsia="仿宋" w:cs="仿宋"/>
                <w:color w:val="auto"/>
                <w:sz w:val="20"/>
                <w:szCs w:val="20"/>
                <w:lang w:eastAsia="zh-CN"/>
              </w:rPr>
              <w:t>实际</w:t>
            </w:r>
            <w:r>
              <w:rPr>
                <w:rFonts w:hint="eastAsia" w:ascii="仿宋" w:hAnsi="仿宋" w:eastAsia="仿宋" w:cs="仿宋"/>
                <w:color w:val="auto"/>
                <w:sz w:val="20"/>
                <w:szCs w:val="20"/>
              </w:rPr>
              <w:t>分配入住53</w:t>
            </w:r>
            <w:r>
              <w:rPr>
                <w:rFonts w:hint="eastAsia" w:ascii="仿宋" w:hAnsi="仿宋" w:eastAsia="仿宋" w:cs="仿宋"/>
                <w:color w:val="auto"/>
                <w:sz w:val="20"/>
                <w:szCs w:val="20"/>
                <w:lang w:val="en-US" w:eastAsia="zh-CN"/>
              </w:rPr>
              <w:t>10</w:t>
            </w:r>
            <w:r>
              <w:rPr>
                <w:rFonts w:hint="eastAsia" w:ascii="仿宋" w:hAnsi="仿宋" w:eastAsia="仿宋" w:cs="仿宋"/>
                <w:color w:val="auto"/>
                <w:sz w:val="20"/>
                <w:szCs w:val="20"/>
              </w:rPr>
              <w:t>户，其中2024年新分配入住</w:t>
            </w:r>
            <w:r>
              <w:rPr>
                <w:rFonts w:hint="eastAsia" w:ascii="仿宋" w:hAnsi="仿宋" w:eastAsia="仿宋" w:cs="仿宋"/>
                <w:color w:val="auto"/>
                <w:sz w:val="20"/>
                <w:szCs w:val="20"/>
                <w:lang w:val="en-US" w:eastAsia="zh-CN"/>
              </w:rPr>
              <w:t>84</w:t>
            </w:r>
            <w:r>
              <w:rPr>
                <w:rFonts w:hint="eastAsia" w:ascii="仿宋" w:hAnsi="仿宋" w:eastAsia="仿宋" w:cs="仿宋"/>
                <w:color w:val="auto"/>
                <w:sz w:val="20"/>
                <w:szCs w:val="20"/>
              </w:rPr>
              <w:t>户，退房</w:t>
            </w:r>
            <w:r>
              <w:rPr>
                <w:rFonts w:hint="eastAsia" w:ascii="仿宋" w:hAnsi="仿宋" w:eastAsia="仿宋" w:cs="仿宋"/>
                <w:color w:val="auto"/>
                <w:sz w:val="20"/>
                <w:szCs w:val="20"/>
                <w:lang w:val="en-US" w:eastAsia="zh-CN"/>
              </w:rPr>
              <w:t>206</w:t>
            </w:r>
            <w:r>
              <w:rPr>
                <w:rFonts w:hint="eastAsia" w:ascii="仿宋" w:hAnsi="仿宋" w:eastAsia="仿宋" w:cs="仿宋"/>
                <w:color w:val="auto"/>
                <w:sz w:val="20"/>
                <w:szCs w:val="20"/>
              </w:rPr>
              <w:t>户</w:t>
            </w:r>
            <w:r>
              <w:rPr>
                <w:rFonts w:hint="eastAsia" w:ascii="仿宋" w:hAnsi="仿宋" w:eastAsia="仿宋" w:cs="仿宋"/>
                <w:color w:val="auto"/>
                <w:sz w:val="20"/>
                <w:szCs w:val="20"/>
                <w:lang w:eastAsia="zh-CN"/>
              </w:rPr>
              <w:t>（其中强制清退</w:t>
            </w:r>
            <w:r>
              <w:rPr>
                <w:rFonts w:hint="eastAsia" w:ascii="仿宋" w:hAnsi="仿宋" w:eastAsia="仿宋" w:cs="仿宋"/>
                <w:color w:val="auto"/>
                <w:sz w:val="20"/>
                <w:szCs w:val="20"/>
                <w:lang w:val="en-US" w:eastAsia="zh-CN"/>
              </w:rPr>
              <w:t>17</w:t>
            </w:r>
            <w:r>
              <w:rPr>
                <w:rFonts w:hint="eastAsia" w:ascii="仿宋" w:hAnsi="仿宋" w:eastAsia="仿宋" w:cs="仿宋"/>
                <w:color w:val="auto"/>
                <w:sz w:val="20"/>
                <w:szCs w:val="20"/>
              </w:rPr>
              <w:t>户</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，完成年审</w:t>
            </w:r>
            <w:r>
              <w:rPr>
                <w:rFonts w:hint="eastAsia" w:ascii="仿宋" w:hAnsi="仿宋" w:eastAsia="仿宋" w:cs="仿宋"/>
                <w:color w:val="auto"/>
                <w:sz w:val="20"/>
                <w:szCs w:val="20"/>
                <w:lang w:val="en-US" w:eastAsia="zh-CN"/>
              </w:rPr>
              <w:t>5049</w:t>
            </w:r>
            <w:r>
              <w:rPr>
                <w:rFonts w:hint="eastAsia" w:ascii="仿宋" w:hAnsi="仿宋" w:eastAsia="仿宋" w:cs="仿宋"/>
                <w:color w:val="auto"/>
                <w:sz w:val="20"/>
                <w:szCs w:val="20"/>
              </w:rPr>
              <w:t>户，收取租金</w:t>
            </w:r>
            <w:r>
              <w:rPr>
                <w:rFonts w:hint="eastAsia" w:ascii="仿宋" w:hAnsi="仿宋" w:eastAsia="仿宋" w:cs="仿宋"/>
                <w:color w:val="auto"/>
                <w:sz w:val="20"/>
                <w:szCs w:val="20"/>
                <w:lang w:val="en-US" w:eastAsia="zh-CN"/>
              </w:rPr>
              <w:t>857.86</w:t>
            </w:r>
            <w:r>
              <w:rPr>
                <w:rFonts w:hint="eastAsia" w:ascii="仿宋" w:hAnsi="仿宋" w:eastAsia="仿宋" w:cs="仿宋"/>
                <w:color w:val="auto"/>
                <w:sz w:val="20"/>
                <w:szCs w:val="20"/>
              </w:rPr>
              <w:t>万元</w:t>
            </w:r>
            <w:r>
              <w:rPr>
                <w:rFonts w:hint="eastAsia" w:ascii="仿宋" w:hAnsi="仿宋" w:eastAsia="仿宋" w:cs="仿宋"/>
                <w:color w:val="auto"/>
                <w:sz w:val="20"/>
                <w:szCs w:val="20"/>
                <w:lang w:eastAsia="zh-CN"/>
              </w:rPr>
              <w:t>；另外，按照春秋市长</w:t>
            </w:r>
            <w:r>
              <w:rPr>
                <w:rFonts w:hint="eastAsia" w:ascii="仿宋" w:hAnsi="仿宋" w:eastAsia="仿宋" w:cs="仿宋"/>
                <w:color w:val="auto"/>
                <w:sz w:val="20"/>
                <w:szCs w:val="20"/>
                <w:lang w:val="en-US" w:eastAsia="zh-CN"/>
              </w:rPr>
              <w:t>8月26日在全市保交房、保交楼、保障性住房建设工作推进会议</w:t>
            </w:r>
            <w:r>
              <w:rPr>
                <w:rFonts w:hint="eastAsia" w:ascii="仿宋" w:hAnsi="仿宋" w:eastAsia="仿宋" w:cs="仿宋"/>
                <w:color w:val="auto"/>
                <w:sz w:val="20"/>
                <w:szCs w:val="20"/>
                <w:lang w:eastAsia="zh-CN"/>
              </w:rPr>
              <w:t>上的指示精神，</w:t>
            </w:r>
            <w:r>
              <w:rPr>
                <w:rFonts w:hint="eastAsia" w:ascii="仿宋" w:hAnsi="仿宋" w:eastAsia="仿宋" w:cs="仿宋"/>
                <w:color w:val="auto"/>
                <w:sz w:val="20"/>
                <w:szCs w:val="20"/>
                <w:lang w:val="en-US" w:eastAsia="zh-CN"/>
              </w:rPr>
              <w:t>为</w:t>
            </w:r>
            <w:r>
              <w:rPr>
                <w:rFonts w:hint="eastAsia" w:ascii="仿宋" w:hAnsi="仿宋" w:eastAsia="仿宋" w:cs="仿宋"/>
                <w:color w:val="auto"/>
                <w:sz w:val="20"/>
                <w:szCs w:val="20"/>
                <w:lang w:eastAsia="zh-CN"/>
              </w:rPr>
              <w:t>做好我市已建成存量商品房用作保障性住房前期工作，我中心于8月28日至9月7日对市主城区配售型保障性住房需求情况进行了调研，并于</w:t>
            </w:r>
            <w:r>
              <w:rPr>
                <w:rFonts w:hint="eastAsia" w:ascii="仿宋" w:hAnsi="仿宋" w:eastAsia="仿宋" w:cs="仿宋"/>
                <w:color w:val="auto"/>
                <w:sz w:val="20"/>
                <w:szCs w:val="20"/>
                <w:lang w:val="en-US" w:eastAsia="zh-CN"/>
              </w:rPr>
              <w:t>9月11日形成了专题调研报告供市政府领导决策参考</w:t>
            </w:r>
            <w:r>
              <w:rPr>
                <w:rFonts w:hint="eastAsia" w:ascii="仿宋" w:hAnsi="仿宋" w:eastAsia="仿宋" w:cs="仿宋"/>
                <w:color w:val="auto"/>
                <w:sz w:val="20"/>
                <w:szCs w:val="20"/>
              </w:rPr>
              <w:t>。</w:t>
            </w:r>
          </w:p>
          <w:p w14:paraId="1767EDE9">
            <w:pPr>
              <w:widowControl/>
              <w:spacing w:line="240" w:lineRule="exact"/>
              <w:jc w:val="left"/>
              <w:rPr>
                <w:rFonts w:ascii="仿宋" w:hAnsi="仿宋" w:eastAsia="仿宋" w:cs="仿宋"/>
                <w:color w:val="auto"/>
                <w:sz w:val="20"/>
                <w:szCs w:val="20"/>
              </w:rPr>
            </w:pPr>
            <w:r>
              <w:rPr>
                <w:rFonts w:hint="eastAsia" w:ascii="仿宋" w:hAnsi="仿宋" w:eastAsia="仿宋" w:cs="仿宋"/>
                <w:color w:val="auto"/>
                <w:sz w:val="20"/>
                <w:szCs w:val="20"/>
              </w:rPr>
              <w:t>3.2024年，受理</w:t>
            </w:r>
            <w:r>
              <w:rPr>
                <w:rFonts w:hint="eastAsia" w:ascii="仿宋" w:hAnsi="仿宋" w:eastAsia="仿宋" w:cs="仿宋"/>
                <w:color w:val="auto"/>
                <w:sz w:val="20"/>
                <w:szCs w:val="20"/>
                <w:lang w:eastAsia="zh-CN"/>
              </w:rPr>
              <w:t>和施工白蚁防治申请</w:t>
            </w:r>
            <w:r>
              <w:rPr>
                <w:rFonts w:hint="eastAsia" w:ascii="仿宋" w:hAnsi="仿宋" w:eastAsia="仿宋" w:cs="仿宋"/>
                <w:color w:val="auto"/>
                <w:sz w:val="20"/>
                <w:szCs w:val="20"/>
              </w:rPr>
              <w:t>155栋面积117.1万㎡，发放城市房屋白蚁预防实施证明155份。受理白蚁危害来访来电30人次，实施白蚁灭治施工13处，其中房屋7处，树木白蚁灭7处，并对16个不属于白蚁防治包治期内的进行现场勘察和治理方法指导。白蚁防治回访复查房屋623栋，回访面积757.6万㎡。</w:t>
            </w:r>
          </w:p>
        </w:tc>
      </w:tr>
      <w:tr w14:paraId="7B09EA3E">
        <w:tblPrEx>
          <w:tblCellMar>
            <w:top w:w="0" w:type="dxa"/>
            <w:left w:w="108" w:type="dxa"/>
            <w:bottom w:w="0" w:type="dxa"/>
            <w:right w:w="108" w:type="dxa"/>
          </w:tblCellMar>
        </w:tblPrEx>
        <w:trPr>
          <w:jc w:val="center"/>
        </w:trPr>
        <w:tc>
          <w:tcPr>
            <w:tcW w:w="1075" w:type="dxa"/>
            <w:vMerge w:val="restart"/>
            <w:tcBorders>
              <w:top w:val="single" w:color="auto" w:sz="4" w:space="0"/>
              <w:left w:val="single" w:color="auto" w:sz="4" w:space="0"/>
              <w:bottom w:val="single" w:color="auto" w:sz="4" w:space="0"/>
              <w:right w:val="single" w:color="auto" w:sz="4" w:space="0"/>
            </w:tcBorders>
            <w:vAlign w:val="center"/>
          </w:tcPr>
          <w:p w14:paraId="5B70E4A0">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绩</w:t>
            </w:r>
          </w:p>
          <w:p w14:paraId="748C0AB7">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效</w:t>
            </w:r>
          </w:p>
          <w:p w14:paraId="7D6DD3D8">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指</w:t>
            </w:r>
          </w:p>
          <w:p w14:paraId="3F48D5DD">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标</w:t>
            </w:r>
          </w:p>
          <w:p w14:paraId="2E1CAAFD">
            <w:pPr>
              <w:widowControl/>
              <w:spacing w:line="240" w:lineRule="exact"/>
              <w:jc w:val="center"/>
              <w:rPr>
                <w:rFonts w:ascii="仿宋" w:hAnsi="仿宋" w:eastAsia="仿宋" w:cs="仿宋"/>
                <w:color w:val="auto"/>
                <w:sz w:val="20"/>
                <w:szCs w:val="20"/>
              </w:rPr>
            </w:pPr>
          </w:p>
        </w:tc>
        <w:tc>
          <w:tcPr>
            <w:tcW w:w="1076" w:type="dxa"/>
            <w:tcBorders>
              <w:top w:val="single" w:color="auto" w:sz="4" w:space="0"/>
              <w:left w:val="single" w:color="auto" w:sz="4" w:space="0"/>
              <w:bottom w:val="single" w:color="auto" w:sz="4" w:space="0"/>
              <w:right w:val="single" w:color="auto" w:sz="4" w:space="0"/>
            </w:tcBorders>
            <w:vAlign w:val="center"/>
          </w:tcPr>
          <w:p w14:paraId="23F90BD4">
            <w:pPr>
              <w:widowControl/>
              <w:jc w:val="center"/>
              <w:textAlignment w:val="center"/>
              <w:rPr>
                <w:rFonts w:ascii="仿宋" w:hAnsi="仿宋" w:eastAsia="仿宋" w:cs="仿宋"/>
                <w:color w:val="auto"/>
                <w:sz w:val="20"/>
                <w:szCs w:val="20"/>
              </w:rPr>
            </w:pPr>
            <w:r>
              <w:rPr>
                <w:rFonts w:hint="eastAsia" w:ascii="仿宋" w:hAnsi="仿宋" w:eastAsia="仿宋" w:cs="仿宋"/>
                <w:b/>
                <w:color w:val="auto"/>
                <w:sz w:val="20"/>
                <w:szCs w:val="20"/>
              </w:rPr>
              <w:t>一级指标</w:t>
            </w:r>
          </w:p>
        </w:tc>
        <w:tc>
          <w:tcPr>
            <w:tcW w:w="1074" w:type="dxa"/>
            <w:tcBorders>
              <w:top w:val="single" w:color="auto" w:sz="4" w:space="0"/>
              <w:left w:val="single" w:color="auto" w:sz="4" w:space="0"/>
              <w:bottom w:val="single" w:color="auto" w:sz="4" w:space="0"/>
              <w:right w:val="single" w:color="auto" w:sz="4" w:space="0"/>
            </w:tcBorders>
            <w:vAlign w:val="center"/>
          </w:tcPr>
          <w:p w14:paraId="0AB335BD">
            <w:pPr>
              <w:widowControl/>
              <w:jc w:val="center"/>
              <w:textAlignment w:val="center"/>
              <w:rPr>
                <w:rFonts w:ascii="仿宋" w:hAnsi="仿宋" w:eastAsia="仿宋" w:cs="仿宋"/>
                <w:color w:val="auto"/>
                <w:sz w:val="20"/>
                <w:szCs w:val="20"/>
              </w:rPr>
            </w:pPr>
            <w:r>
              <w:rPr>
                <w:rFonts w:hint="eastAsia" w:ascii="仿宋" w:hAnsi="仿宋" w:eastAsia="仿宋" w:cs="仿宋"/>
                <w:b/>
                <w:color w:val="auto"/>
                <w:sz w:val="20"/>
                <w:szCs w:val="20"/>
              </w:rPr>
              <w:t>二级指标</w:t>
            </w:r>
          </w:p>
        </w:tc>
        <w:tc>
          <w:tcPr>
            <w:tcW w:w="1221" w:type="dxa"/>
            <w:gridSpan w:val="2"/>
            <w:tcBorders>
              <w:top w:val="single" w:color="auto" w:sz="4" w:space="0"/>
              <w:left w:val="single" w:color="auto" w:sz="4" w:space="0"/>
              <w:bottom w:val="single" w:color="auto" w:sz="4" w:space="0"/>
              <w:right w:val="single" w:color="auto" w:sz="4" w:space="0"/>
            </w:tcBorders>
            <w:vAlign w:val="center"/>
          </w:tcPr>
          <w:p w14:paraId="1E4B250D">
            <w:pPr>
              <w:widowControl/>
              <w:jc w:val="center"/>
              <w:textAlignment w:val="center"/>
              <w:rPr>
                <w:rFonts w:ascii="仿宋" w:hAnsi="仿宋" w:eastAsia="仿宋" w:cs="仿宋"/>
                <w:color w:val="auto"/>
                <w:sz w:val="20"/>
                <w:szCs w:val="20"/>
              </w:rPr>
            </w:pPr>
            <w:r>
              <w:rPr>
                <w:rFonts w:hint="eastAsia" w:ascii="仿宋" w:hAnsi="仿宋" w:eastAsia="仿宋" w:cs="仿宋"/>
                <w:b/>
                <w:color w:val="auto"/>
                <w:sz w:val="20"/>
                <w:szCs w:val="20"/>
              </w:rPr>
              <w:t>三级指标</w:t>
            </w:r>
          </w:p>
        </w:tc>
        <w:tc>
          <w:tcPr>
            <w:tcW w:w="1307" w:type="dxa"/>
            <w:tcBorders>
              <w:top w:val="single" w:color="auto" w:sz="4" w:space="0"/>
              <w:left w:val="single" w:color="auto" w:sz="4" w:space="0"/>
              <w:bottom w:val="single" w:color="auto" w:sz="4" w:space="0"/>
              <w:right w:val="single" w:color="auto" w:sz="4" w:space="0"/>
            </w:tcBorders>
            <w:vAlign w:val="center"/>
          </w:tcPr>
          <w:p w14:paraId="37472EFA">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年度指标值</w:t>
            </w:r>
          </w:p>
        </w:tc>
        <w:tc>
          <w:tcPr>
            <w:tcW w:w="1266" w:type="dxa"/>
            <w:tcBorders>
              <w:top w:val="single" w:color="auto" w:sz="4" w:space="0"/>
              <w:left w:val="single" w:color="auto" w:sz="4" w:space="0"/>
              <w:bottom w:val="single" w:color="auto" w:sz="4" w:space="0"/>
              <w:right w:val="single" w:color="auto" w:sz="4" w:space="0"/>
            </w:tcBorders>
            <w:vAlign w:val="center"/>
          </w:tcPr>
          <w:p w14:paraId="3CA3058D">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实际完成值</w:t>
            </w:r>
          </w:p>
        </w:tc>
        <w:tc>
          <w:tcPr>
            <w:tcW w:w="714" w:type="dxa"/>
            <w:tcBorders>
              <w:top w:val="single" w:color="auto" w:sz="4" w:space="0"/>
              <w:left w:val="single" w:color="auto" w:sz="4" w:space="0"/>
              <w:bottom w:val="single" w:color="auto" w:sz="4" w:space="0"/>
              <w:right w:val="single" w:color="auto" w:sz="4" w:space="0"/>
            </w:tcBorders>
            <w:vAlign w:val="center"/>
          </w:tcPr>
          <w:p w14:paraId="43F0B24A">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分值</w:t>
            </w:r>
          </w:p>
        </w:tc>
        <w:tc>
          <w:tcPr>
            <w:tcW w:w="916" w:type="dxa"/>
            <w:tcBorders>
              <w:top w:val="single" w:color="auto" w:sz="4" w:space="0"/>
              <w:left w:val="single" w:color="auto" w:sz="4" w:space="0"/>
              <w:bottom w:val="single" w:color="auto" w:sz="4" w:space="0"/>
              <w:right w:val="single" w:color="auto" w:sz="4" w:space="0"/>
            </w:tcBorders>
            <w:vAlign w:val="center"/>
          </w:tcPr>
          <w:p w14:paraId="274926E4">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得分</w:t>
            </w:r>
          </w:p>
        </w:tc>
        <w:tc>
          <w:tcPr>
            <w:tcW w:w="1430" w:type="dxa"/>
            <w:tcBorders>
              <w:top w:val="single" w:color="auto" w:sz="4" w:space="0"/>
              <w:left w:val="single" w:color="auto" w:sz="4" w:space="0"/>
              <w:bottom w:val="single" w:color="auto" w:sz="4" w:space="0"/>
              <w:right w:val="single" w:color="auto" w:sz="4" w:space="0"/>
            </w:tcBorders>
            <w:vAlign w:val="center"/>
          </w:tcPr>
          <w:p w14:paraId="3C7C6D3F">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偏差原因分析及改进措施</w:t>
            </w:r>
          </w:p>
        </w:tc>
      </w:tr>
      <w:tr w14:paraId="1D1A949D">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7BDD2E05">
            <w:pPr>
              <w:spacing w:line="240" w:lineRule="exact"/>
              <w:jc w:val="left"/>
              <w:rPr>
                <w:rFonts w:ascii="仿宋" w:hAnsi="仿宋" w:eastAsia="仿宋" w:cs="仿宋"/>
                <w:color w:val="auto"/>
                <w:sz w:val="20"/>
                <w:szCs w:val="20"/>
              </w:rPr>
            </w:pPr>
          </w:p>
        </w:tc>
        <w:tc>
          <w:tcPr>
            <w:tcW w:w="1076" w:type="dxa"/>
            <w:vMerge w:val="restart"/>
            <w:tcBorders>
              <w:top w:val="single" w:color="auto" w:sz="4" w:space="0"/>
              <w:left w:val="single" w:color="auto" w:sz="4" w:space="0"/>
              <w:bottom w:val="single" w:color="auto" w:sz="4" w:space="0"/>
              <w:right w:val="single" w:color="auto" w:sz="4" w:space="0"/>
            </w:tcBorders>
            <w:vAlign w:val="center"/>
          </w:tcPr>
          <w:p w14:paraId="0F923C91">
            <w:pPr>
              <w:widowControl/>
              <w:jc w:val="center"/>
              <w:textAlignment w:val="center"/>
              <w:rPr>
                <w:rFonts w:ascii="仿宋" w:hAnsi="仿宋" w:eastAsia="仿宋" w:cs="仿宋"/>
                <w:color w:val="auto"/>
                <w:sz w:val="20"/>
                <w:szCs w:val="20"/>
              </w:rPr>
            </w:pPr>
            <w:r>
              <w:rPr>
                <w:rStyle w:val="8"/>
                <w:rFonts w:hint="default" w:ascii="仿宋" w:hAnsi="仿宋" w:eastAsia="仿宋" w:cs="仿宋"/>
                <w:color w:val="auto"/>
              </w:rPr>
              <w:t>成本指标</w:t>
            </w:r>
            <w:r>
              <w:rPr>
                <w:rStyle w:val="9"/>
                <w:rFonts w:hint="default" w:ascii="仿宋" w:hAnsi="仿宋" w:eastAsia="仿宋" w:cs="仿宋"/>
                <w:color w:val="auto"/>
              </w:rPr>
              <w:t>（20分）</w:t>
            </w:r>
          </w:p>
        </w:tc>
        <w:tc>
          <w:tcPr>
            <w:tcW w:w="1074" w:type="dxa"/>
            <w:vMerge w:val="restart"/>
            <w:tcBorders>
              <w:top w:val="single" w:color="auto" w:sz="4" w:space="0"/>
              <w:left w:val="single" w:color="auto" w:sz="4" w:space="0"/>
              <w:bottom w:val="single" w:color="auto" w:sz="4" w:space="0"/>
              <w:right w:val="single" w:color="auto" w:sz="4" w:space="0"/>
            </w:tcBorders>
            <w:vAlign w:val="center"/>
          </w:tcPr>
          <w:p w14:paraId="1F734EB9">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经济成本指标</w:t>
            </w:r>
          </w:p>
        </w:tc>
        <w:tc>
          <w:tcPr>
            <w:tcW w:w="1221" w:type="dxa"/>
            <w:gridSpan w:val="2"/>
            <w:tcBorders>
              <w:top w:val="single" w:color="auto" w:sz="4" w:space="0"/>
              <w:left w:val="single" w:color="auto" w:sz="4" w:space="0"/>
              <w:bottom w:val="single" w:color="auto" w:sz="4" w:space="0"/>
              <w:right w:val="single" w:color="auto" w:sz="4" w:space="0"/>
            </w:tcBorders>
            <w:vAlign w:val="center"/>
          </w:tcPr>
          <w:p w14:paraId="6C609C4B">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基本支出成本控制</w:t>
            </w:r>
          </w:p>
        </w:tc>
        <w:tc>
          <w:tcPr>
            <w:tcW w:w="1307" w:type="dxa"/>
            <w:tcBorders>
              <w:top w:val="single" w:color="auto" w:sz="4" w:space="0"/>
              <w:left w:val="single" w:color="auto" w:sz="4" w:space="0"/>
              <w:bottom w:val="single" w:color="auto" w:sz="4" w:space="0"/>
              <w:right w:val="single" w:color="auto" w:sz="4" w:space="0"/>
            </w:tcBorders>
            <w:vAlign w:val="center"/>
          </w:tcPr>
          <w:p w14:paraId="3B3C5896">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w:t>
            </w:r>
            <w:r>
              <w:rPr>
                <w:rFonts w:hint="eastAsia" w:ascii="仿宋" w:hAnsi="仿宋" w:eastAsia="仿宋" w:cs="仿宋"/>
                <w:color w:val="auto"/>
                <w:sz w:val="20"/>
                <w:szCs w:val="20"/>
                <w:lang w:val="en-US" w:eastAsia="zh-CN"/>
              </w:rPr>
              <w:t>870.34</w:t>
            </w:r>
            <w:r>
              <w:rPr>
                <w:rFonts w:hint="eastAsia" w:ascii="仿宋" w:hAnsi="仿宋" w:eastAsia="仿宋" w:cs="仿宋"/>
                <w:color w:val="auto"/>
                <w:sz w:val="20"/>
                <w:szCs w:val="20"/>
              </w:rPr>
              <w:t>万元</w:t>
            </w:r>
          </w:p>
        </w:tc>
        <w:tc>
          <w:tcPr>
            <w:tcW w:w="1266" w:type="dxa"/>
            <w:tcBorders>
              <w:top w:val="single" w:color="auto" w:sz="4" w:space="0"/>
              <w:left w:val="single" w:color="auto" w:sz="4" w:space="0"/>
              <w:bottom w:val="single" w:color="auto" w:sz="4" w:space="0"/>
              <w:right w:val="single" w:color="auto" w:sz="4" w:space="0"/>
            </w:tcBorders>
            <w:vAlign w:val="center"/>
          </w:tcPr>
          <w:p w14:paraId="02278EAC">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8</w:t>
            </w:r>
            <w:r>
              <w:rPr>
                <w:rFonts w:hint="eastAsia" w:ascii="仿宋" w:hAnsi="仿宋" w:eastAsia="仿宋" w:cs="仿宋"/>
                <w:color w:val="auto"/>
                <w:sz w:val="20"/>
                <w:szCs w:val="20"/>
                <w:lang w:val="en-US" w:eastAsia="zh-CN"/>
              </w:rPr>
              <w:t>59.70</w:t>
            </w:r>
            <w:r>
              <w:rPr>
                <w:rFonts w:hint="eastAsia" w:ascii="仿宋" w:hAnsi="仿宋" w:eastAsia="仿宋" w:cs="仿宋"/>
                <w:color w:val="auto"/>
                <w:sz w:val="20"/>
                <w:szCs w:val="20"/>
              </w:rPr>
              <w:t>万元</w:t>
            </w:r>
          </w:p>
        </w:tc>
        <w:tc>
          <w:tcPr>
            <w:tcW w:w="714" w:type="dxa"/>
            <w:tcBorders>
              <w:top w:val="single" w:color="auto" w:sz="4" w:space="0"/>
              <w:left w:val="single" w:color="auto" w:sz="4" w:space="0"/>
              <w:bottom w:val="single" w:color="auto" w:sz="4" w:space="0"/>
              <w:right w:val="single" w:color="auto" w:sz="4" w:space="0"/>
            </w:tcBorders>
            <w:vAlign w:val="center"/>
          </w:tcPr>
          <w:p w14:paraId="5F65D1FC">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10</w:t>
            </w:r>
          </w:p>
        </w:tc>
        <w:tc>
          <w:tcPr>
            <w:tcW w:w="916" w:type="dxa"/>
            <w:tcBorders>
              <w:top w:val="single" w:color="auto" w:sz="4" w:space="0"/>
              <w:left w:val="single" w:color="auto" w:sz="4" w:space="0"/>
              <w:bottom w:val="single" w:color="auto" w:sz="4" w:space="0"/>
              <w:right w:val="single" w:color="auto" w:sz="4" w:space="0"/>
            </w:tcBorders>
            <w:vAlign w:val="center"/>
          </w:tcPr>
          <w:p w14:paraId="7F31164D">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10</w:t>
            </w:r>
          </w:p>
        </w:tc>
        <w:tc>
          <w:tcPr>
            <w:tcW w:w="1430" w:type="dxa"/>
            <w:tcBorders>
              <w:top w:val="single" w:color="auto" w:sz="4" w:space="0"/>
              <w:left w:val="single" w:color="auto" w:sz="4" w:space="0"/>
              <w:bottom w:val="single" w:color="auto" w:sz="4" w:space="0"/>
              <w:right w:val="single" w:color="auto" w:sz="4" w:space="0"/>
            </w:tcBorders>
            <w:vAlign w:val="center"/>
          </w:tcPr>
          <w:p w14:paraId="7DF651B2">
            <w:pPr>
              <w:widowControl/>
              <w:spacing w:line="240" w:lineRule="exact"/>
              <w:jc w:val="center"/>
              <w:rPr>
                <w:rFonts w:ascii="仿宋" w:hAnsi="仿宋" w:eastAsia="仿宋" w:cs="仿宋"/>
                <w:color w:val="auto"/>
                <w:sz w:val="20"/>
                <w:szCs w:val="20"/>
              </w:rPr>
            </w:pPr>
          </w:p>
        </w:tc>
      </w:tr>
      <w:tr w14:paraId="5173CA8E">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46F73BC8">
            <w:pPr>
              <w:spacing w:line="240" w:lineRule="exact"/>
              <w:jc w:val="left"/>
              <w:rPr>
                <w:rFonts w:ascii="仿宋" w:hAnsi="仿宋" w:eastAsia="仿宋" w:cs="仿宋"/>
                <w:color w:val="auto"/>
                <w:sz w:val="20"/>
                <w:szCs w:val="20"/>
              </w:rPr>
            </w:pPr>
          </w:p>
        </w:tc>
        <w:tc>
          <w:tcPr>
            <w:tcW w:w="1076" w:type="dxa"/>
            <w:vMerge w:val="continue"/>
            <w:tcBorders>
              <w:top w:val="single" w:color="auto" w:sz="4" w:space="0"/>
              <w:left w:val="single" w:color="auto" w:sz="4" w:space="0"/>
              <w:bottom w:val="single" w:color="auto" w:sz="4" w:space="0"/>
              <w:right w:val="single" w:color="auto" w:sz="4" w:space="0"/>
            </w:tcBorders>
            <w:vAlign w:val="center"/>
          </w:tcPr>
          <w:p w14:paraId="0E0D0676">
            <w:pPr>
              <w:jc w:val="center"/>
              <w:rPr>
                <w:rFonts w:ascii="仿宋" w:hAnsi="仿宋" w:eastAsia="仿宋" w:cs="仿宋"/>
                <w:color w:val="auto"/>
                <w:sz w:val="20"/>
                <w:szCs w:val="20"/>
              </w:rPr>
            </w:pPr>
          </w:p>
        </w:tc>
        <w:tc>
          <w:tcPr>
            <w:tcW w:w="1074" w:type="dxa"/>
            <w:vMerge w:val="continue"/>
            <w:tcBorders>
              <w:top w:val="single" w:color="auto" w:sz="4" w:space="0"/>
              <w:left w:val="single" w:color="auto" w:sz="4" w:space="0"/>
              <w:bottom w:val="single" w:color="auto" w:sz="4" w:space="0"/>
              <w:right w:val="single" w:color="auto" w:sz="4" w:space="0"/>
            </w:tcBorders>
            <w:vAlign w:val="center"/>
          </w:tcPr>
          <w:p w14:paraId="4C51941C">
            <w:pPr>
              <w:jc w:val="center"/>
              <w:rPr>
                <w:rFonts w:ascii="仿宋" w:hAnsi="仿宋" w:eastAsia="仿宋" w:cs="仿宋"/>
                <w:color w:val="auto"/>
                <w:sz w:val="20"/>
                <w:szCs w:val="20"/>
              </w:rPr>
            </w:pPr>
          </w:p>
        </w:tc>
        <w:tc>
          <w:tcPr>
            <w:tcW w:w="1221" w:type="dxa"/>
            <w:gridSpan w:val="2"/>
            <w:tcBorders>
              <w:top w:val="single" w:color="auto" w:sz="4" w:space="0"/>
              <w:left w:val="single" w:color="auto" w:sz="4" w:space="0"/>
              <w:bottom w:val="single" w:color="auto" w:sz="4" w:space="0"/>
              <w:right w:val="single" w:color="auto" w:sz="4" w:space="0"/>
            </w:tcBorders>
            <w:vAlign w:val="center"/>
          </w:tcPr>
          <w:p w14:paraId="52CC1B0E">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项目支出成本控制</w:t>
            </w:r>
          </w:p>
        </w:tc>
        <w:tc>
          <w:tcPr>
            <w:tcW w:w="1307" w:type="dxa"/>
            <w:tcBorders>
              <w:top w:val="single" w:color="auto" w:sz="4" w:space="0"/>
              <w:left w:val="single" w:color="auto" w:sz="4" w:space="0"/>
              <w:bottom w:val="single" w:color="auto" w:sz="4" w:space="0"/>
              <w:right w:val="single" w:color="auto" w:sz="4" w:space="0"/>
            </w:tcBorders>
            <w:vAlign w:val="center"/>
          </w:tcPr>
          <w:p w14:paraId="21C9143B">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w:t>
            </w:r>
            <w:r>
              <w:rPr>
                <w:rFonts w:hint="eastAsia" w:ascii="仿宋" w:hAnsi="仿宋" w:eastAsia="仿宋" w:cs="仿宋"/>
                <w:color w:val="auto"/>
                <w:sz w:val="20"/>
                <w:szCs w:val="20"/>
                <w:lang w:val="en-US" w:eastAsia="zh-CN"/>
              </w:rPr>
              <w:t>2680.1</w:t>
            </w:r>
            <w:r>
              <w:rPr>
                <w:rFonts w:hint="eastAsia" w:ascii="仿宋" w:hAnsi="仿宋" w:eastAsia="仿宋" w:cs="仿宋"/>
                <w:color w:val="auto"/>
                <w:sz w:val="20"/>
                <w:szCs w:val="20"/>
              </w:rPr>
              <w:t>万元</w:t>
            </w:r>
          </w:p>
        </w:tc>
        <w:tc>
          <w:tcPr>
            <w:tcW w:w="1266" w:type="dxa"/>
            <w:tcBorders>
              <w:top w:val="single" w:color="auto" w:sz="4" w:space="0"/>
              <w:left w:val="single" w:color="auto" w:sz="4" w:space="0"/>
              <w:bottom w:val="single" w:color="auto" w:sz="4" w:space="0"/>
              <w:right w:val="single" w:color="auto" w:sz="4" w:space="0"/>
            </w:tcBorders>
            <w:vAlign w:val="center"/>
          </w:tcPr>
          <w:p w14:paraId="38A3C65F">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5</w:t>
            </w:r>
            <w:r>
              <w:rPr>
                <w:rFonts w:hint="eastAsia" w:ascii="仿宋" w:hAnsi="仿宋" w:eastAsia="仿宋" w:cs="仿宋"/>
                <w:color w:val="auto"/>
                <w:sz w:val="20"/>
                <w:szCs w:val="20"/>
                <w:lang w:val="en-US" w:eastAsia="zh-CN"/>
              </w:rPr>
              <w:t>43.53</w:t>
            </w:r>
            <w:r>
              <w:rPr>
                <w:rFonts w:hint="eastAsia" w:ascii="仿宋" w:hAnsi="仿宋" w:eastAsia="仿宋" w:cs="仿宋"/>
                <w:color w:val="auto"/>
                <w:sz w:val="20"/>
                <w:szCs w:val="20"/>
              </w:rPr>
              <w:t>万元</w:t>
            </w:r>
          </w:p>
        </w:tc>
        <w:tc>
          <w:tcPr>
            <w:tcW w:w="714" w:type="dxa"/>
            <w:tcBorders>
              <w:top w:val="single" w:color="auto" w:sz="4" w:space="0"/>
              <w:left w:val="single" w:color="auto" w:sz="4" w:space="0"/>
              <w:bottom w:val="single" w:color="auto" w:sz="4" w:space="0"/>
              <w:right w:val="single" w:color="auto" w:sz="4" w:space="0"/>
            </w:tcBorders>
            <w:vAlign w:val="center"/>
          </w:tcPr>
          <w:p w14:paraId="680FE87A">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10</w:t>
            </w:r>
          </w:p>
        </w:tc>
        <w:tc>
          <w:tcPr>
            <w:tcW w:w="916" w:type="dxa"/>
            <w:tcBorders>
              <w:top w:val="single" w:color="auto" w:sz="4" w:space="0"/>
              <w:left w:val="single" w:color="auto" w:sz="4" w:space="0"/>
              <w:bottom w:val="single" w:color="auto" w:sz="4" w:space="0"/>
              <w:right w:val="single" w:color="auto" w:sz="4" w:space="0"/>
            </w:tcBorders>
            <w:vAlign w:val="center"/>
          </w:tcPr>
          <w:p w14:paraId="6D2B149C">
            <w:pPr>
              <w:widowControl/>
              <w:spacing w:line="240" w:lineRule="exact"/>
              <w:jc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10</w:t>
            </w:r>
          </w:p>
        </w:tc>
        <w:tc>
          <w:tcPr>
            <w:tcW w:w="1430" w:type="dxa"/>
            <w:tcBorders>
              <w:top w:val="single" w:color="auto" w:sz="4" w:space="0"/>
              <w:left w:val="single" w:color="auto" w:sz="4" w:space="0"/>
              <w:bottom w:val="single" w:color="auto" w:sz="4" w:space="0"/>
              <w:right w:val="single" w:color="auto" w:sz="4" w:space="0"/>
            </w:tcBorders>
            <w:vAlign w:val="center"/>
          </w:tcPr>
          <w:p w14:paraId="48229E37">
            <w:pPr>
              <w:widowControl/>
              <w:spacing w:line="240" w:lineRule="exact"/>
              <w:jc w:val="center"/>
              <w:rPr>
                <w:rFonts w:ascii="仿宋" w:hAnsi="仿宋" w:eastAsia="仿宋" w:cs="仿宋"/>
                <w:color w:val="auto"/>
                <w:sz w:val="20"/>
                <w:szCs w:val="20"/>
              </w:rPr>
            </w:pPr>
          </w:p>
        </w:tc>
      </w:tr>
      <w:tr w14:paraId="0DE84538">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6F3B3DF5">
            <w:pPr>
              <w:spacing w:line="240" w:lineRule="exact"/>
              <w:jc w:val="left"/>
              <w:rPr>
                <w:rFonts w:ascii="仿宋" w:hAnsi="仿宋" w:eastAsia="仿宋" w:cs="仿宋"/>
                <w:color w:val="auto"/>
                <w:sz w:val="20"/>
                <w:szCs w:val="20"/>
              </w:rPr>
            </w:pPr>
          </w:p>
        </w:tc>
        <w:tc>
          <w:tcPr>
            <w:tcW w:w="1076" w:type="dxa"/>
            <w:vMerge w:val="continue"/>
            <w:tcBorders>
              <w:top w:val="single" w:color="auto" w:sz="4" w:space="0"/>
              <w:left w:val="single" w:color="auto" w:sz="4" w:space="0"/>
              <w:bottom w:val="single" w:color="auto" w:sz="4" w:space="0"/>
              <w:right w:val="single" w:color="auto" w:sz="4" w:space="0"/>
            </w:tcBorders>
            <w:vAlign w:val="center"/>
          </w:tcPr>
          <w:p w14:paraId="6A1C94B7">
            <w:pPr>
              <w:jc w:val="center"/>
              <w:rPr>
                <w:rFonts w:ascii="仿宋" w:hAnsi="仿宋" w:eastAsia="仿宋" w:cs="仿宋"/>
                <w:color w:val="auto"/>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14:paraId="530DC0F9">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社会成本指标</w:t>
            </w:r>
          </w:p>
        </w:tc>
        <w:tc>
          <w:tcPr>
            <w:tcW w:w="6854" w:type="dxa"/>
            <w:gridSpan w:val="7"/>
            <w:tcBorders>
              <w:top w:val="single" w:color="auto" w:sz="4" w:space="0"/>
              <w:left w:val="single" w:color="auto" w:sz="4" w:space="0"/>
              <w:bottom w:val="single" w:color="auto" w:sz="4" w:space="0"/>
              <w:right w:val="single" w:color="auto" w:sz="4" w:space="0"/>
            </w:tcBorders>
            <w:vAlign w:val="center"/>
          </w:tcPr>
          <w:p w14:paraId="5B2C5C91">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不适用</w:t>
            </w:r>
          </w:p>
        </w:tc>
      </w:tr>
      <w:tr w14:paraId="52B6B3C7">
        <w:tblPrEx>
          <w:tblCellMar>
            <w:top w:w="0" w:type="dxa"/>
            <w:left w:w="108" w:type="dxa"/>
            <w:bottom w:w="0" w:type="dxa"/>
            <w:right w:w="108" w:type="dxa"/>
          </w:tblCellMar>
        </w:tblPrEx>
        <w:trPr>
          <w:trHeight w:val="182"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349F7E04">
            <w:pPr>
              <w:spacing w:line="240" w:lineRule="exact"/>
              <w:jc w:val="left"/>
              <w:rPr>
                <w:rFonts w:ascii="仿宋" w:hAnsi="仿宋" w:eastAsia="仿宋" w:cs="仿宋"/>
                <w:color w:val="auto"/>
                <w:sz w:val="20"/>
                <w:szCs w:val="20"/>
              </w:rPr>
            </w:pPr>
          </w:p>
        </w:tc>
        <w:tc>
          <w:tcPr>
            <w:tcW w:w="1076" w:type="dxa"/>
            <w:vMerge w:val="continue"/>
            <w:tcBorders>
              <w:top w:val="single" w:color="auto" w:sz="4" w:space="0"/>
              <w:left w:val="single" w:color="auto" w:sz="4" w:space="0"/>
              <w:bottom w:val="single" w:color="auto" w:sz="4" w:space="0"/>
              <w:right w:val="single" w:color="auto" w:sz="4" w:space="0"/>
            </w:tcBorders>
            <w:vAlign w:val="center"/>
          </w:tcPr>
          <w:p w14:paraId="0A5A599C">
            <w:pPr>
              <w:jc w:val="center"/>
              <w:rPr>
                <w:rFonts w:ascii="仿宋" w:hAnsi="仿宋" w:eastAsia="仿宋" w:cs="仿宋"/>
                <w:color w:val="auto"/>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14:paraId="656643CA">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生态环境成本指标</w:t>
            </w:r>
          </w:p>
        </w:tc>
        <w:tc>
          <w:tcPr>
            <w:tcW w:w="6854" w:type="dxa"/>
            <w:gridSpan w:val="7"/>
            <w:tcBorders>
              <w:top w:val="single" w:color="auto" w:sz="4" w:space="0"/>
              <w:left w:val="single" w:color="auto" w:sz="4" w:space="0"/>
              <w:bottom w:val="single" w:color="auto" w:sz="4" w:space="0"/>
              <w:right w:val="single" w:color="auto" w:sz="4" w:space="0"/>
            </w:tcBorders>
            <w:vAlign w:val="center"/>
          </w:tcPr>
          <w:p w14:paraId="5CD6F800">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不适用</w:t>
            </w:r>
          </w:p>
        </w:tc>
      </w:tr>
      <w:tr w14:paraId="691133BB">
        <w:tblPrEx>
          <w:tblCellMar>
            <w:top w:w="0" w:type="dxa"/>
            <w:left w:w="108" w:type="dxa"/>
            <w:bottom w:w="0" w:type="dxa"/>
            <w:right w:w="108" w:type="dxa"/>
          </w:tblCellMar>
        </w:tblPrEx>
        <w:trPr>
          <w:trHeight w:val="243"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20623D69">
            <w:pPr>
              <w:spacing w:line="240" w:lineRule="exact"/>
              <w:jc w:val="left"/>
              <w:rPr>
                <w:rFonts w:ascii="仿宋" w:hAnsi="仿宋" w:eastAsia="仿宋" w:cs="仿宋"/>
                <w:color w:val="auto"/>
                <w:sz w:val="20"/>
                <w:szCs w:val="20"/>
              </w:rPr>
            </w:pPr>
          </w:p>
        </w:tc>
        <w:tc>
          <w:tcPr>
            <w:tcW w:w="1076" w:type="dxa"/>
            <w:vMerge w:val="restart"/>
            <w:tcBorders>
              <w:top w:val="single" w:color="auto" w:sz="4" w:space="0"/>
              <w:left w:val="single" w:color="auto" w:sz="4" w:space="0"/>
              <w:bottom w:val="single" w:color="auto" w:sz="4" w:space="0"/>
              <w:right w:val="single" w:color="auto" w:sz="4" w:space="0"/>
            </w:tcBorders>
            <w:vAlign w:val="center"/>
          </w:tcPr>
          <w:p w14:paraId="3A765F44">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产出指标（40分）</w:t>
            </w:r>
          </w:p>
        </w:tc>
        <w:tc>
          <w:tcPr>
            <w:tcW w:w="1074" w:type="dxa"/>
            <w:tcBorders>
              <w:top w:val="single" w:color="auto" w:sz="4" w:space="0"/>
              <w:left w:val="single" w:color="auto" w:sz="4" w:space="0"/>
              <w:bottom w:val="single" w:color="auto" w:sz="4" w:space="0"/>
              <w:right w:val="single" w:color="auto" w:sz="4" w:space="0"/>
            </w:tcBorders>
            <w:vAlign w:val="center"/>
          </w:tcPr>
          <w:p w14:paraId="6A113C5C">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数量指标</w:t>
            </w:r>
          </w:p>
        </w:tc>
        <w:tc>
          <w:tcPr>
            <w:tcW w:w="1221" w:type="dxa"/>
            <w:gridSpan w:val="2"/>
            <w:tcBorders>
              <w:top w:val="single" w:color="auto" w:sz="4" w:space="0"/>
              <w:left w:val="single" w:color="auto" w:sz="4" w:space="0"/>
              <w:bottom w:val="single" w:color="auto" w:sz="4" w:space="0"/>
              <w:right w:val="single" w:color="auto" w:sz="4" w:space="0"/>
            </w:tcBorders>
            <w:vAlign w:val="center"/>
          </w:tcPr>
          <w:p w14:paraId="0C13ABCB">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工作任务完成数量</w:t>
            </w:r>
          </w:p>
        </w:tc>
        <w:tc>
          <w:tcPr>
            <w:tcW w:w="1307" w:type="dxa"/>
            <w:tcBorders>
              <w:top w:val="single" w:color="auto" w:sz="4" w:space="0"/>
              <w:left w:val="single" w:color="auto" w:sz="4" w:space="0"/>
              <w:bottom w:val="single" w:color="auto" w:sz="4" w:space="0"/>
              <w:right w:val="single" w:color="auto" w:sz="4" w:space="0"/>
            </w:tcBorders>
            <w:vAlign w:val="center"/>
          </w:tcPr>
          <w:p w14:paraId="2E38FBDF">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8个</w:t>
            </w:r>
          </w:p>
        </w:tc>
        <w:tc>
          <w:tcPr>
            <w:tcW w:w="1266" w:type="dxa"/>
            <w:tcBorders>
              <w:top w:val="single" w:color="auto" w:sz="4" w:space="0"/>
              <w:left w:val="single" w:color="auto" w:sz="4" w:space="0"/>
              <w:bottom w:val="single" w:color="auto" w:sz="4" w:space="0"/>
              <w:right w:val="single" w:color="auto" w:sz="4" w:space="0"/>
            </w:tcBorders>
            <w:vAlign w:val="center"/>
          </w:tcPr>
          <w:p w14:paraId="1A7AA564">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11个</w:t>
            </w:r>
          </w:p>
        </w:tc>
        <w:tc>
          <w:tcPr>
            <w:tcW w:w="714" w:type="dxa"/>
            <w:tcBorders>
              <w:top w:val="single" w:color="auto" w:sz="4" w:space="0"/>
              <w:left w:val="single" w:color="auto" w:sz="4" w:space="0"/>
              <w:bottom w:val="single" w:color="auto" w:sz="4" w:space="0"/>
              <w:right w:val="single" w:color="auto" w:sz="4" w:space="0"/>
            </w:tcBorders>
            <w:vAlign w:val="center"/>
          </w:tcPr>
          <w:p w14:paraId="4CFAB3E8">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15</w:t>
            </w:r>
          </w:p>
        </w:tc>
        <w:tc>
          <w:tcPr>
            <w:tcW w:w="916" w:type="dxa"/>
            <w:tcBorders>
              <w:top w:val="single" w:color="auto" w:sz="4" w:space="0"/>
              <w:left w:val="single" w:color="auto" w:sz="4" w:space="0"/>
              <w:bottom w:val="single" w:color="auto" w:sz="4" w:space="0"/>
              <w:right w:val="single" w:color="auto" w:sz="4" w:space="0"/>
            </w:tcBorders>
            <w:vAlign w:val="center"/>
          </w:tcPr>
          <w:p w14:paraId="22C898F9">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15</w:t>
            </w:r>
          </w:p>
        </w:tc>
        <w:tc>
          <w:tcPr>
            <w:tcW w:w="1430" w:type="dxa"/>
            <w:tcBorders>
              <w:top w:val="single" w:color="auto" w:sz="4" w:space="0"/>
              <w:left w:val="single" w:color="auto" w:sz="4" w:space="0"/>
              <w:bottom w:val="single" w:color="auto" w:sz="4" w:space="0"/>
              <w:right w:val="single" w:color="auto" w:sz="4" w:space="0"/>
            </w:tcBorders>
            <w:vAlign w:val="center"/>
          </w:tcPr>
          <w:p w14:paraId="147CEB1F">
            <w:pPr>
              <w:widowControl/>
              <w:spacing w:line="240" w:lineRule="exact"/>
              <w:jc w:val="left"/>
              <w:rPr>
                <w:rFonts w:ascii="仿宋" w:hAnsi="仿宋" w:eastAsia="仿宋" w:cs="仿宋"/>
                <w:color w:val="auto"/>
                <w:sz w:val="20"/>
                <w:szCs w:val="20"/>
              </w:rPr>
            </w:pPr>
            <w:r>
              <w:rPr>
                <w:rFonts w:hint="eastAsia" w:ascii="仿宋" w:hAnsi="仿宋" w:eastAsia="仿宋" w:cs="仿宋"/>
                <w:color w:val="auto"/>
                <w:sz w:val="20"/>
                <w:szCs w:val="20"/>
              </w:rPr>
              <w:t>　</w:t>
            </w:r>
          </w:p>
        </w:tc>
      </w:tr>
      <w:tr w14:paraId="652846BE">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55308D59">
            <w:pPr>
              <w:spacing w:line="240" w:lineRule="exact"/>
              <w:jc w:val="left"/>
              <w:rPr>
                <w:rFonts w:ascii="仿宋" w:hAnsi="仿宋" w:eastAsia="仿宋" w:cs="仿宋"/>
                <w:color w:val="auto"/>
                <w:sz w:val="20"/>
                <w:szCs w:val="20"/>
              </w:rPr>
            </w:pPr>
          </w:p>
        </w:tc>
        <w:tc>
          <w:tcPr>
            <w:tcW w:w="1076" w:type="dxa"/>
            <w:vMerge w:val="continue"/>
            <w:tcBorders>
              <w:top w:val="single" w:color="auto" w:sz="4" w:space="0"/>
              <w:left w:val="single" w:color="auto" w:sz="4" w:space="0"/>
              <w:bottom w:val="single" w:color="auto" w:sz="4" w:space="0"/>
              <w:right w:val="single" w:color="auto" w:sz="4" w:space="0"/>
            </w:tcBorders>
            <w:vAlign w:val="center"/>
          </w:tcPr>
          <w:p w14:paraId="68B58FF8">
            <w:pPr>
              <w:jc w:val="center"/>
              <w:rPr>
                <w:rFonts w:ascii="仿宋" w:hAnsi="仿宋" w:eastAsia="仿宋" w:cs="仿宋"/>
                <w:color w:val="auto"/>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14:paraId="35158131">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质量指标</w:t>
            </w:r>
          </w:p>
        </w:tc>
        <w:tc>
          <w:tcPr>
            <w:tcW w:w="1221" w:type="dxa"/>
            <w:gridSpan w:val="2"/>
            <w:tcBorders>
              <w:top w:val="single" w:color="auto" w:sz="4" w:space="0"/>
              <w:left w:val="single" w:color="auto" w:sz="4" w:space="0"/>
              <w:bottom w:val="single" w:color="auto" w:sz="4" w:space="0"/>
              <w:right w:val="single" w:color="auto" w:sz="4" w:space="0"/>
            </w:tcBorders>
            <w:vAlign w:val="center"/>
          </w:tcPr>
          <w:p w14:paraId="30E7A652">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各项工作达标完成</w:t>
            </w:r>
          </w:p>
        </w:tc>
        <w:tc>
          <w:tcPr>
            <w:tcW w:w="1307" w:type="dxa"/>
            <w:tcBorders>
              <w:top w:val="single" w:color="auto" w:sz="4" w:space="0"/>
              <w:left w:val="single" w:color="auto" w:sz="4" w:space="0"/>
              <w:bottom w:val="single" w:color="auto" w:sz="4" w:space="0"/>
              <w:right w:val="single" w:color="auto" w:sz="4" w:space="0"/>
            </w:tcBorders>
            <w:vAlign w:val="center"/>
          </w:tcPr>
          <w:p w14:paraId="458E95EF">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100%</w:t>
            </w:r>
          </w:p>
        </w:tc>
        <w:tc>
          <w:tcPr>
            <w:tcW w:w="1266" w:type="dxa"/>
            <w:tcBorders>
              <w:top w:val="single" w:color="auto" w:sz="4" w:space="0"/>
              <w:left w:val="single" w:color="auto" w:sz="4" w:space="0"/>
              <w:bottom w:val="single" w:color="auto" w:sz="4" w:space="0"/>
              <w:right w:val="single" w:color="auto" w:sz="4" w:space="0"/>
            </w:tcBorders>
            <w:vAlign w:val="center"/>
          </w:tcPr>
          <w:p w14:paraId="7E657335">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100%</w:t>
            </w:r>
          </w:p>
        </w:tc>
        <w:tc>
          <w:tcPr>
            <w:tcW w:w="714" w:type="dxa"/>
            <w:tcBorders>
              <w:top w:val="single" w:color="auto" w:sz="4" w:space="0"/>
              <w:left w:val="single" w:color="auto" w:sz="4" w:space="0"/>
              <w:bottom w:val="single" w:color="auto" w:sz="4" w:space="0"/>
              <w:right w:val="single" w:color="auto" w:sz="4" w:space="0"/>
            </w:tcBorders>
            <w:vAlign w:val="center"/>
          </w:tcPr>
          <w:p w14:paraId="5A93ED31">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15</w:t>
            </w:r>
          </w:p>
        </w:tc>
        <w:tc>
          <w:tcPr>
            <w:tcW w:w="916" w:type="dxa"/>
            <w:tcBorders>
              <w:top w:val="single" w:color="auto" w:sz="4" w:space="0"/>
              <w:left w:val="single" w:color="auto" w:sz="4" w:space="0"/>
              <w:bottom w:val="single" w:color="auto" w:sz="4" w:space="0"/>
              <w:right w:val="single" w:color="auto" w:sz="4" w:space="0"/>
            </w:tcBorders>
            <w:vAlign w:val="center"/>
          </w:tcPr>
          <w:p w14:paraId="709D8212">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15</w:t>
            </w:r>
          </w:p>
        </w:tc>
        <w:tc>
          <w:tcPr>
            <w:tcW w:w="1430" w:type="dxa"/>
            <w:tcBorders>
              <w:top w:val="single" w:color="auto" w:sz="4" w:space="0"/>
              <w:left w:val="single" w:color="auto" w:sz="4" w:space="0"/>
              <w:bottom w:val="single" w:color="auto" w:sz="4" w:space="0"/>
              <w:right w:val="single" w:color="auto" w:sz="4" w:space="0"/>
            </w:tcBorders>
            <w:vAlign w:val="center"/>
          </w:tcPr>
          <w:p w14:paraId="1887626F">
            <w:pPr>
              <w:widowControl/>
              <w:spacing w:line="240" w:lineRule="exact"/>
              <w:jc w:val="left"/>
              <w:rPr>
                <w:rFonts w:ascii="仿宋" w:hAnsi="仿宋" w:eastAsia="仿宋" w:cs="仿宋"/>
                <w:color w:val="auto"/>
                <w:sz w:val="20"/>
                <w:szCs w:val="20"/>
              </w:rPr>
            </w:pPr>
          </w:p>
        </w:tc>
      </w:tr>
      <w:tr w14:paraId="0A7ED81D">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3E084B70">
            <w:pPr>
              <w:spacing w:line="240" w:lineRule="exact"/>
              <w:jc w:val="left"/>
              <w:rPr>
                <w:rFonts w:ascii="仿宋" w:hAnsi="仿宋" w:eastAsia="仿宋" w:cs="仿宋"/>
                <w:color w:val="auto"/>
                <w:sz w:val="20"/>
                <w:szCs w:val="20"/>
              </w:rPr>
            </w:pPr>
          </w:p>
        </w:tc>
        <w:tc>
          <w:tcPr>
            <w:tcW w:w="1076" w:type="dxa"/>
            <w:vMerge w:val="continue"/>
            <w:tcBorders>
              <w:top w:val="single" w:color="auto" w:sz="4" w:space="0"/>
              <w:left w:val="single" w:color="auto" w:sz="4" w:space="0"/>
              <w:bottom w:val="single" w:color="auto" w:sz="4" w:space="0"/>
              <w:right w:val="single" w:color="auto" w:sz="4" w:space="0"/>
            </w:tcBorders>
            <w:vAlign w:val="center"/>
          </w:tcPr>
          <w:p w14:paraId="33D614A8">
            <w:pPr>
              <w:jc w:val="center"/>
              <w:rPr>
                <w:rFonts w:ascii="仿宋" w:hAnsi="仿宋" w:eastAsia="仿宋" w:cs="仿宋"/>
                <w:color w:val="auto"/>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14:paraId="15010BD4">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时效指标</w:t>
            </w:r>
          </w:p>
        </w:tc>
        <w:tc>
          <w:tcPr>
            <w:tcW w:w="1221" w:type="dxa"/>
            <w:gridSpan w:val="2"/>
            <w:tcBorders>
              <w:top w:val="single" w:color="auto" w:sz="4" w:space="0"/>
              <w:left w:val="single" w:color="auto" w:sz="4" w:space="0"/>
              <w:bottom w:val="single" w:color="auto" w:sz="4" w:space="0"/>
              <w:right w:val="single" w:color="auto" w:sz="4" w:space="0"/>
            </w:tcBorders>
            <w:vAlign w:val="center"/>
          </w:tcPr>
          <w:p w14:paraId="595AC531">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完成及时性</w:t>
            </w:r>
          </w:p>
        </w:tc>
        <w:tc>
          <w:tcPr>
            <w:tcW w:w="1307" w:type="dxa"/>
            <w:tcBorders>
              <w:top w:val="single" w:color="auto" w:sz="4" w:space="0"/>
              <w:left w:val="single" w:color="auto" w:sz="4" w:space="0"/>
              <w:bottom w:val="single" w:color="auto" w:sz="4" w:space="0"/>
              <w:right w:val="single" w:color="auto" w:sz="4" w:space="0"/>
            </w:tcBorders>
            <w:vAlign w:val="center"/>
          </w:tcPr>
          <w:p w14:paraId="35D6957D">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lang w:eastAsia="zh-CN"/>
              </w:rPr>
              <w:t>2024</w:t>
            </w:r>
            <w:r>
              <w:rPr>
                <w:rFonts w:hint="eastAsia" w:ascii="仿宋" w:hAnsi="仿宋" w:eastAsia="仿宋" w:cs="仿宋"/>
                <w:color w:val="auto"/>
                <w:sz w:val="20"/>
                <w:szCs w:val="20"/>
              </w:rPr>
              <w:t>年12月之前</w:t>
            </w:r>
          </w:p>
        </w:tc>
        <w:tc>
          <w:tcPr>
            <w:tcW w:w="1266" w:type="dxa"/>
            <w:tcBorders>
              <w:top w:val="single" w:color="auto" w:sz="4" w:space="0"/>
              <w:left w:val="single" w:color="auto" w:sz="4" w:space="0"/>
              <w:bottom w:val="single" w:color="auto" w:sz="4" w:space="0"/>
              <w:right w:val="single" w:color="auto" w:sz="4" w:space="0"/>
            </w:tcBorders>
            <w:vAlign w:val="center"/>
          </w:tcPr>
          <w:p w14:paraId="6C9316CC">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lang w:eastAsia="zh-CN"/>
              </w:rPr>
              <w:t>2024</w:t>
            </w:r>
            <w:r>
              <w:rPr>
                <w:rFonts w:hint="eastAsia" w:ascii="仿宋" w:hAnsi="仿宋" w:eastAsia="仿宋" w:cs="仿宋"/>
                <w:color w:val="auto"/>
                <w:sz w:val="20"/>
                <w:szCs w:val="20"/>
              </w:rPr>
              <w:t>年12月之前</w:t>
            </w:r>
          </w:p>
        </w:tc>
        <w:tc>
          <w:tcPr>
            <w:tcW w:w="714" w:type="dxa"/>
            <w:tcBorders>
              <w:top w:val="single" w:color="auto" w:sz="4" w:space="0"/>
              <w:left w:val="single" w:color="auto" w:sz="4" w:space="0"/>
              <w:bottom w:val="single" w:color="auto" w:sz="4" w:space="0"/>
              <w:right w:val="single" w:color="auto" w:sz="4" w:space="0"/>
            </w:tcBorders>
            <w:vAlign w:val="center"/>
          </w:tcPr>
          <w:p w14:paraId="2DD110A0">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10</w:t>
            </w:r>
          </w:p>
        </w:tc>
        <w:tc>
          <w:tcPr>
            <w:tcW w:w="916" w:type="dxa"/>
            <w:tcBorders>
              <w:top w:val="single" w:color="auto" w:sz="4" w:space="0"/>
              <w:left w:val="single" w:color="auto" w:sz="4" w:space="0"/>
              <w:bottom w:val="single" w:color="auto" w:sz="4" w:space="0"/>
              <w:right w:val="single" w:color="auto" w:sz="4" w:space="0"/>
            </w:tcBorders>
            <w:vAlign w:val="center"/>
          </w:tcPr>
          <w:p w14:paraId="0D27F7A4">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10</w:t>
            </w:r>
          </w:p>
        </w:tc>
        <w:tc>
          <w:tcPr>
            <w:tcW w:w="1430" w:type="dxa"/>
            <w:tcBorders>
              <w:top w:val="single" w:color="auto" w:sz="4" w:space="0"/>
              <w:left w:val="single" w:color="auto" w:sz="4" w:space="0"/>
              <w:bottom w:val="single" w:color="auto" w:sz="4" w:space="0"/>
              <w:right w:val="single" w:color="auto" w:sz="4" w:space="0"/>
            </w:tcBorders>
            <w:vAlign w:val="center"/>
          </w:tcPr>
          <w:p w14:paraId="27F96882">
            <w:pPr>
              <w:widowControl/>
              <w:spacing w:line="240" w:lineRule="exact"/>
              <w:jc w:val="left"/>
              <w:rPr>
                <w:rFonts w:ascii="仿宋" w:hAnsi="仿宋" w:eastAsia="仿宋" w:cs="仿宋"/>
                <w:color w:val="auto"/>
                <w:sz w:val="20"/>
                <w:szCs w:val="20"/>
              </w:rPr>
            </w:pPr>
            <w:r>
              <w:rPr>
                <w:rFonts w:hint="eastAsia" w:ascii="仿宋" w:hAnsi="仿宋" w:eastAsia="仿宋" w:cs="仿宋"/>
                <w:color w:val="auto"/>
                <w:sz w:val="20"/>
                <w:szCs w:val="20"/>
              </w:rPr>
              <w:t>　</w:t>
            </w:r>
          </w:p>
        </w:tc>
      </w:tr>
      <w:tr w14:paraId="13F8AA25">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262661C5">
            <w:pPr>
              <w:spacing w:line="240" w:lineRule="exact"/>
              <w:jc w:val="left"/>
              <w:rPr>
                <w:rFonts w:ascii="仿宋" w:hAnsi="仿宋" w:eastAsia="仿宋" w:cs="仿宋"/>
                <w:color w:val="auto"/>
                <w:sz w:val="20"/>
                <w:szCs w:val="20"/>
              </w:rPr>
            </w:pPr>
          </w:p>
        </w:tc>
        <w:tc>
          <w:tcPr>
            <w:tcW w:w="1076" w:type="dxa"/>
            <w:vMerge w:val="restart"/>
            <w:tcBorders>
              <w:top w:val="single" w:color="auto" w:sz="4" w:space="0"/>
              <w:left w:val="single" w:color="auto" w:sz="4" w:space="0"/>
              <w:bottom w:val="single" w:color="auto" w:sz="4" w:space="0"/>
              <w:right w:val="single" w:color="auto" w:sz="4" w:space="0"/>
            </w:tcBorders>
            <w:vAlign w:val="center"/>
          </w:tcPr>
          <w:p w14:paraId="5FB2D73C">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 xml:space="preserve">效益指标（20分） </w:t>
            </w:r>
          </w:p>
        </w:tc>
        <w:tc>
          <w:tcPr>
            <w:tcW w:w="1074" w:type="dxa"/>
            <w:tcBorders>
              <w:top w:val="single" w:color="auto" w:sz="4" w:space="0"/>
              <w:left w:val="single" w:color="auto" w:sz="4" w:space="0"/>
              <w:bottom w:val="single" w:color="auto" w:sz="4" w:space="0"/>
              <w:right w:val="single" w:color="auto" w:sz="4" w:space="0"/>
            </w:tcBorders>
            <w:vAlign w:val="center"/>
          </w:tcPr>
          <w:p w14:paraId="3F37EA0C">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经济效益指标</w:t>
            </w:r>
          </w:p>
        </w:tc>
        <w:tc>
          <w:tcPr>
            <w:tcW w:w="1221" w:type="dxa"/>
            <w:gridSpan w:val="2"/>
            <w:tcBorders>
              <w:top w:val="single" w:color="auto" w:sz="4" w:space="0"/>
              <w:left w:val="single" w:color="auto" w:sz="4" w:space="0"/>
              <w:bottom w:val="single" w:color="auto" w:sz="4" w:space="0"/>
              <w:right w:val="single" w:color="auto" w:sz="4" w:space="0"/>
            </w:tcBorders>
            <w:vAlign w:val="center"/>
          </w:tcPr>
          <w:p w14:paraId="741900F5">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充分发挥资金效益</w:t>
            </w:r>
          </w:p>
        </w:tc>
        <w:tc>
          <w:tcPr>
            <w:tcW w:w="1307" w:type="dxa"/>
            <w:tcBorders>
              <w:top w:val="single" w:color="auto" w:sz="4" w:space="0"/>
              <w:left w:val="single" w:color="auto" w:sz="4" w:space="0"/>
              <w:bottom w:val="single" w:color="auto" w:sz="4" w:space="0"/>
              <w:right w:val="single" w:color="auto" w:sz="4" w:space="0"/>
            </w:tcBorders>
            <w:vAlign w:val="center"/>
          </w:tcPr>
          <w:p w14:paraId="3006521B">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效果明显</w:t>
            </w:r>
          </w:p>
        </w:tc>
        <w:tc>
          <w:tcPr>
            <w:tcW w:w="1266" w:type="dxa"/>
            <w:tcBorders>
              <w:top w:val="single" w:color="auto" w:sz="4" w:space="0"/>
              <w:left w:val="single" w:color="auto" w:sz="4" w:space="0"/>
              <w:bottom w:val="single" w:color="auto" w:sz="4" w:space="0"/>
              <w:right w:val="single" w:color="auto" w:sz="4" w:space="0"/>
            </w:tcBorders>
            <w:vAlign w:val="center"/>
          </w:tcPr>
          <w:p w14:paraId="08262562">
            <w:pPr>
              <w:widowControl/>
              <w:spacing w:line="240" w:lineRule="exact"/>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rPr>
              <w:t>效果</w:t>
            </w:r>
            <w:r>
              <w:rPr>
                <w:rFonts w:hint="eastAsia" w:ascii="仿宋" w:hAnsi="仿宋" w:eastAsia="仿宋" w:cs="仿宋"/>
                <w:color w:val="auto"/>
                <w:sz w:val="20"/>
                <w:szCs w:val="20"/>
                <w:lang w:eastAsia="zh-CN"/>
              </w:rPr>
              <w:t>良好</w:t>
            </w:r>
          </w:p>
        </w:tc>
        <w:tc>
          <w:tcPr>
            <w:tcW w:w="714" w:type="dxa"/>
            <w:tcBorders>
              <w:top w:val="single" w:color="auto" w:sz="4" w:space="0"/>
              <w:left w:val="single" w:color="auto" w:sz="4" w:space="0"/>
              <w:bottom w:val="single" w:color="auto" w:sz="4" w:space="0"/>
              <w:right w:val="single" w:color="auto" w:sz="4" w:space="0"/>
            </w:tcBorders>
            <w:vAlign w:val="center"/>
          </w:tcPr>
          <w:p w14:paraId="5B169E46">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5</w:t>
            </w:r>
          </w:p>
        </w:tc>
        <w:tc>
          <w:tcPr>
            <w:tcW w:w="916" w:type="dxa"/>
            <w:tcBorders>
              <w:top w:val="single" w:color="auto" w:sz="4" w:space="0"/>
              <w:left w:val="single" w:color="auto" w:sz="4" w:space="0"/>
              <w:bottom w:val="single" w:color="auto" w:sz="4" w:space="0"/>
              <w:right w:val="single" w:color="auto" w:sz="4" w:space="0"/>
            </w:tcBorders>
            <w:vAlign w:val="center"/>
          </w:tcPr>
          <w:p w14:paraId="3E8F3E31">
            <w:pPr>
              <w:widowControl/>
              <w:spacing w:line="240" w:lineRule="exact"/>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val="en-US" w:eastAsia="zh-CN"/>
              </w:rPr>
              <w:t>3</w:t>
            </w:r>
          </w:p>
        </w:tc>
        <w:tc>
          <w:tcPr>
            <w:tcW w:w="1430" w:type="dxa"/>
            <w:tcBorders>
              <w:top w:val="single" w:color="auto" w:sz="4" w:space="0"/>
              <w:left w:val="single" w:color="auto" w:sz="4" w:space="0"/>
              <w:bottom w:val="single" w:color="auto" w:sz="4" w:space="0"/>
              <w:right w:val="single" w:color="auto" w:sz="4" w:space="0"/>
            </w:tcBorders>
            <w:vAlign w:val="center"/>
          </w:tcPr>
          <w:p w14:paraId="2E863DF5">
            <w:pPr>
              <w:widowControl/>
              <w:spacing w:line="240" w:lineRule="exact"/>
              <w:jc w:val="left"/>
              <w:rPr>
                <w:rFonts w:ascii="仿宋" w:hAnsi="仿宋" w:eastAsia="仿宋" w:cs="仿宋"/>
                <w:color w:val="auto"/>
                <w:sz w:val="20"/>
                <w:szCs w:val="20"/>
              </w:rPr>
            </w:pPr>
            <w:r>
              <w:rPr>
                <w:rFonts w:hint="eastAsia" w:ascii="仿宋" w:hAnsi="仿宋" w:eastAsia="仿宋" w:cs="仿宋"/>
                <w:color w:val="auto"/>
                <w:sz w:val="20"/>
                <w:szCs w:val="20"/>
              </w:rPr>
              <w:t>　</w:t>
            </w:r>
          </w:p>
        </w:tc>
      </w:tr>
      <w:tr w14:paraId="4FABC3C8">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07B7A790">
            <w:pPr>
              <w:spacing w:line="240" w:lineRule="exact"/>
              <w:jc w:val="left"/>
              <w:rPr>
                <w:rFonts w:ascii="仿宋" w:hAnsi="仿宋" w:eastAsia="仿宋" w:cs="仿宋"/>
                <w:color w:val="auto"/>
                <w:sz w:val="20"/>
                <w:szCs w:val="20"/>
              </w:rPr>
            </w:pPr>
          </w:p>
        </w:tc>
        <w:tc>
          <w:tcPr>
            <w:tcW w:w="1076" w:type="dxa"/>
            <w:vMerge w:val="continue"/>
            <w:tcBorders>
              <w:top w:val="single" w:color="auto" w:sz="4" w:space="0"/>
              <w:left w:val="single" w:color="auto" w:sz="4" w:space="0"/>
              <w:bottom w:val="single" w:color="auto" w:sz="4" w:space="0"/>
              <w:right w:val="single" w:color="auto" w:sz="4" w:space="0"/>
            </w:tcBorders>
            <w:vAlign w:val="center"/>
          </w:tcPr>
          <w:p w14:paraId="3D9294CB">
            <w:pPr>
              <w:jc w:val="center"/>
              <w:rPr>
                <w:rFonts w:ascii="仿宋" w:hAnsi="仿宋" w:eastAsia="仿宋" w:cs="仿宋"/>
                <w:color w:val="auto"/>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14:paraId="67BFEB63">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社会效益指标</w:t>
            </w:r>
          </w:p>
        </w:tc>
        <w:tc>
          <w:tcPr>
            <w:tcW w:w="1221" w:type="dxa"/>
            <w:gridSpan w:val="2"/>
            <w:tcBorders>
              <w:top w:val="single" w:color="auto" w:sz="4" w:space="0"/>
              <w:left w:val="single" w:color="auto" w:sz="4" w:space="0"/>
              <w:bottom w:val="single" w:color="auto" w:sz="4" w:space="0"/>
              <w:right w:val="single" w:color="auto" w:sz="4" w:space="0"/>
            </w:tcBorders>
            <w:vAlign w:val="center"/>
          </w:tcPr>
          <w:p w14:paraId="5F6A54F8">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保障各项业务工作顺利开展</w:t>
            </w:r>
          </w:p>
        </w:tc>
        <w:tc>
          <w:tcPr>
            <w:tcW w:w="1307" w:type="dxa"/>
            <w:tcBorders>
              <w:top w:val="single" w:color="auto" w:sz="4" w:space="0"/>
              <w:left w:val="single" w:color="auto" w:sz="4" w:space="0"/>
              <w:bottom w:val="single" w:color="auto" w:sz="4" w:space="0"/>
              <w:right w:val="single" w:color="auto" w:sz="4" w:space="0"/>
            </w:tcBorders>
            <w:vAlign w:val="center"/>
          </w:tcPr>
          <w:p w14:paraId="34B045DD">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效果明显</w:t>
            </w:r>
          </w:p>
        </w:tc>
        <w:tc>
          <w:tcPr>
            <w:tcW w:w="1266" w:type="dxa"/>
            <w:tcBorders>
              <w:top w:val="single" w:color="auto" w:sz="4" w:space="0"/>
              <w:left w:val="single" w:color="auto" w:sz="4" w:space="0"/>
              <w:bottom w:val="single" w:color="auto" w:sz="4" w:space="0"/>
              <w:right w:val="single" w:color="auto" w:sz="4" w:space="0"/>
            </w:tcBorders>
            <w:vAlign w:val="center"/>
          </w:tcPr>
          <w:p w14:paraId="50C21508">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效果明显</w:t>
            </w:r>
          </w:p>
        </w:tc>
        <w:tc>
          <w:tcPr>
            <w:tcW w:w="714" w:type="dxa"/>
            <w:tcBorders>
              <w:top w:val="single" w:color="auto" w:sz="4" w:space="0"/>
              <w:left w:val="single" w:color="auto" w:sz="4" w:space="0"/>
              <w:bottom w:val="single" w:color="auto" w:sz="4" w:space="0"/>
              <w:right w:val="single" w:color="auto" w:sz="4" w:space="0"/>
            </w:tcBorders>
            <w:vAlign w:val="center"/>
          </w:tcPr>
          <w:p w14:paraId="1C81EFD7">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5</w:t>
            </w:r>
          </w:p>
        </w:tc>
        <w:tc>
          <w:tcPr>
            <w:tcW w:w="916" w:type="dxa"/>
            <w:tcBorders>
              <w:top w:val="single" w:color="auto" w:sz="4" w:space="0"/>
              <w:left w:val="single" w:color="auto" w:sz="4" w:space="0"/>
              <w:bottom w:val="single" w:color="auto" w:sz="4" w:space="0"/>
              <w:right w:val="single" w:color="auto" w:sz="4" w:space="0"/>
            </w:tcBorders>
            <w:vAlign w:val="center"/>
          </w:tcPr>
          <w:p w14:paraId="4CC5959D">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5</w:t>
            </w:r>
          </w:p>
        </w:tc>
        <w:tc>
          <w:tcPr>
            <w:tcW w:w="1430" w:type="dxa"/>
            <w:tcBorders>
              <w:top w:val="single" w:color="auto" w:sz="4" w:space="0"/>
              <w:left w:val="single" w:color="auto" w:sz="4" w:space="0"/>
              <w:bottom w:val="single" w:color="auto" w:sz="4" w:space="0"/>
              <w:right w:val="single" w:color="auto" w:sz="4" w:space="0"/>
            </w:tcBorders>
            <w:vAlign w:val="center"/>
          </w:tcPr>
          <w:p w14:paraId="74AACA6F">
            <w:pPr>
              <w:widowControl/>
              <w:spacing w:line="240" w:lineRule="exact"/>
              <w:jc w:val="left"/>
              <w:rPr>
                <w:rFonts w:ascii="仿宋" w:hAnsi="仿宋" w:eastAsia="仿宋" w:cs="仿宋"/>
                <w:color w:val="auto"/>
                <w:sz w:val="20"/>
                <w:szCs w:val="20"/>
              </w:rPr>
            </w:pPr>
            <w:r>
              <w:rPr>
                <w:rFonts w:hint="eastAsia" w:ascii="仿宋" w:hAnsi="仿宋" w:eastAsia="仿宋" w:cs="仿宋"/>
                <w:color w:val="auto"/>
                <w:sz w:val="20"/>
                <w:szCs w:val="20"/>
              </w:rPr>
              <w:t>　</w:t>
            </w:r>
          </w:p>
        </w:tc>
      </w:tr>
      <w:tr w14:paraId="28976DB7">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6CD5577C">
            <w:pPr>
              <w:spacing w:line="240" w:lineRule="exact"/>
              <w:jc w:val="left"/>
              <w:rPr>
                <w:rFonts w:ascii="仿宋" w:hAnsi="仿宋" w:eastAsia="仿宋" w:cs="仿宋"/>
                <w:color w:val="auto"/>
                <w:sz w:val="20"/>
                <w:szCs w:val="20"/>
              </w:rPr>
            </w:pPr>
          </w:p>
        </w:tc>
        <w:tc>
          <w:tcPr>
            <w:tcW w:w="1076" w:type="dxa"/>
            <w:vMerge w:val="continue"/>
            <w:tcBorders>
              <w:top w:val="single" w:color="auto" w:sz="4" w:space="0"/>
              <w:left w:val="single" w:color="auto" w:sz="4" w:space="0"/>
              <w:bottom w:val="single" w:color="auto" w:sz="4" w:space="0"/>
              <w:right w:val="single" w:color="auto" w:sz="4" w:space="0"/>
            </w:tcBorders>
            <w:vAlign w:val="center"/>
          </w:tcPr>
          <w:p w14:paraId="74534757">
            <w:pPr>
              <w:jc w:val="center"/>
              <w:rPr>
                <w:rFonts w:ascii="仿宋" w:hAnsi="仿宋" w:eastAsia="仿宋" w:cs="仿宋"/>
                <w:color w:val="auto"/>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14:paraId="41ABF003">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生态效益指标</w:t>
            </w:r>
          </w:p>
        </w:tc>
        <w:tc>
          <w:tcPr>
            <w:tcW w:w="1221" w:type="dxa"/>
            <w:gridSpan w:val="2"/>
            <w:tcBorders>
              <w:top w:val="single" w:color="auto" w:sz="4" w:space="0"/>
              <w:left w:val="single" w:color="auto" w:sz="4" w:space="0"/>
              <w:bottom w:val="single" w:color="auto" w:sz="4" w:space="0"/>
              <w:right w:val="single" w:color="auto" w:sz="4" w:space="0"/>
            </w:tcBorders>
            <w:vAlign w:val="center"/>
          </w:tcPr>
          <w:p w14:paraId="739A404E">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白蚁防治工作减少白蚁对生态环境的破坏</w:t>
            </w:r>
          </w:p>
        </w:tc>
        <w:tc>
          <w:tcPr>
            <w:tcW w:w="1307" w:type="dxa"/>
            <w:tcBorders>
              <w:top w:val="single" w:color="auto" w:sz="4" w:space="0"/>
              <w:left w:val="single" w:color="auto" w:sz="4" w:space="0"/>
              <w:bottom w:val="single" w:color="auto" w:sz="4" w:space="0"/>
              <w:right w:val="single" w:color="auto" w:sz="4" w:space="0"/>
            </w:tcBorders>
            <w:vAlign w:val="center"/>
          </w:tcPr>
          <w:p w14:paraId="47FD7226">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效果明显</w:t>
            </w:r>
          </w:p>
        </w:tc>
        <w:tc>
          <w:tcPr>
            <w:tcW w:w="1266" w:type="dxa"/>
            <w:tcBorders>
              <w:top w:val="single" w:color="auto" w:sz="4" w:space="0"/>
              <w:left w:val="single" w:color="auto" w:sz="4" w:space="0"/>
              <w:bottom w:val="single" w:color="auto" w:sz="4" w:space="0"/>
              <w:right w:val="single" w:color="auto" w:sz="4" w:space="0"/>
            </w:tcBorders>
            <w:vAlign w:val="center"/>
          </w:tcPr>
          <w:p w14:paraId="47C0E655">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效果明显</w:t>
            </w:r>
          </w:p>
        </w:tc>
        <w:tc>
          <w:tcPr>
            <w:tcW w:w="714" w:type="dxa"/>
            <w:tcBorders>
              <w:top w:val="single" w:color="auto" w:sz="4" w:space="0"/>
              <w:left w:val="single" w:color="auto" w:sz="4" w:space="0"/>
              <w:bottom w:val="single" w:color="auto" w:sz="4" w:space="0"/>
              <w:right w:val="single" w:color="auto" w:sz="4" w:space="0"/>
            </w:tcBorders>
            <w:vAlign w:val="center"/>
          </w:tcPr>
          <w:p w14:paraId="3FC9555E">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5</w:t>
            </w:r>
          </w:p>
        </w:tc>
        <w:tc>
          <w:tcPr>
            <w:tcW w:w="916" w:type="dxa"/>
            <w:tcBorders>
              <w:top w:val="single" w:color="auto" w:sz="4" w:space="0"/>
              <w:left w:val="single" w:color="auto" w:sz="4" w:space="0"/>
              <w:bottom w:val="single" w:color="auto" w:sz="4" w:space="0"/>
              <w:right w:val="single" w:color="auto" w:sz="4" w:space="0"/>
            </w:tcBorders>
            <w:vAlign w:val="center"/>
          </w:tcPr>
          <w:p w14:paraId="15724BB6">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5</w:t>
            </w:r>
          </w:p>
        </w:tc>
        <w:tc>
          <w:tcPr>
            <w:tcW w:w="1430" w:type="dxa"/>
            <w:tcBorders>
              <w:top w:val="single" w:color="auto" w:sz="4" w:space="0"/>
              <w:left w:val="single" w:color="auto" w:sz="4" w:space="0"/>
              <w:bottom w:val="single" w:color="auto" w:sz="4" w:space="0"/>
              <w:right w:val="single" w:color="auto" w:sz="4" w:space="0"/>
            </w:tcBorders>
            <w:vAlign w:val="center"/>
          </w:tcPr>
          <w:p w14:paraId="54F842B3">
            <w:pPr>
              <w:widowControl/>
              <w:spacing w:line="240" w:lineRule="exact"/>
              <w:jc w:val="left"/>
              <w:rPr>
                <w:rFonts w:ascii="仿宋" w:hAnsi="仿宋" w:eastAsia="仿宋" w:cs="仿宋"/>
                <w:color w:val="auto"/>
                <w:sz w:val="20"/>
                <w:szCs w:val="20"/>
              </w:rPr>
            </w:pPr>
            <w:r>
              <w:rPr>
                <w:rFonts w:hint="eastAsia" w:ascii="仿宋" w:hAnsi="仿宋" w:eastAsia="仿宋" w:cs="仿宋"/>
                <w:color w:val="auto"/>
                <w:sz w:val="20"/>
                <w:szCs w:val="20"/>
              </w:rPr>
              <w:t>　</w:t>
            </w:r>
          </w:p>
        </w:tc>
      </w:tr>
      <w:tr w14:paraId="727E17A9">
        <w:tblPrEx>
          <w:tblCellMar>
            <w:top w:w="0" w:type="dxa"/>
            <w:left w:w="108" w:type="dxa"/>
            <w:bottom w:w="0" w:type="dxa"/>
            <w:right w:w="108" w:type="dxa"/>
          </w:tblCellMar>
        </w:tblPrEx>
        <w:trPr>
          <w:trHeight w:val="330"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403A455F">
            <w:pPr>
              <w:spacing w:line="240" w:lineRule="exact"/>
              <w:jc w:val="left"/>
              <w:rPr>
                <w:rFonts w:ascii="仿宋" w:hAnsi="仿宋" w:eastAsia="仿宋" w:cs="仿宋"/>
                <w:color w:val="auto"/>
                <w:sz w:val="20"/>
                <w:szCs w:val="20"/>
              </w:rPr>
            </w:pPr>
          </w:p>
        </w:tc>
        <w:tc>
          <w:tcPr>
            <w:tcW w:w="1076" w:type="dxa"/>
            <w:vMerge w:val="continue"/>
            <w:tcBorders>
              <w:top w:val="single" w:color="auto" w:sz="4" w:space="0"/>
              <w:left w:val="single" w:color="auto" w:sz="4" w:space="0"/>
              <w:bottom w:val="single" w:color="auto" w:sz="4" w:space="0"/>
              <w:right w:val="single" w:color="auto" w:sz="4" w:space="0"/>
            </w:tcBorders>
            <w:vAlign w:val="center"/>
          </w:tcPr>
          <w:p w14:paraId="75EA413C">
            <w:pPr>
              <w:jc w:val="center"/>
              <w:rPr>
                <w:rFonts w:ascii="仿宋" w:hAnsi="仿宋" w:eastAsia="仿宋" w:cs="仿宋"/>
                <w:color w:val="auto"/>
                <w:sz w:val="20"/>
                <w:szCs w:val="20"/>
              </w:rPr>
            </w:pPr>
          </w:p>
        </w:tc>
        <w:tc>
          <w:tcPr>
            <w:tcW w:w="1074" w:type="dxa"/>
            <w:tcBorders>
              <w:top w:val="single" w:color="auto" w:sz="4" w:space="0"/>
              <w:left w:val="single" w:color="auto" w:sz="4" w:space="0"/>
              <w:bottom w:val="single" w:color="auto" w:sz="4" w:space="0"/>
              <w:right w:val="single" w:color="auto" w:sz="4" w:space="0"/>
            </w:tcBorders>
            <w:vAlign w:val="center"/>
          </w:tcPr>
          <w:p w14:paraId="4F77C3CC">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可持续影响指标</w:t>
            </w:r>
          </w:p>
        </w:tc>
        <w:tc>
          <w:tcPr>
            <w:tcW w:w="1221" w:type="dxa"/>
            <w:gridSpan w:val="2"/>
            <w:tcBorders>
              <w:top w:val="single" w:color="auto" w:sz="4" w:space="0"/>
              <w:left w:val="single" w:color="auto" w:sz="4" w:space="0"/>
              <w:bottom w:val="single" w:color="auto" w:sz="4" w:space="0"/>
              <w:right w:val="single" w:color="auto" w:sz="4" w:space="0"/>
            </w:tcBorders>
            <w:vAlign w:val="center"/>
          </w:tcPr>
          <w:p w14:paraId="47155221">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建立有效的内部控制管理制度，提本增效</w:t>
            </w:r>
          </w:p>
        </w:tc>
        <w:tc>
          <w:tcPr>
            <w:tcW w:w="1307" w:type="dxa"/>
            <w:tcBorders>
              <w:top w:val="single" w:color="auto" w:sz="4" w:space="0"/>
              <w:left w:val="single" w:color="auto" w:sz="4" w:space="0"/>
              <w:bottom w:val="single" w:color="auto" w:sz="4" w:space="0"/>
              <w:right w:val="single" w:color="auto" w:sz="4" w:space="0"/>
            </w:tcBorders>
            <w:vAlign w:val="center"/>
          </w:tcPr>
          <w:p w14:paraId="465944A6">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效果明显</w:t>
            </w:r>
          </w:p>
        </w:tc>
        <w:tc>
          <w:tcPr>
            <w:tcW w:w="1266" w:type="dxa"/>
            <w:tcBorders>
              <w:top w:val="single" w:color="auto" w:sz="4" w:space="0"/>
              <w:left w:val="single" w:color="auto" w:sz="4" w:space="0"/>
              <w:bottom w:val="single" w:color="auto" w:sz="4" w:space="0"/>
              <w:right w:val="single" w:color="auto" w:sz="4" w:space="0"/>
            </w:tcBorders>
            <w:vAlign w:val="center"/>
          </w:tcPr>
          <w:p w14:paraId="252DA04C">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效果明显</w:t>
            </w:r>
          </w:p>
        </w:tc>
        <w:tc>
          <w:tcPr>
            <w:tcW w:w="714" w:type="dxa"/>
            <w:tcBorders>
              <w:top w:val="single" w:color="auto" w:sz="4" w:space="0"/>
              <w:left w:val="single" w:color="auto" w:sz="4" w:space="0"/>
              <w:bottom w:val="single" w:color="auto" w:sz="4" w:space="0"/>
              <w:right w:val="single" w:color="auto" w:sz="4" w:space="0"/>
            </w:tcBorders>
            <w:vAlign w:val="center"/>
          </w:tcPr>
          <w:p w14:paraId="224948AA">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5</w:t>
            </w:r>
          </w:p>
        </w:tc>
        <w:tc>
          <w:tcPr>
            <w:tcW w:w="916" w:type="dxa"/>
            <w:tcBorders>
              <w:top w:val="single" w:color="auto" w:sz="4" w:space="0"/>
              <w:left w:val="single" w:color="auto" w:sz="4" w:space="0"/>
              <w:bottom w:val="single" w:color="auto" w:sz="4" w:space="0"/>
              <w:right w:val="single" w:color="auto" w:sz="4" w:space="0"/>
            </w:tcBorders>
            <w:vAlign w:val="center"/>
          </w:tcPr>
          <w:p w14:paraId="01B46E15">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5</w:t>
            </w:r>
          </w:p>
        </w:tc>
        <w:tc>
          <w:tcPr>
            <w:tcW w:w="1430" w:type="dxa"/>
            <w:tcBorders>
              <w:top w:val="single" w:color="auto" w:sz="4" w:space="0"/>
              <w:left w:val="single" w:color="auto" w:sz="4" w:space="0"/>
              <w:bottom w:val="single" w:color="auto" w:sz="4" w:space="0"/>
              <w:right w:val="single" w:color="auto" w:sz="4" w:space="0"/>
            </w:tcBorders>
            <w:vAlign w:val="center"/>
          </w:tcPr>
          <w:p w14:paraId="5EE368D7">
            <w:pPr>
              <w:widowControl/>
              <w:spacing w:line="240" w:lineRule="exact"/>
              <w:jc w:val="left"/>
              <w:rPr>
                <w:rFonts w:ascii="仿宋" w:hAnsi="仿宋" w:eastAsia="仿宋" w:cs="仿宋"/>
                <w:color w:val="auto"/>
                <w:sz w:val="20"/>
                <w:szCs w:val="20"/>
              </w:rPr>
            </w:pPr>
            <w:r>
              <w:rPr>
                <w:rFonts w:hint="eastAsia" w:ascii="仿宋" w:hAnsi="仿宋" w:eastAsia="仿宋" w:cs="仿宋"/>
                <w:color w:val="auto"/>
                <w:sz w:val="20"/>
                <w:szCs w:val="20"/>
              </w:rPr>
              <w:t>　</w:t>
            </w:r>
          </w:p>
        </w:tc>
      </w:tr>
      <w:tr w14:paraId="736978BD">
        <w:tblPrEx>
          <w:tblCellMar>
            <w:top w:w="0" w:type="dxa"/>
            <w:left w:w="108" w:type="dxa"/>
            <w:bottom w:w="0" w:type="dxa"/>
            <w:right w:w="108" w:type="dxa"/>
          </w:tblCellMar>
        </w:tblPrEx>
        <w:trPr>
          <w:trHeight w:val="270" w:hRule="atLeast"/>
          <w:jc w:val="center"/>
        </w:trPr>
        <w:tc>
          <w:tcPr>
            <w:tcW w:w="1075" w:type="dxa"/>
            <w:vMerge w:val="continue"/>
            <w:tcBorders>
              <w:top w:val="single" w:color="auto" w:sz="4" w:space="0"/>
              <w:left w:val="single" w:color="auto" w:sz="4" w:space="0"/>
              <w:bottom w:val="single" w:color="auto" w:sz="4" w:space="0"/>
              <w:right w:val="single" w:color="auto" w:sz="4" w:space="0"/>
            </w:tcBorders>
            <w:vAlign w:val="center"/>
          </w:tcPr>
          <w:p w14:paraId="18476CC6">
            <w:pPr>
              <w:spacing w:line="240" w:lineRule="exact"/>
              <w:jc w:val="left"/>
              <w:rPr>
                <w:rFonts w:ascii="仿宋" w:hAnsi="仿宋" w:eastAsia="仿宋" w:cs="仿宋"/>
                <w:color w:val="auto"/>
                <w:sz w:val="20"/>
                <w:szCs w:val="20"/>
              </w:rPr>
            </w:pPr>
          </w:p>
        </w:tc>
        <w:tc>
          <w:tcPr>
            <w:tcW w:w="1076" w:type="dxa"/>
            <w:tcBorders>
              <w:top w:val="single" w:color="auto" w:sz="4" w:space="0"/>
              <w:left w:val="single" w:color="auto" w:sz="4" w:space="0"/>
              <w:bottom w:val="single" w:color="auto" w:sz="4" w:space="0"/>
              <w:right w:val="single" w:color="auto" w:sz="4" w:space="0"/>
            </w:tcBorders>
            <w:vAlign w:val="center"/>
          </w:tcPr>
          <w:p w14:paraId="1133577C">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满意度指标（10分）</w:t>
            </w:r>
          </w:p>
        </w:tc>
        <w:tc>
          <w:tcPr>
            <w:tcW w:w="1074" w:type="dxa"/>
            <w:tcBorders>
              <w:top w:val="single" w:color="auto" w:sz="4" w:space="0"/>
              <w:left w:val="single" w:color="auto" w:sz="4" w:space="0"/>
              <w:bottom w:val="single" w:color="auto" w:sz="4" w:space="0"/>
              <w:right w:val="single" w:color="auto" w:sz="4" w:space="0"/>
            </w:tcBorders>
            <w:vAlign w:val="center"/>
          </w:tcPr>
          <w:p w14:paraId="7AAAC51B">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服务对象满意度指标</w:t>
            </w:r>
          </w:p>
        </w:tc>
        <w:tc>
          <w:tcPr>
            <w:tcW w:w="1221" w:type="dxa"/>
            <w:gridSpan w:val="2"/>
            <w:tcBorders>
              <w:top w:val="single" w:color="auto" w:sz="4" w:space="0"/>
              <w:left w:val="single" w:color="auto" w:sz="4" w:space="0"/>
              <w:bottom w:val="single" w:color="auto" w:sz="4" w:space="0"/>
              <w:right w:val="single" w:color="auto" w:sz="4" w:space="0"/>
            </w:tcBorders>
            <w:vAlign w:val="center"/>
          </w:tcPr>
          <w:p w14:paraId="6CA63771">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受益群众及职工满意度</w:t>
            </w:r>
          </w:p>
        </w:tc>
        <w:tc>
          <w:tcPr>
            <w:tcW w:w="1307" w:type="dxa"/>
            <w:tcBorders>
              <w:top w:val="single" w:color="auto" w:sz="4" w:space="0"/>
              <w:left w:val="single" w:color="auto" w:sz="4" w:space="0"/>
              <w:bottom w:val="single" w:color="auto" w:sz="4" w:space="0"/>
              <w:right w:val="single" w:color="auto" w:sz="4" w:space="0"/>
            </w:tcBorders>
            <w:vAlign w:val="center"/>
          </w:tcPr>
          <w:p w14:paraId="74DDB620">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90%</w:t>
            </w:r>
          </w:p>
        </w:tc>
        <w:tc>
          <w:tcPr>
            <w:tcW w:w="1266" w:type="dxa"/>
            <w:tcBorders>
              <w:top w:val="single" w:color="auto" w:sz="4" w:space="0"/>
              <w:left w:val="single" w:color="auto" w:sz="4" w:space="0"/>
              <w:bottom w:val="single" w:color="auto" w:sz="4" w:space="0"/>
              <w:right w:val="single" w:color="auto" w:sz="4" w:space="0"/>
            </w:tcBorders>
            <w:vAlign w:val="center"/>
          </w:tcPr>
          <w:p w14:paraId="761D2323">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95%</w:t>
            </w:r>
          </w:p>
        </w:tc>
        <w:tc>
          <w:tcPr>
            <w:tcW w:w="714" w:type="dxa"/>
            <w:tcBorders>
              <w:top w:val="single" w:color="auto" w:sz="4" w:space="0"/>
              <w:left w:val="single" w:color="auto" w:sz="4" w:space="0"/>
              <w:bottom w:val="single" w:color="auto" w:sz="4" w:space="0"/>
              <w:right w:val="single" w:color="auto" w:sz="4" w:space="0"/>
            </w:tcBorders>
            <w:vAlign w:val="center"/>
          </w:tcPr>
          <w:p w14:paraId="5F283516">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10</w:t>
            </w:r>
          </w:p>
        </w:tc>
        <w:tc>
          <w:tcPr>
            <w:tcW w:w="916" w:type="dxa"/>
            <w:tcBorders>
              <w:top w:val="single" w:color="auto" w:sz="4" w:space="0"/>
              <w:left w:val="single" w:color="auto" w:sz="4" w:space="0"/>
              <w:bottom w:val="single" w:color="auto" w:sz="4" w:space="0"/>
              <w:right w:val="single" w:color="auto" w:sz="4" w:space="0"/>
            </w:tcBorders>
            <w:vAlign w:val="center"/>
          </w:tcPr>
          <w:p w14:paraId="220E71CD">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10</w:t>
            </w:r>
          </w:p>
        </w:tc>
        <w:tc>
          <w:tcPr>
            <w:tcW w:w="1430" w:type="dxa"/>
            <w:tcBorders>
              <w:top w:val="single" w:color="auto" w:sz="4" w:space="0"/>
              <w:left w:val="single" w:color="auto" w:sz="4" w:space="0"/>
              <w:bottom w:val="single" w:color="auto" w:sz="4" w:space="0"/>
              <w:right w:val="single" w:color="auto" w:sz="4" w:space="0"/>
            </w:tcBorders>
            <w:vAlign w:val="center"/>
          </w:tcPr>
          <w:p w14:paraId="7B48A283">
            <w:pPr>
              <w:widowControl/>
              <w:spacing w:line="240" w:lineRule="exact"/>
              <w:jc w:val="left"/>
              <w:rPr>
                <w:rFonts w:ascii="仿宋" w:hAnsi="仿宋" w:eastAsia="仿宋" w:cs="仿宋"/>
                <w:color w:val="auto"/>
                <w:sz w:val="20"/>
                <w:szCs w:val="20"/>
              </w:rPr>
            </w:pPr>
            <w:r>
              <w:rPr>
                <w:rFonts w:hint="eastAsia" w:ascii="仿宋" w:hAnsi="仿宋" w:eastAsia="仿宋" w:cs="仿宋"/>
                <w:color w:val="auto"/>
                <w:sz w:val="20"/>
                <w:szCs w:val="20"/>
              </w:rPr>
              <w:t>　</w:t>
            </w:r>
          </w:p>
        </w:tc>
      </w:tr>
      <w:tr w14:paraId="64FDD522">
        <w:tblPrEx>
          <w:tblCellMar>
            <w:top w:w="0" w:type="dxa"/>
            <w:left w:w="108" w:type="dxa"/>
            <w:bottom w:w="0" w:type="dxa"/>
            <w:right w:w="108" w:type="dxa"/>
          </w:tblCellMar>
        </w:tblPrEx>
        <w:trPr>
          <w:trHeight w:val="270" w:hRule="atLeast"/>
          <w:jc w:val="center"/>
        </w:trPr>
        <w:tc>
          <w:tcPr>
            <w:tcW w:w="7019" w:type="dxa"/>
            <w:gridSpan w:val="7"/>
            <w:tcBorders>
              <w:top w:val="single" w:color="auto" w:sz="4" w:space="0"/>
              <w:left w:val="single" w:color="auto" w:sz="4" w:space="0"/>
              <w:bottom w:val="single" w:color="auto" w:sz="4" w:space="0"/>
              <w:right w:val="single" w:color="auto" w:sz="4" w:space="0"/>
            </w:tcBorders>
            <w:vAlign w:val="center"/>
          </w:tcPr>
          <w:p w14:paraId="593081B1">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总分</w:t>
            </w:r>
          </w:p>
        </w:tc>
        <w:tc>
          <w:tcPr>
            <w:tcW w:w="714" w:type="dxa"/>
            <w:tcBorders>
              <w:top w:val="single" w:color="auto" w:sz="4" w:space="0"/>
              <w:left w:val="single" w:color="auto" w:sz="4" w:space="0"/>
              <w:bottom w:val="single" w:color="auto" w:sz="4" w:space="0"/>
              <w:right w:val="single" w:color="auto" w:sz="4" w:space="0"/>
            </w:tcBorders>
            <w:vAlign w:val="center"/>
          </w:tcPr>
          <w:p w14:paraId="7C28A57A">
            <w:pPr>
              <w:widowControl/>
              <w:spacing w:line="240" w:lineRule="exact"/>
              <w:jc w:val="center"/>
              <w:rPr>
                <w:rFonts w:ascii="仿宋" w:hAnsi="仿宋" w:eastAsia="仿宋" w:cs="仿宋"/>
                <w:color w:val="auto"/>
                <w:sz w:val="20"/>
                <w:szCs w:val="20"/>
              </w:rPr>
            </w:pPr>
            <w:r>
              <w:rPr>
                <w:rFonts w:hint="eastAsia" w:ascii="仿宋" w:hAnsi="仿宋" w:eastAsia="仿宋" w:cs="仿宋"/>
                <w:color w:val="auto"/>
                <w:sz w:val="20"/>
                <w:szCs w:val="20"/>
              </w:rPr>
              <w:t>100</w:t>
            </w:r>
          </w:p>
        </w:tc>
        <w:tc>
          <w:tcPr>
            <w:tcW w:w="916" w:type="dxa"/>
            <w:tcBorders>
              <w:top w:val="single" w:color="auto" w:sz="4" w:space="0"/>
              <w:left w:val="single" w:color="auto" w:sz="4" w:space="0"/>
              <w:bottom w:val="single" w:color="auto" w:sz="4" w:space="0"/>
              <w:right w:val="single" w:color="auto" w:sz="4" w:space="0"/>
            </w:tcBorders>
            <w:vAlign w:val="center"/>
          </w:tcPr>
          <w:p w14:paraId="461D8D33">
            <w:pPr>
              <w:widowControl/>
              <w:spacing w:line="240" w:lineRule="exact"/>
              <w:jc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95.95</w:t>
            </w:r>
          </w:p>
        </w:tc>
        <w:tc>
          <w:tcPr>
            <w:tcW w:w="1430" w:type="dxa"/>
            <w:tcBorders>
              <w:top w:val="single" w:color="auto" w:sz="4" w:space="0"/>
              <w:left w:val="single" w:color="auto" w:sz="4" w:space="0"/>
              <w:bottom w:val="single" w:color="auto" w:sz="4" w:space="0"/>
              <w:right w:val="single" w:color="auto" w:sz="4" w:space="0"/>
            </w:tcBorders>
            <w:vAlign w:val="center"/>
          </w:tcPr>
          <w:p w14:paraId="2CCA3973">
            <w:pPr>
              <w:widowControl/>
              <w:spacing w:line="240" w:lineRule="exact"/>
              <w:jc w:val="left"/>
              <w:rPr>
                <w:rFonts w:ascii="仿宋" w:hAnsi="仿宋" w:eastAsia="仿宋" w:cs="仿宋"/>
                <w:color w:val="auto"/>
                <w:sz w:val="20"/>
                <w:szCs w:val="20"/>
              </w:rPr>
            </w:pPr>
            <w:r>
              <w:rPr>
                <w:rFonts w:hint="eastAsia" w:ascii="仿宋" w:hAnsi="仿宋" w:eastAsia="仿宋" w:cs="仿宋"/>
                <w:color w:val="auto"/>
                <w:sz w:val="20"/>
                <w:szCs w:val="20"/>
              </w:rPr>
              <w:t>　</w:t>
            </w:r>
          </w:p>
        </w:tc>
      </w:tr>
    </w:tbl>
    <w:p w14:paraId="749EED8A">
      <w:pPr>
        <w:tabs>
          <w:tab w:val="left" w:pos="673"/>
        </w:tabs>
        <w:jc w:val="left"/>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汉仪书宋二S">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F05BF">
    <w:pPr>
      <w:spacing w:line="320" w:lineRule="exact"/>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6D0BE"/>
    <w:multiLevelType w:val="singleLevel"/>
    <w:tmpl w:val="FD36D0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VlMTgzMWEwZWExMTFiYmNjODYxYzlkNThkYzVlYWUifQ=="/>
  </w:docVars>
  <w:rsids>
    <w:rsidRoot w:val="000C5B9E"/>
    <w:rsid w:val="0006491E"/>
    <w:rsid w:val="0008798A"/>
    <w:rsid w:val="000C5B9E"/>
    <w:rsid w:val="000E0FE4"/>
    <w:rsid w:val="000E78F4"/>
    <w:rsid w:val="00117743"/>
    <w:rsid w:val="00144639"/>
    <w:rsid w:val="00237DFC"/>
    <w:rsid w:val="002D4335"/>
    <w:rsid w:val="00300EE8"/>
    <w:rsid w:val="00344C6B"/>
    <w:rsid w:val="003A66FA"/>
    <w:rsid w:val="00401DA9"/>
    <w:rsid w:val="0045355D"/>
    <w:rsid w:val="00480D16"/>
    <w:rsid w:val="004C60E4"/>
    <w:rsid w:val="00570737"/>
    <w:rsid w:val="005B274F"/>
    <w:rsid w:val="00610486"/>
    <w:rsid w:val="00617BAF"/>
    <w:rsid w:val="00633E7A"/>
    <w:rsid w:val="00643918"/>
    <w:rsid w:val="006A3E54"/>
    <w:rsid w:val="0072552A"/>
    <w:rsid w:val="0073326D"/>
    <w:rsid w:val="007A26D3"/>
    <w:rsid w:val="00811D53"/>
    <w:rsid w:val="0085460C"/>
    <w:rsid w:val="008A7C5E"/>
    <w:rsid w:val="00A1036F"/>
    <w:rsid w:val="00AE1C9B"/>
    <w:rsid w:val="00CE4CF6"/>
    <w:rsid w:val="00D12D79"/>
    <w:rsid w:val="00D40671"/>
    <w:rsid w:val="00E819CD"/>
    <w:rsid w:val="00EE743A"/>
    <w:rsid w:val="00F62E26"/>
    <w:rsid w:val="00F91E66"/>
    <w:rsid w:val="00FE6404"/>
    <w:rsid w:val="01EBB393"/>
    <w:rsid w:val="03FF1D61"/>
    <w:rsid w:val="054D7D61"/>
    <w:rsid w:val="05D6514B"/>
    <w:rsid w:val="068F24CD"/>
    <w:rsid w:val="07387DF9"/>
    <w:rsid w:val="0FC14BAE"/>
    <w:rsid w:val="12525485"/>
    <w:rsid w:val="14363DC9"/>
    <w:rsid w:val="1469430D"/>
    <w:rsid w:val="191A1955"/>
    <w:rsid w:val="1A4408B5"/>
    <w:rsid w:val="1CADF306"/>
    <w:rsid w:val="22EB3521"/>
    <w:rsid w:val="27741C56"/>
    <w:rsid w:val="27CB5757"/>
    <w:rsid w:val="28401CC0"/>
    <w:rsid w:val="2A996F35"/>
    <w:rsid w:val="2C3F6C74"/>
    <w:rsid w:val="2FB87AD8"/>
    <w:rsid w:val="31125E41"/>
    <w:rsid w:val="3F7F99D7"/>
    <w:rsid w:val="40C35461"/>
    <w:rsid w:val="41654AEA"/>
    <w:rsid w:val="432654F5"/>
    <w:rsid w:val="45B42D87"/>
    <w:rsid w:val="475C05A2"/>
    <w:rsid w:val="494024AD"/>
    <w:rsid w:val="49C115B4"/>
    <w:rsid w:val="49E54E78"/>
    <w:rsid w:val="4ADBBCF8"/>
    <w:rsid w:val="4B613821"/>
    <w:rsid w:val="5BD62F3E"/>
    <w:rsid w:val="5FDF0776"/>
    <w:rsid w:val="5FE5F591"/>
    <w:rsid w:val="5FFF5C8D"/>
    <w:rsid w:val="67BA6EFF"/>
    <w:rsid w:val="6ADA4585"/>
    <w:rsid w:val="79BFD123"/>
    <w:rsid w:val="7E0B7411"/>
    <w:rsid w:val="7FFF0080"/>
    <w:rsid w:val="DF7FDDAD"/>
    <w:rsid w:val="DFF568CF"/>
    <w:rsid w:val="E7E1D0B9"/>
    <w:rsid w:val="ED4766F9"/>
    <w:rsid w:val="FBFE1CF7"/>
    <w:rsid w:val="FFCB8051"/>
    <w:rsid w:val="FFF92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kern w:val="0"/>
      <w:sz w:val="18"/>
      <w:szCs w:val="18"/>
    </w:rPr>
  </w:style>
  <w:style w:type="character" w:customStyle="1" w:styleId="7">
    <w:name w:val="页脚 Char"/>
    <w:basedOn w:val="5"/>
    <w:link w:val="2"/>
    <w:qFormat/>
    <w:uiPriority w:val="99"/>
    <w:rPr>
      <w:rFonts w:ascii="Times New Roman" w:hAnsi="Times New Roman" w:eastAsia="宋体" w:cs="Times New Roman"/>
      <w:kern w:val="0"/>
      <w:sz w:val="18"/>
      <w:szCs w:val="18"/>
    </w:rPr>
  </w:style>
  <w:style w:type="character" w:customStyle="1" w:styleId="8">
    <w:name w:val="font31"/>
    <w:basedOn w:val="5"/>
    <w:qFormat/>
    <w:uiPriority w:val="0"/>
    <w:rPr>
      <w:rFonts w:hint="eastAsia" w:ascii="宋体" w:hAnsi="宋体" w:eastAsia="宋体" w:cs="宋体"/>
      <w:color w:val="000000"/>
      <w:sz w:val="20"/>
      <w:szCs w:val="20"/>
      <w:u w:val="none"/>
    </w:rPr>
  </w:style>
  <w:style w:type="character" w:customStyle="1" w:styleId="9">
    <w:name w:val="font2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6630</Words>
  <Characters>7196</Characters>
  <Lines>77</Lines>
  <Paragraphs>21</Paragraphs>
  <TotalTime>10</TotalTime>
  <ScaleCrop>false</ScaleCrop>
  <LinksUpToDate>false</LinksUpToDate>
  <CharactersWithSpaces>7251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2023-06-29T06:13:00Z</dcterms:created>
  <dc:creator>易 佳</dc:creator>
  <cp:lastModifiedBy>卡戎</cp:lastModifiedBy>
  <cp:lastPrinted>2023-06-29T02:28:00Z</cp:lastPrinted>
  <dcterms:modified xsi:type="dcterms:W3CDTF">2025-06-24T07:17:00Z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1979FECACD6D424F90C74A51206C2EC6_12</vt:lpwstr>
  </property>
  <property fmtid="{D5CDD505-2E9C-101B-9397-08002B2CF9AE}" pid="4" name="KSOTemplateDocerSaveRecord">
    <vt:lpwstr>eyJoZGlkIjoiY2VlMTgzMWEwZWExMTFiYmNjODYxYzlkNThkYzVlYWUiLCJ1c2VySWQiOiIyODIyMDY3NzYifQ==</vt:lpwstr>
  </property>
</Properties>
</file>