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sz w:val="44"/>
          <w:szCs w:val="44"/>
        </w:rPr>
      </w:pPr>
      <w:r>
        <w:rPr>
          <w:rFonts w:hint="eastAsia" w:ascii="宋体" w:hAnsi="宋体"/>
          <w:b/>
          <w:color w:val="000000"/>
          <w:sz w:val="44"/>
          <w:szCs w:val="44"/>
        </w:rPr>
        <w:t>2023年度怀化市</w:t>
      </w:r>
      <w:r>
        <w:rPr>
          <w:rFonts w:ascii="宋体" w:hAnsi="宋体"/>
          <w:b/>
          <w:color w:val="000000"/>
          <w:sz w:val="44"/>
          <w:szCs w:val="44"/>
        </w:rPr>
        <w:t>住房保障服务中心</w:t>
      </w:r>
      <w:r>
        <w:rPr>
          <w:rFonts w:hint="eastAsia" w:ascii="宋体" w:hAnsi="宋体"/>
          <w:b/>
          <w:color w:val="000000"/>
          <w:sz w:val="44"/>
          <w:szCs w:val="44"/>
        </w:rPr>
        <w:t>部门</w:t>
      </w:r>
    </w:p>
    <w:p>
      <w:pPr>
        <w:spacing w:line="540" w:lineRule="exact"/>
        <w:jc w:val="center"/>
        <w:rPr>
          <w:rFonts w:ascii="宋体" w:hAnsi="宋体"/>
          <w:b/>
          <w:color w:val="000000"/>
          <w:sz w:val="44"/>
          <w:szCs w:val="44"/>
        </w:rPr>
      </w:pPr>
      <w:r>
        <w:rPr>
          <w:rFonts w:hint="eastAsia" w:ascii="宋体" w:hAnsi="宋体"/>
          <w:b/>
          <w:color w:val="000000"/>
          <w:sz w:val="44"/>
          <w:szCs w:val="44"/>
        </w:rPr>
        <w:t>整体支出绩效自评报告</w:t>
      </w:r>
      <w:bookmarkStart w:id="0" w:name="_GoBack"/>
      <w:bookmarkEnd w:id="0"/>
    </w:p>
    <w:p>
      <w:pPr>
        <w:spacing w:line="540" w:lineRule="exact"/>
        <w:jc w:val="center"/>
        <w:rPr>
          <w:b/>
          <w:sz w:val="44"/>
          <w:szCs w:val="44"/>
        </w:rPr>
      </w:pPr>
    </w:p>
    <w:p>
      <w:pPr>
        <w:spacing w:line="540" w:lineRule="exact"/>
        <w:ind w:firstLine="640" w:firstLineChars="200"/>
        <w:jc w:val="left"/>
        <w:rPr>
          <w:rFonts w:ascii="黑体" w:hAnsi="黑体" w:eastAsia="黑体" w:cstheme="minorEastAsia"/>
          <w:bCs/>
          <w:color w:val="000000" w:themeColor="text1"/>
          <w:sz w:val="32"/>
          <w:szCs w:val="32"/>
        </w:rPr>
      </w:pPr>
      <w:r>
        <w:rPr>
          <w:rFonts w:hint="eastAsia" w:ascii="黑体" w:hAnsi="黑体" w:eastAsia="黑体" w:cstheme="minorEastAsia"/>
          <w:bCs/>
          <w:color w:val="000000" w:themeColor="text1"/>
          <w:sz w:val="32"/>
          <w:szCs w:val="32"/>
        </w:rPr>
        <w:t>一、单位基本情况</w:t>
      </w:r>
    </w:p>
    <w:p>
      <w:pPr>
        <w:spacing w:line="540" w:lineRule="exact"/>
        <w:ind w:firstLine="643" w:firstLineChars="200"/>
        <w:jc w:val="left"/>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（一）机构设置情况</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怀化市住房保障服务中心作为一级部门预算单位，内设部门为：办公室、人事财务部、住房保障服务部、住建信息服务部。下设不具备独立法人资格的正科级分支机构市住房保障服务站，承担协助开展白蚁防治、房屋租赁、物业专项维修资金管理等服务性工作。</w:t>
      </w:r>
    </w:p>
    <w:p>
      <w:pPr>
        <w:spacing w:line="540" w:lineRule="exact"/>
        <w:ind w:firstLine="643" w:firstLineChars="200"/>
        <w:jc w:val="left"/>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（二）人员编制情况</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我单位2023年人员编制数57人，其中在职人员53人，均为全额拨款事业编制。</w:t>
      </w:r>
    </w:p>
    <w:p>
      <w:pPr>
        <w:spacing w:line="540" w:lineRule="exact"/>
        <w:ind w:firstLine="643" w:firstLineChars="200"/>
        <w:jc w:val="left"/>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（三）主要职能职责</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1.负责全市物业专项维修资金业务指导工作;承担市城区物业专项维修资金归集、管理、拨付等事务性职责。</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2.承担全市保障性住房后续管理和其他房屋租赁管理的业务指导，市本级保障性住房租赁管理服务和其他房屋租赁备案的相关服务。</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3.承担市本级白蚁防治业务指导、实施白蚁防治科学研究及新技术推广等职责。</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4.为全市住房保障、房地产市场监管、物业管理、保障性住房租赁管理、其他房屋租赁管理、白蚁防治管理等相关政策拟订提供服务。</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5.协助维护住建领域信息化管理系统，住建领域信息的收集、统计、分析、报告、发布等职责。</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6.承担市住房和城乡建设局交办的其他工作。</w:t>
      </w:r>
    </w:p>
    <w:p>
      <w:pPr>
        <w:spacing w:line="540" w:lineRule="exact"/>
        <w:ind w:firstLine="640" w:firstLineChars="200"/>
        <w:rPr>
          <w:rFonts w:hint="eastAsia"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2023年市住建局交办的其他工作有：购房补贴发放。</w:t>
      </w:r>
    </w:p>
    <w:p>
      <w:pPr>
        <w:spacing w:line="360" w:lineRule="auto"/>
        <w:ind w:firstLine="643" w:firstLineChars="200"/>
        <w:jc w:val="left"/>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绩效目标设定情况</w:t>
      </w:r>
    </w:p>
    <w:p>
      <w:pPr>
        <w:spacing w:line="360" w:lineRule="auto"/>
        <w:ind w:firstLine="600" w:firstLineChars="200"/>
        <w:rPr>
          <w:rFonts w:ascii="宋体" w:hAnsi="宋体" w:cstheme="minorEastAsia"/>
          <w:color w:val="auto"/>
          <w:sz w:val="30"/>
          <w:szCs w:val="30"/>
        </w:rPr>
      </w:pPr>
      <w:r>
        <w:rPr>
          <w:rFonts w:hint="eastAsia" w:ascii="宋体" w:hAnsi="宋体" w:cstheme="minorEastAsia"/>
          <w:color w:val="auto"/>
          <w:sz w:val="30"/>
          <w:szCs w:val="30"/>
          <w:lang w:val="en-US" w:eastAsia="zh-CN"/>
        </w:rPr>
        <w:t>1.</w:t>
      </w:r>
      <w:r>
        <w:rPr>
          <w:rFonts w:hint="eastAsia" w:ascii="宋体" w:hAnsi="宋体" w:cstheme="minorEastAsia"/>
          <w:color w:val="auto"/>
          <w:sz w:val="30"/>
          <w:szCs w:val="30"/>
        </w:rPr>
        <w:t>做好物业专项维修资金管理服务工作。</w:t>
      </w:r>
    </w:p>
    <w:p>
      <w:pPr>
        <w:spacing w:line="360" w:lineRule="auto"/>
        <w:ind w:firstLine="600" w:firstLineChars="200"/>
        <w:rPr>
          <w:rFonts w:ascii="宋体" w:hAnsi="宋体" w:cstheme="minorEastAsia"/>
          <w:color w:val="auto"/>
          <w:sz w:val="30"/>
          <w:szCs w:val="30"/>
        </w:rPr>
      </w:pPr>
      <w:r>
        <w:rPr>
          <w:rFonts w:hint="eastAsia" w:ascii="宋体" w:hAnsi="宋体" w:cstheme="minorEastAsia"/>
          <w:color w:val="auto"/>
          <w:sz w:val="30"/>
          <w:szCs w:val="30"/>
          <w:lang w:val="en-US" w:eastAsia="zh-CN"/>
        </w:rPr>
        <w:t>2.</w:t>
      </w:r>
      <w:r>
        <w:rPr>
          <w:rFonts w:hint="eastAsia" w:ascii="宋体" w:hAnsi="宋体" w:cstheme="minorEastAsia"/>
          <w:color w:val="auto"/>
          <w:sz w:val="30"/>
          <w:szCs w:val="30"/>
        </w:rPr>
        <w:t>抓好房屋租赁和公租房管理后续服务工作。</w:t>
      </w:r>
    </w:p>
    <w:p>
      <w:pPr>
        <w:spacing w:line="360" w:lineRule="auto"/>
        <w:ind w:firstLine="600" w:firstLineChars="200"/>
        <w:rPr>
          <w:rFonts w:ascii="宋体" w:hAnsi="宋体" w:cstheme="minorEastAsia"/>
          <w:color w:val="auto"/>
          <w:sz w:val="30"/>
          <w:szCs w:val="30"/>
        </w:rPr>
      </w:pPr>
      <w:r>
        <w:rPr>
          <w:rFonts w:hint="eastAsia" w:ascii="宋体" w:hAnsi="宋体" w:cstheme="minorEastAsia"/>
          <w:color w:val="auto"/>
          <w:sz w:val="30"/>
          <w:szCs w:val="30"/>
          <w:lang w:val="en-US" w:eastAsia="zh-CN"/>
        </w:rPr>
        <w:t>3.</w:t>
      </w:r>
      <w:r>
        <w:rPr>
          <w:rFonts w:hint="eastAsia" w:ascii="宋体" w:hAnsi="宋体" w:cstheme="minorEastAsia"/>
          <w:color w:val="auto"/>
          <w:sz w:val="30"/>
          <w:szCs w:val="30"/>
        </w:rPr>
        <w:t>抓好白蚁防治工作。</w:t>
      </w:r>
    </w:p>
    <w:p>
      <w:pPr>
        <w:spacing w:line="360" w:lineRule="auto"/>
        <w:ind w:firstLine="600" w:firstLineChars="200"/>
        <w:jc w:val="left"/>
        <w:rPr>
          <w:rFonts w:hint="eastAsia" w:ascii="仿宋" w:hAnsi="仿宋" w:eastAsia="仿宋" w:cstheme="minorEastAsia"/>
          <w:color w:val="000000" w:themeColor="text1"/>
          <w:sz w:val="32"/>
          <w:szCs w:val="32"/>
        </w:rPr>
      </w:pPr>
      <w:r>
        <w:rPr>
          <w:rFonts w:hint="eastAsia" w:ascii="宋体" w:hAnsi="宋体" w:cstheme="minorEastAsia"/>
          <w:color w:val="auto"/>
          <w:sz w:val="30"/>
          <w:szCs w:val="30"/>
          <w:lang w:val="en-US" w:eastAsia="zh-CN"/>
        </w:rPr>
        <w:t>4.做好</w:t>
      </w:r>
      <w:r>
        <w:rPr>
          <w:rFonts w:hint="eastAsia" w:ascii="宋体" w:hAnsi="宋体" w:cstheme="minorEastAsia"/>
          <w:color w:val="auto"/>
          <w:sz w:val="30"/>
          <w:szCs w:val="30"/>
        </w:rPr>
        <w:t>其他工作任务等。</w:t>
      </w:r>
    </w:p>
    <w:p>
      <w:pPr>
        <w:numPr>
          <w:ilvl w:val="0"/>
          <w:numId w:val="1"/>
        </w:numPr>
        <w:spacing w:line="360" w:lineRule="auto"/>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部门整体支出情况</w:t>
      </w:r>
      <w:r>
        <w:rPr>
          <w:rFonts w:hint="eastAsia" w:ascii="黑体" w:hAnsi="黑体" w:eastAsia="黑体" w:cs="黑体"/>
          <w:b w:val="0"/>
          <w:bCs w:val="0"/>
          <w:color w:val="auto"/>
          <w:sz w:val="32"/>
          <w:szCs w:val="32"/>
          <w:lang w:val="en-US" w:eastAsia="zh-CN"/>
        </w:rPr>
        <w:t>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（一）预算执行、使用、管理总体情况</w:t>
      </w:r>
    </w:p>
    <w:p>
      <w:pPr>
        <w:spacing w:line="540" w:lineRule="exact"/>
        <w:ind w:firstLine="643" w:firstLineChars="200"/>
        <w:rPr>
          <w:rFonts w:ascii="仿宋" w:hAnsi="仿宋" w:eastAsia="仿宋" w:cstheme="minorEastAsia"/>
          <w:color w:val="000000" w:themeColor="text1"/>
          <w:sz w:val="32"/>
          <w:szCs w:val="32"/>
        </w:rPr>
      </w:pPr>
      <w:r>
        <w:rPr>
          <w:rFonts w:ascii="仿宋" w:hAnsi="仿宋" w:eastAsia="仿宋" w:cstheme="minorEastAsia"/>
          <w:b/>
          <w:color w:val="000000" w:themeColor="text1"/>
          <w:sz w:val="32"/>
          <w:szCs w:val="32"/>
        </w:rPr>
        <w:t>1</w:t>
      </w:r>
      <w:r>
        <w:rPr>
          <w:rFonts w:hint="eastAsia" w:ascii="仿宋" w:hAnsi="仿宋" w:eastAsia="仿宋" w:cstheme="minorEastAsia"/>
          <w:b/>
          <w:color w:val="000000" w:themeColor="text1"/>
          <w:sz w:val="32"/>
          <w:szCs w:val="32"/>
        </w:rPr>
        <w:t>.收入预算。</w:t>
      </w:r>
      <w:r>
        <w:rPr>
          <w:rFonts w:hint="eastAsia" w:ascii="仿宋" w:hAnsi="仿宋" w:eastAsia="仿宋" w:cstheme="minorEastAsia"/>
          <w:color w:val="000000" w:themeColor="text1"/>
          <w:sz w:val="32"/>
          <w:szCs w:val="32"/>
        </w:rPr>
        <w:t>2023年年初预算数1135.38万元，全部为一般公共预算拨款。收入较去年减少12.09万元，主要原因是相关职能有所减少，运行成本降低。</w:t>
      </w:r>
    </w:p>
    <w:p>
      <w:pPr>
        <w:spacing w:line="540" w:lineRule="exact"/>
        <w:ind w:firstLine="643" w:firstLineChars="200"/>
        <w:rPr>
          <w:rFonts w:ascii="仿宋" w:hAnsi="仿宋" w:eastAsia="仿宋" w:cstheme="minorEastAsia"/>
          <w:color w:val="000000" w:themeColor="text1"/>
          <w:sz w:val="32"/>
          <w:szCs w:val="32"/>
        </w:rPr>
      </w:pPr>
      <w:r>
        <w:rPr>
          <w:rFonts w:ascii="仿宋" w:hAnsi="仿宋" w:eastAsia="仿宋" w:cstheme="minorEastAsia"/>
          <w:b/>
          <w:color w:val="000000" w:themeColor="text1"/>
          <w:sz w:val="32"/>
          <w:szCs w:val="32"/>
        </w:rPr>
        <w:t>2</w:t>
      </w:r>
      <w:r>
        <w:rPr>
          <w:rFonts w:hint="eastAsia" w:ascii="仿宋" w:hAnsi="仿宋" w:eastAsia="仿宋" w:cstheme="minorEastAsia"/>
          <w:b/>
          <w:color w:val="000000" w:themeColor="text1"/>
          <w:sz w:val="32"/>
          <w:szCs w:val="32"/>
        </w:rPr>
        <w:t>.支出预算。</w:t>
      </w:r>
      <w:r>
        <w:rPr>
          <w:rFonts w:hint="eastAsia" w:ascii="仿宋" w:hAnsi="仿宋" w:eastAsia="仿宋" w:cstheme="minorEastAsia"/>
          <w:color w:val="000000" w:themeColor="text1"/>
          <w:sz w:val="32"/>
          <w:szCs w:val="32"/>
        </w:rPr>
        <w:t>2023年年初预算数1135.38万元，其中，基本支出933.38万元、项目支出202万元。基本支出较去年增加209.59万元，项目较去年减少197.5万元，基本支出增加的主要原因是机构改革，人员支出全部纳入财政全额保障；项目支出减少主要原因是2023年减少了公房维修专项经费、维修资金专项工作经费的预算支出。</w:t>
      </w:r>
      <w:r>
        <w:rPr>
          <w:rFonts w:ascii="仿宋" w:hAnsi="仿宋" w:eastAsia="仿宋" w:cstheme="minorEastAsia"/>
          <w:color w:val="000000" w:themeColor="text1"/>
          <w:sz w:val="32"/>
          <w:szCs w:val="32"/>
        </w:rPr>
        <w:t xml:space="preserve"> </w:t>
      </w:r>
    </w:p>
    <w:p>
      <w:pPr>
        <w:spacing w:line="540" w:lineRule="exact"/>
        <w:ind w:firstLine="643" w:firstLineChars="200"/>
        <w:rPr>
          <w:rFonts w:ascii="仿宋" w:hAnsi="仿宋" w:eastAsia="仿宋" w:cstheme="minorEastAsia"/>
          <w:color w:val="000000" w:themeColor="text1"/>
          <w:sz w:val="32"/>
          <w:szCs w:val="32"/>
        </w:rPr>
      </w:pPr>
      <w:r>
        <w:rPr>
          <w:rFonts w:ascii="仿宋" w:hAnsi="仿宋" w:eastAsia="仿宋" w:cstheme="minorEastAsia"/>
          <w:b/>
          <w:color w:val="000000" w:themeColor="text1"/>
          <w:sz w:val="32"/>
          <w:szCs w:val="32"/>
        </w:rPr>
        <w:t>3</w:t>
      </w:r>
      <w:r>
        <w:rPr>
          <w:rFonts w:hint="eastAsia" w:ascii="仿宋" w:hAnsi="仿宋" w:eastAsia="仿宋" w:cstheme="minorEastAsia"/>
          <w:b/>
          <w:color w:val="000000" w:themeColor="text1"/>
          <w:sz w:val="32"/>
          <w:szCs w:val="32"/>
        </w:rPr>
        <w:t>.支出决算。</w:t>
      </w:r>
      <w:r>
        <w:rPr>
          <w:rFonts w:hint="eastAsia" w:ascii="仿宋" w:hAnsi="仿宋" w:eastAsia="仿宋" w:cstheme="minorEastAsia"/>
          <w:color w:val="000000" w:themeColor="text1"/>
          <w:sz w:val="32"/>
          <w:szCs w:val="32"/>
        </w:rPr>
        <w:t>2023年支出决算数1375.03万元，其中：基本支出841.40万元、项目支出533.64万元。按经济分类支出合计1375.03万元，其中工资福利支出721.21万元、商品和服务支出383.43万元、对个人和家庭的补助221.26万元、资本性支出49.13万元。</w:t>
      </w:r>
    </w:p>
    <w:p>
      <w:pPr>
        <w:spacing w:line="360" w:lineRule="auto"/>
        <w:ind w:firstLine="643" w:firstLineChars="200"/>
        <w:jc w:val="left"/>
        <w:rPr>
          <w:rFonts w:hint="eastAsia" w:ascii="楷体" w:hAnsi="楷体" w:eastAsia="楷体" w:cs="楷体"/>
          <w:color w:val="000000" w:themeColor="text1"/>
          <w:sz w:val="32"/>
          <w:szCs w:val="32"/>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rPr>
        <w:t>）</w:t>
      </w:r>
      <w:r>
        <w:rPr>
          <w:rFonts w:hint="eastAsia" w:ascii="楷体" w:hAnsi="楷体" w:eastAsia="楷体" w:cs="楷体"/>
          <w:b/>
          <w:color w:val="auto"/>
          <w:sz w:val="32"/>
          <w:szCs w:val="32"/>
          <w:lang w:val="en-US" w:eastAsia="zh-CN"/>
        </w:rPr>
        <w:t>部门预算执行情况</w:t>
      </w:r>
    </w:p>
    <w:p>
      <w:pPr>
        <w:spacing w:line="540" w:lineRule="exact"/>
        <w:ind w:firstLine="643" w:firstLineChars="200"/>
        <w:jc w:val="left"/>
        <w:rPr>
          <w:rFonts w:hint="eastAsia" w:ascii="仿宋" w:hAnsi="仿宋" w:eastAsia="仿宋" w:cstheme="minorEastAsia"/>
          <w:b/>
          <w:color w:val="000000" w:themeColor="text1"/>
          <w:sz w:val="32"/>
          <w:szCs w:val="32"/>
        </w:rPr>
      </w:pPr>
      <w:r>
        <w:rPr>
          <w:rFonts w:hint="eastAsia" w:ascii="仿宋" w:hAnsi="仿宋" w:eastAsia="仿宋" w:cstheme="minorEastAsia"/>
          <w:b/>
          <w:color w:val="000000" w:themeColor="text1"/>
          <w:sz w:val="32"/>
          <w:szCs w:val="32"/>
        </w:rPr>
        <w:t>1.基本支出情况</w:t>
      </w:r>
    </w:p>
    <w:p>
      <w:pPr>
        <w:spacing w:line="540" w:lineRule="exact"/>
        <w:ind w:firstLine="640" w:firstLineChars="200"/>
        <w:jc w:val="left"/>
        <w:rPr>
          <w:rFonts w:hint="eastAsia"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怀化市住房保障服务中心2023年基本支出841.40万元，其中：人员经费780.15万元，人员经费主要包括基本工资、津贴补贴、奖金、绩效工资、机关事业单位基本养老保险缴费、职业年金缴费、其他社会保障缴费、离休费、退休费、生活补助、住房公积金、其他对个人和家庭的补助支出；日常公用经费61.24万元，公用经费主要包括办公费、印刷费、咨询费、手续费、水费、电费、物业管理费、差旅费、维修（护）费、公务接待费、劳务费、委托业务费、工会经费、公务用车运行维护费、其他交通费用、税金及附加费用、其他商品和服务支出、办公设备购置、专用设备购置、其他资本性支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theme="minorEastAsia"/>
          <w:b/>
          <w:color w:val="000000" w:themeColor="text1"/>
          <w:sz w:val="32"/>
          <w:szCs w:val="32"/>
        </w:rPr>
      </w:pPr>
      <w:r>
        <w:rPr>
          <w:rFonts w:hint="eastAsia" w:ascii="仿宋" w:hAnsi="仿宋" w:eastAsia="仿宋" w:cstheme="minorEastAsia"/>
          <w:b/>
          <w:color w:val="000000" w:themeColor="text1"/>
          <w:sz w:val="32"/>
          <w:szCs w:val="32"/>
          <w:lang w:val="en-US" w:eastAsia="zh-CN"/>
        </w:rPr>
        <w:t>2.项目支出</w:t>
      </w:r>
      <w:r>
        <w:rPr>
          <w:rFonts w:hint="eastAsia" w:ascii="仿宋" w:hAnsi="仿宋" w:eastAsia="仿宋" w:cstheme="minorEastAsia"/>
          <w:b/>
          <w:color w:val="000000" w:themeColor="text1"/>
          <w:sz w:val="32"/>
          <w:szCs w:val="32"/>
        </w:rPr>
        <w:t>情况</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2023年年初预算数为202万元，是指单位为完成特定行政工作任务或事业发展目标而发生的支出，包括有关事业发展专项、专项业务费、基本建设支出等。其中：白蚁防治服务支出162万元，主要用于市本级城区房屋建筑及园林绿化树木白蚁预防和灭治用药水和施工劳务费；住保业务专项工作经费40万元，主要弥补我单位管理市本级保障性住房相关工作正常运转所需经费。</w:t>
      </w:r>
      <w:r>
        <w:rPr>
          <w:rFonts w:ascii="仿宋" w:hAnsi="仿宋" w:eastAsia="仿宋" w:cstheme="minorEastAsia"/>
          <w:color w:val="000000" w:themeColor="text1"/>
          <w:sz w:val="32"/>
          <w:szCs w:val="32"/>
        </w:rPr>
        <w:t>另有未纳入本部门预算，由综合规划科室直接拨款用于公租房后续管理的专项经费</w:t>
      </w:r>
      <w:r>
        <w:rPr>
          <w:rFonts w:hint="eastAsia" w:ascii="仿宋" w:hAnsi="仿宋" w:eastAsia="仿宋" w:cstheme="minorEastAsia"/>
          <w:color w:val="000000" w:themeColor="text1"/>
          <w:sz w:val="32"/>
          <w:szCs w:val="32"/>
        </w:rPr>
        <w:t>420.52</w:t>
      </w:r>
      <w:r>
        <w:rPr>
          <w:rFonts w:ascii="仿宋" w:hAnsi="仿宋" w:eastAsia="仿宋" w:cstheme="minorEastAsia"/>
          <w:color w:val="000000" w:themeColor="text1"/>
          <w:sz w:val="32"/>
          <w:szCs w:val="32"/>
        </w:rPr>
        <w:t>万元，</w:t>
      </w:r>
      <w:r>
        <w:rPr>
          <w:rFonts w:ascii="仿宋" w:hAnsi="仿宋" w:eastAsia="仿宋" w:cs="汉仪书宋二S"/>
          <w:color w:val="000000" w:themeColor="text1"/>
          <w:sz w:val="32"/>
          <w:szCs w:val="32"/>
        </w:rPr>
        <w:t>主要用于</w:t>
      </w:r>
      <w:r>
        <w:rPr>
          <w:rFonts w:hint="eastAsia" w:ascii="仿宋" w:hAnsi="仿宋" w:eastAsia="仿宋" w:cs="汉仪书宋二S"/>
          <w:color w:val="000000" w:themeColor="text1"/>
          <w:sz w:val="32"/>
          <w:szCs w:val="32"/>
        </w:rPr>
        <w:t>市本级城南、城东、城北公租房小区</w:t>
      </w:r>
      <w:r>
        <w:rPr>
          <w:rFonts w:ascii="仿宋" w:hAnsi="仿宋" w:eastAsia="仿宋" w:cs="汉仪书宋二S"/>
          <w:color w:val="000000" w:themeColor="text1"/>
          <w:sz w:val="32"/>
          <w:szCs w:val="32"/>
        </w:rPr>
        <w:t>日常维护、工作经费以及财政物业补差。</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lang w:eastAsia="zh-CN"/>
        </w:rPr>
        <w:t>（</w:t>
      </w:r>
      <w:r>
        <w:rPr>
          <w:rFonts w:hint="eastAsia" w:ascii="仿宋" w:hAnsi="仿宋" w:eastAsia="仿宋" w:cstheme="minorEastAsia"/>
          <w:b/>
          <w:color w:val="000000" w:themeColor="text1"/>
          <w:sz w:val="32"/>
          <w:szCs w:val="32"/>
          <w:lang w:val="en-US" w:eastAsia="zh-CN"/>
        </w:rPr>
        <w:t>1</w:t>
      </w:r>
      <w:r>
        <w:rPr>
          <w:rFonts w:hint="eastAsia" w:ascii="仿宋" w:hAnsi="仿宋" w:eastAsia="仿宋" w:cstheme="minorEastAsia"/>
          <w:b/>
          <w:color w:val="000000" w:themeColor="text1"/>
          <w:sz w:val="32"/>
          <w:szCs w:val="32"/>
          <w:lang w:eastAsia="zh-CN"/>
        </w:rPr>
        <w:t>）</w:t>
      </w:r>
      <w:r>
        <w:rPr>
          <w:rFonts w:hint="eastAsia" w:ascii="仿宋" w:hAnsi="仿宋" w:eastAsia="仿宋" w:cstheme="minorEastAsia"/>
          <w:b/>
          <w:color w:val="000000" w:themeColor="text1"/>
          <w:sz w:val="32"/>
          <w:szCs w:val="32"/>
        </w:rPr>
        <w:t>项目资金实际使用情况。</w:t>
      </w:r>
      <w:r>
        <w:rPr>
          <w:rFonts w:ascii="仿宋" w:hAnsi="仿宋" w:eastAsia="仿宋"/>
          <w:color w:val="000000" w:themeColor="text1"/>
          <w:sz w:val="32"/>
          <w:szCs w:val="32"/>
        </w:rPr>
        <w:t>202</w:t>
      </w:r>
      <w:r>
        <w:rPr>
          <w:rFonts w:hint="eastAsia" w:ascii="仿宋" w:hAnsi="仿宋" w:eastAsia="仿宋"/>
          <w:color w:val="000000" w:themeColor="text1"/>
          <w:sz w:val="32"/>
          <w:szCs w:val="32"/>
        </w:rPr>
        <w:t>3</w:t>
      </w:r>
      <w:r>
        <w:rPr>
          <w:rFonts w:ascii="仿宋" w:hAnsi="仿宋" w:eastAsia="仿宋"/>
          <w:color w:val="000000" w:themeColor="text1"/>
          <w:sz w:val="32"/>
          <w:szCs w:val="32"/>
        </w:rPr>
        <w:t>年</w:t>
      </w:r>
      <w:r>
        <w:rPr>
          <w:rFonts w:hint="eastAsia" w:ascii="仿宋" w:hAnsi="仿宋" w:eastAsia="仿宋"/>
          <w:color w:val="000000" w:themeColor="text1"/>
          <w:sz w:val="32"/>
          <w:szCs w:val="32"/>
        </w:rPr>
        <w:t>度</w:t>
      </w:r>
      <w:r>
        <w:rPr>
          <w:rFonts w:ascii="仿宋" w:hAnsi="仿宋" w:eastAsia="仿宋"/>
          <w:color w:val="000000" w:themeColor="text1"/>
          <w:sz w:val="32"/>
          <w:szCs w:val="32"/>
        </w:rPr>
        <w:t>白蚁防治</w:t>
      </w:r>
      <w:r>
        <w:rPr>
          <w:rFonts w:hint="eastAsia" w:ascii="仿宋" w:hAnsi="仿宋" w:eastAsia="仿宋"/>
          <w:color w:val="000000" w:themeColor="text1"/>
          <w:sz w:val="32"/>
          <w:szCs w:val="32"/>
        </w:rPr>
        <w:t>项目使用专项资金90.60万元，结余资金71.4万元，专项资金使用率56％</w:t>
      </w:r>
      <w:r>
        <w:rPr>
          <w:rFonts w:ascii="仿宋" w:hAnsi="仿宋" w:eastAsia="仿宋"/>
          <w:color w:val="000000" w:themeColor="text1"/>
          <w:sz w:val="32"/>
          <w:szCs w:val="32"/>
        </w:rPr>
        <w:t>；</w:t>
      </w:r>
      <w:r>
        <w:rPr>
          <w:rFonts w:hint="eastAsia" w:ascii="仿宋" w:hAnsi="仿宋" w:eastAsia="仿宋" w:cstheme="minorEastAsia"/>
          <w:color w:val="000000" w:themeColor="text1"/>
          <w:sz w:val="32"/>
          <w:szCs w:val="32"/>
        </w:rPr>
        <w:t>公房维修</w:t>
      </w:r>
      <w:r>
        <w:rPr>
          <w:rFonts w:ascii="仿宋" w:hAnsi="仿宋" w:eastAsia="仿宋" w:cstheme="minorEastAsia"/>
          <w:color w:val="000000" w:themeColor="text1"/>
          <w:sz w:val="32"/>
          <w:szCs w:val="32"/>
        </w:rPr>
        <w:t>项目</w:t>
      </w:r>
      <w:r>
        <w:rPr>
          <w:rFonts w:hint="eastAsia" w:ascii="仿宋" w:hAnsi="仿宋" w:eastAsia="仿宋"/>
          <w:color w:val="000000" w:themeColor="text1"/>
          <w:sz w:val="32"/>
          <w:szCs w:val="32"/>
        </w:rPr>
        <w:t>使用专项资金21.70万元，其中</w:t>
      </w:r>
      <w:r>
        <w:rPr>
          <w:rFonts w:ascii="仿宋" w:hAnsi="仿宋" w:eastAsia="仿宋"/>
          <w:color w:val="000000" w:themeColor="text1"/>
          <w:sz w:val="32"/>
          <w:szCs w:val="32"/>
        </w:rPr>
        <w:t>11.57万元</w:t>
      </w:r>
      <w:r>
        <w:rPr>
          <w:rFonts w:hint="eastAsia" w:ascii="仿宋" w:hAnsi="仿宋" w:eastAsia="仿宋"/>
          <w:color w:val="000000" w:themeColor="text1"/>
          <w:sz w:val="32"/>
          <w:szCs w:val="32"/>
        </w:rPr>
        <w:t>为2022年度</w:t>
      </w:r>
      <w:r>
        <w:rPr>
          <w:rFonts w:ascii="仿宋" w:hAnsi="仿宋" w:eastAsia="仿宋"/>
          <w:color w:val="000000" w:themeColor="text1"/>
          <w:sz w:val="32"/>
          <w:szCs w:val="32"/>
        </w:rPr>
        <w:t>结转至2023年</w:t>
      </w:r>
      <w:r>
        <w:rPr>
          <w:rFonts w:hint="eastAsia" w:ascii="仿宋" w:hAnsi="仿宋" w:eastAsia="仿宋"/>
          <w:color w:val="000000" w:themeColor="text1"/>
          <w:sz w:val="32"/>
          <w:szCs w:val="32"/>
        </w:rPr>
        <w:t>度</w:t>
      </w:r>
      <w:r>
        <w:rPr>
          <w:rFonts w:ascii="仿宋" w:hAnsi="仿宋" w:eastAsia="仿宋"/>
          <w:color w:val="000000" w:themeColor="text1"/>
          <w:sz w:val="32"/>
          <w:szCs w:val="32"/>
        </w:rPr>
        <w:t>用于工程款支付</w:t>
      </w:r>
      <w:r>
        <w:rPr>
          <w:rFonts w:hint="eastAsia" w:ascii="仿宋" w:hAnsi="仿宋" w:eastAsia="仿宋"/>
          <w:color w:val="000000" w:themeColor="text1"/>
          <w:sz w:val="32"/>
          <w:szCs w:val="32"/>
        </w:rPr>
        <w:t>，其余10.13为2023年度追加预算，专项资金使用率100％</w:t>
      </w:r>
      <w:r>
        <w:rPr>
          <w:rFonts w:ascii="仿宋" w:hAnsi="仿宋" w:eastAsia="仿宋"/>
          <w:color w:val="000000" w:themeColor="text1"/>
          <w:sz w:val="32"/>
          <w:szCs w:val="32"/>
        </w:rPr>
        <w:t>。</w:t>
      </w:r>
      <w:r>
        <w:rPr>
          <w:rFonts w:hint="eastAsia" w:ascii="仿宋" w:hAnsi="仿宋" w:eastAsia="仿宋"/>
          <w:color w:val="000000" w:themeColor="text1"/>
          <w:sz w:val="32"/>
          <w:szCs w:val="32"/>
        </w:rPr>
        <w:t>公</w:t>
      </w:r>
      <w:r>
        <w:rPr>
          <w:rFonts w:ascii="仿宋" w:hAnsi="仿宋" w:eastAsia="仿宋"/>
          <w:color w:val="000000" w:themeColor="text1"/>
          <w:sz w:val="32"/>
          <w:szCs w:val="32"/>
        </w:rPr>
        <w:t>租房后续管理使用专项资金</w:t>
      </w:r>
      <w:r>
        <w:rPr>
          <w:rFonts w:hint="eastAsia" w:ascii="仿宋" w:hAnsi="仿宋" w:eastAsia="仿宋"/>
          <w:color w:val="000000" w:themeColor="text1"/>
          <w:sz w:val="32"/>
          <w:szCs w:val="32"/>
        </w:rPr>
        <w:t>385.89</w:t>
      </w:r>
      <w:r>
        <w:rPr>
          <w:rFonts w:ascii="仿宋" w:hAnsi="仿宋" w:eastAsia="仿宋"/>
          <w:color w:val="000000" w:themeColor="text1"/>
          <w:sz w:val="32"/>
          <w:szCs w:val="32"/>
        </w:rPr>
        <w:t>万元，结余资金</w:t>
      </w:r>
      <w:r>
        <w:rPr>
          <w:rFonts w:hint="eastAsia" w:ascii="仿宋" w:hAnsi="仿宋" w:eastAsia="仿宋"/>
          <w:color w:val="000000" w:themeColor="text1"/>
          <w:sz w:val="32"/>
          <w:szCs w:val="32"/>
        </w:rPr>
        <w:t>34.63</w:t>
      </w:r>
      <w:r>
        <w:rPr>
          <w:rFonts w:ascii="仿宋" w:hAnsi="仿宋" w:eastAsia="仿宋"/>
          <w:color w:val="000000" w:themeColor="text1"/>
          <w:sz w:val="32"/>
          <w:szCs w:val="32"/>
        </w:rPr>
        <w:t>万元，专项资金使用率</w:t>
      </w:r>
      <w:r>
        <w:rPr>
          <w:rFonts w:hint="eastAsia" w:ascii="仿宋" w:hAnsi="仿宋" w:eastAsia="仿宋"/>
          <w:color w:val="000000" w:themeColor="text1"/>
          <w:sz w:val="32"/>
          <w:szCs w:val="32"/>
        </w:rPr>
        <w:t>92</w:t>
      </w:r>
      <w:r>
        <w:rPr>
          <w:rFonts w:ascii="仿宋" w:hAnsi="仿宋" w:eastAsia="仿宋"/>
          <w:color w:val="000000" w:themeColor="text1"/>
          <w:sz w:val="32"/>
          <w:szCs w:val="32"/>
        </w:rPr>
        <w:t>%，</w:t>
      </w:r>
      <w:r>
        <w:rPr>
          <w:rFonts w:hint="eastAsia" w:ascii="仿宋" w:hAnsi="仿宋" w:eastAsia="仿宋"/>
          <w:color w:val="000000" w:themeColor="text1"/>
          <w:sz w:val="32"/>
          <w:szCs w:val="32"/>
        </w:rPr>
        <w:t>无资金结转至下一年度，</w:t>
      </w:r>
      <w:r>
        <w:rPr>
          <w:rFonts w:ascii="仿宋" w:hAnsi="仿宋" w:eastAsia="仿宋"/>
          <w:color w:val="000000" w:themeColor="text1"/>
          <w:sz w:val="32"/>
          <w:szCs w:val="32"/>
        </w:rPr>
        <w:t>结余资金均已被财政收回。</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lang w:eastAsia="zh-CN"/>
        </w:rPr>
        <w:t>（</w:t>
      </w:r>
      <w:r>
        <w:rPr>
          <w:rFonts w:hint="eastAsia" w:ascii="仿宋" w:hAnsi="仿宋" w:eastAsia="仿宋" w:cstheme="minorEastAsia"/>
          <w:b/>
          <w:color w:val="000000" w:themeColor="text1"/>
          <w:sz w:val="32"/>
          <w:szCs w:val="32"/>
          <w:lang w:val="en-US" w:eastAsia="zh-CN"/>
        </w:rPr>
        <w:t>2</w:t>
      </w:r>
      <w:r>
        <w:rPr>
          <w:rFonts w:hint="eastAsia" w:ascii="仿宋" w:hAnsi="仿宋" w:eastAsia="仿宋" w:cstheme="minorEastAsia"/>
          <w:b/>
          <w:color w:val="000000" w:themeColor="text1"/>
          <w:sz w:val="32"/>
          <w:szCs w:val="32"/>
          <w:lang w:eastAsia="zh-CN"/>
        </w:rPr>
        <w:t>）</w:t>
      </w:r>
      <w:r>
        <w:rPr>
          <w:rFonts w:hint="eastAsia" w:ascii="仿宋" w:hAnsi="仿宋" w:eastAsia="仿宋" w:cstheme="minorEastAsia"/>
          <w:b/>
          <w:color w:val="000000" w:themeColor="text1"/>
          <w:sz w:val="32"/>
          <w:szCs w:val="32"/>
        </w:rPr>
        <w:t>专项资金管理情况分析。</w:t>
      </w:r>
      <w:r>
        <w:rPr>
          <w:rFonts w:hint="eastAsia" w:ascii="仿宋" w:hAnsi="仿宋" w:eastAsia="仿宋" w:cstheme="minorEastAsia"/>
          <w:color w:val="000000" w:themeColor="text1"/>
          <w:sz w:val="32"/>
          <w:szCs w:val="32"/>
        </w:rPr>
        <w:t>对</w:t>
      </w:r>
      <w:r>
        <w:rPr>
          <w:rFonts w:hint="eastAsia" w:ascii="仿宋" w:hAnsi="仿宋" w:eastAsia="仿宋"/>
          <w:color w:val="000000" w:themeColor="text1"/>
          <w:sz w:val="32"/>
          <w:szCs w:val="32"/>
        </w:rPr>
        <w:t>公</w:t>
      </w:r>
      <w:r>
        <w:rPr>
          <w:rFonts w:ascii="仿宋" w:hAnsi="仿宋" w:eastAsia="仿宋"/>
          <w:color w:val="000000" w:themeColor="text1"/>
          <w:sz w:val="32"/>
          <w:szCs w:val="32"/>
        </w:rPr>
        <w:t>租房后续管理</w:t>
      </w:r>
      <w:r>
        <w:rPr>
          <w:rFonts w:hint="eastAsia" w:ascii="仿宋" w:hAnsi="仿宋" w:eastAsia="仿宋" w:cstheme="minorEastAsia"/>
          <w:color w:val="000000" w:themeColor="text1"/>
          <w:sz w:val="32"/>
          <w:szCs w:val="32"/>
        </w:rPr>
        <w:t>专项资金使用，严格执行“专款专用”，并根据市财政局的要求，按项目进度及时拨付资金，达到资金使用目的。</w:t>
      </w:r>
    </w:p>
    <w:p>
      <w:pPr>
        <w:spacing w:line="540" w:lineRule="exact"/>
        <w:ind w:firstLine="640" w:firstLineChars="200"/>
        <w:jc w:val="left"/>
        <w:rPr>
          <w:rFonts w:hint="eastAsia"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严格按照省、市有关文件要求，认真对照2023年部门整体支出绩效评价指标，对前期工作进行了全方位自查和自评打分，进一步规范了财政资金预算执行管理，强化了部门责任意识，提高了财政资金使用效益。</w:t>
      </w:r>
      <w:r>
        <w:rPr>
          <w:rFonts w:ascii="仿宋" w:hAnsi="仿宋" w:eastAsia="仿宋" w:cstheme="minorEastAsia"/>
          <w:color w:val="000000" w:themeColor="text1"/>
          <w:sz w:val="32"/>
          <w:szCs w:val="32"/>
        </w:rPr>
        <w:pict>
          <v:shape id="_x0000_s1027" o:spid="_x0000_s1027" o:spt="202" type="#_x0000_t202" style="position:absolute;left:0pt;margin-left:261pt;margin-top:769pt;height:14pt;width:60pt;mso-position-horizontal-relative:page;z-index:251660288;mso-width-relative:page;mso-height-relative:page;" filled="f" stroked="f" coordsize="21600,21600" o:gfxdata="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n6hatgAAAANAQAADwAAAAAAAAABACAA&#10;AAA4AAAAZHJzL2Rvd25yZXYueG1sUEsBAhQAFAAAAAgAh07iQPPGuj++AQAAUAMAAA4AAAAAAAAA&#10;AQAgAAAAPQEAAGRycy9lMm9Eb2MueG1sUEsFBgAAAAAGAAYAWQEAAG0FAAAAAA==&#10;">
            <v:path/>
            <v:fill on="f" focussize="0,0"/>
            <v:stroke on="f" weight="0.5pt" joinstyle="miter"/>
            <v:imagedata o:title=""/>
            <o:lock v:ext="edit"/>
            <v:textbox inset="2pt,0mm,2pt,0mm">
              <w:txbxContent>
                <w:p>
                  <w:pPr>
                    <w:spacing w:line="320" w:lineRule="exact"/>
                    <w:jc w:val="center"/>
                  </w:pPr>
                  <w:r>
                    <w:rPr>
                      <w:rFonts w:hint="eastAsia" w:ascii="Arial" w:hAnsi="Arial" w:eastAsia="Arial"/>
                      <w:b/>
                      <w:color w:val="000000"/>
                      <w:sz w:val="14"/>
                    </w:rPr>
                    <w:t>4</w:t>
                  </w:r>
                </w:p>
              </w:txbxContent>
            </v:textbox>
          </v:shape>
        </w:pic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lang w:val="en-US" w:eastAsia="zh-CN"/>
        </w:rPr>
        <w:t>3</w:t>
      </w:r>
      <w:r>
        <w:rPr>
          <w:rFonts w:hint="eastAsia" w:ascii="仿宋" w:hAnsi="仿宋" w:eastAsia="仿宋" w:cstheme="minorEastAsia"/>
          <w:b/>
          <w:color w:val="000000" w:themeColor="text1"/>
          <w:sz w:val="32"/>
          <w:szCs w:val="32"/>
        </w:rPr>
        <w:t>.“三公经费”支出使用和管理情况</w:t>
      </w:r>
      <w:r>
        <w:rPr>
          <w:rFonts w:ascii="仿宋" w:hAnsi="仿宋" w:eastAsia="仿宋" w:cstheme="minorEastAsia"/>
          <w:color w:val="000000" w:themeColor="text1"/>
          <w:sz w:val="32"/>
          <w:szCs w:val="32"/>
        </w:rPr>
        <w:pict>
          <v:shape id="_x0000_s1026" o:spid="_x0000_s1026" o:spt="202" type="#_x0000_t202" style="position:absolute;left:0pt;margin-left:261pt;margin-top:769pt;height:14pt;width:60pt;mso-position-horizontal-relative:page;z-index:251659264;mso-width-relative:page;mso-height-relative:page;" filled="f" stroked="f" coordsize="21600,21600" o:gfxdata="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n6hatgAAAANAQAADwAAAAAAAAABACAA&#10;AAA4AAAAZHJzL2Rvd25yZXYueG1sUEsBAhQAFAAAAAgAh07iQPPGuj++AQAAUAMAAA4AAAAAAAAA&#10;AQAgAAAAPQEAAGRycy9lMm9Eb2MueG1sUEsFBgAAAAAGAAYAWQEAAG0FAAAAAA==&#10;">
            <v:path/>
            <v:fill on="f" focussize="0,0"/>
            <v:stroke on="f" weight="0.5pt" joinstyle="miter"/>
            <v:imagedata o:title=""/>
            <o:lock v:ext="edit"/>
            <v:textbox inset="2pt,0mm,2pt,0mm">
              <w:txbxContent>
                <w:p>
                  <w:pPr>
                    <w:spacing w:line="320" w:lineRule="exact"/>
                    <w:jc w:val="center"/>
                  </w:pPr>
                  <w:r>
                    <w:rPr>
                      <w:rFonts w:hint="eastAsia" w:ascii="Arial" w:hAnsi="Arial" w:eastAsia="Arial"/>
                      <w:b/>
                      <w:color w:val="000000"/>
                      <w:sz w:val="14"/>
                    </w:rPr>
                    <w:t>4</w:t>
                  </w:r>
                </w:p>
              </w:txbxContent>
            </v:textbox>
          </v:shape>
        </w:pict>
      </w:r>
    </w:p>
    <w:p>
      <w:pPr>
        <w:spacing w:line="540" w:lineRule="exact"/>
        <w:ind w:firstLine="640" w:firstLineChars="200"/>
        <w:jc w:val="left"/>
        <w:rPr>
          <w:rFonts w:ascii="仿宋" w:hAnsi="仿宋" w:eastAsia="仿宋" w:cstheme="minorEastAsia"/>
          <w:b/>
          <w:color w:val="000000" w:themeColor="text1"/>
          <w:sz w:val="32"/>
          <w:szCs w:val="32"/>
        </w:rPr>
      </w:pPr>
      <w:r>
        <w:rPr>
          <w:rFonts w:hint="eastAsia" w:ascii="仿宋" w:hAnsi="仿宋" w:eastAsia="仿宋" w:cstheme="minorEastAsia"/>
          <w:color w:val="000000" w:themeColor="text1"/>
          <w:sz w:val="32"/>
          <w:szCs w:val="32"/>
        </w:rPr>
        <w:t>2023年度“三公”经费预算为5.5万元，支出决算为0.51万元，完成预算的9%，决算数小于预算数的主要原因是我单位原专职司机被安排驻村开展乡村振兴帮扶工作，6月份以后公务用车一直未使用；另外，我单位认真贯彻落实中央“八项规定”和厉行节约要求，进一步从严控制“三公”经费支出，全年实际支出比预算节约。</w:t>
      </w:r>
    </w:p>
    <w:p>
      <w:pPr>
        <w:spacing w:line="540" w:lineRule="exact"/>
        <w:ind w:firstLine="643" w:firstLineChars="200"/>
        <w:rPr>
          <w:rFonts w:ascii="仿宋" w:hAnsi="仿宋" w:eastAsia="仿宋" w:cstheme="minorEastAsia"/>
          <w:b/>
          <w:color w:val="000000" w:themeColor="text1"/>
          <w:sz w:val="32"/>
          <w:szCs w:val="32"/>
        </w:rPr>
      </w:pPr>
      <w:r>
        <w:rPr>
          <w:rFonts w:hint="eastAsia" w:ascii="仿宋" w:hAnsi="仿宋" w:eastAsia="仿宋" w:cstheme="minorEastAsia"/>
          <w:b/>
          <w:color w:val="000000" w:themeColor="text1"/>
          <w:sz w:val="32"/>
          <w:szCs w:val="32"/>
          <w:lang w:val="en-US" w:eastAsia="zh-CN"/>
        </w:rPr>
        <w:t>4</w:t>
      </w:r>
      <w:r>
        <w:rPr>
          <w:rFonts w:hint="eastAsia" w:ascii="仿宋" w:hAnsi="仿宋" w:eastAsia="仿宋" w:cstheme="minorEastAsia"/>
          <w:b/>
          <w:color w:val="000000" w:themeColor="text1"/>
          <w:sz w:val="32"/>
          <w:szCs w:val="32"/>
        </w:rPr>
        <w:t>.“三公”经费支出决算具体情况说明。</w:t>
      </w:r>
      <w:r>
        <w:rPr>
          <w:rFonts w:hint="eastAsia" w:ascii="仿宋" w:hAnsi="仿宋" w:eastAsia="仿宋" w:cstheme="minorEastAsia"/>
          <w:color w:val="000000" w:themeColor="text1"/>
          <w:sz w:val="32"/>
          <w:szCs w:val="32"/>
        </w:rPr>
        <w:t>2023年度“三公”经费支出决算中，因公出国（境）支出决算0万元；公务用车购置及运行维护费支出决算0.45万元，占88%，公务接待费支出决算0.06万元，占12%。</w:t>
      </w:r>
    </w:p>
    <w:p>
      <w:pPr>
        <w:spacing w:line="540" w:lineRule="exact"/>
        <w:ind w:firstLine="640" w:firstLineChars="200"/>
        <w:jc w:val="left"/>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三、部门专项组织实施情况</w:t>
      </w:r>
    </w:p>
    <w:p>
      <w:pPr>
        <w:spacing w:line="540" w:lineRule="exact"/>
        <w:ind w:firstLine="643" w:firstLineChars="200"/>
        <w:jc w:val="left"/>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（一）项目组织情况分析</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rPr>
        <w:t>1.公租房后续管理组织情况：</w:t>
      </w:r>
      <w:r>
        <w:rPr>
          <w:rFonts w:hint="eastAsia" w:ascii="仿宋" w:hAnsi="仿宋" w:eastAsia="仿宋" w:cstheme="minorEastAsia"/>
          <w:color w:val="000000" w:themeColor="text1"/>
          <w:sz w:val="32"/>
          <w:szCs w:val="32"/>
        </w:rPr>
        <w:t>通过政府购买服务的方式，采取公开招投标方式确定物业服务企业，负责小区环境卫生、安全等工作高效运作；通过询价等方式择优选取房屋维修公司开展房屋维修和设备设施日常维护保养。</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rPr>
        <w:t>2.白蚁防治专项工作：</w:t>
      </w:r>
      <w:r>
        <w:rPr>
          <w:rFonts w:hint="eastAsia" w:ascii="仿宋" w:hAnsi="仿宋" w:eastAsia="仿宋" w:cstheme="minorEastAsia"/>
          <w:color w:val="000000" w:themeColor="text1"/>
          <w:sz w:val="32"/>
          <w:szCs w:val="32"/>
        </w:rPr>
        <w:t>白蚁防治药水、施工劳务费采购全部履行政府采购程序，确保公平公正。</w:t>
      </w:r>
    </w:p>
    <w:p>
      <w:pPr>
        <w:spacing w:line="540" w:lineRule="exact"/>
        <w:ind w:firstLine="643" w:firstLineChars="200"/>
        <w:jc w:val="left"/>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（二）项目管理情况</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rPr>
        <w:t>项目资金管理情况。</w:t>
      </w:r>
      <w:r>
        <w:rPr>
          <w:rFonts w:hint="eastAsia" w:ascii="仿宋" w:hAnsi="仿宋" w:eastAsia="仿宋" w:cstheme="minorEastAsia"/>
          <w:color w:val="000000" w:themeColor="text1"/>
          <w:sz w:val="32"/>
          <w:szCs w:val="32"/>
        </w:rPr>
        <w:t>一是财政管理制度健全。严格按照中央下达的专项资金管理办法，完善项目科目，加强资金监督，做到按进度付款。二是资金拨付手续完整。各项资金全部实现国库集中支付、专款专用、不存在支出依据不合规、虚列项目支出、截留、挤占、挪用和超标准支出等现象，使项目资金的运用得到了合理的控制，项目得到了切实的保障。三是会计信息质量真实。严格执行《会计法》等财经法规，严格按照相关会计制度办理会计业务，进行会计核算，并做好会计纪录，真实的反映项目资金管理情况，并接受市级财政、审计部门及上级主管部门的检查、监督。</w:t>
      </w:r>
    </w:p>
    <w:p>
      <w:pPr>
        <w:spacing w:line="540" w:lineRule="exact"/>
        <w:ind w:firstLine="640" w:firstLineChars="200"/>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四、资产管理情况</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反映部门资产的配置、管理、处置等综合情况。包括制度建设、管理措施、配置处置的程序等。</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2023年本单位资产总计为663.18万元，其中流动资产为236.54万元，固定资产为426.64万元。</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（一）制度建设。本单位制定了</w:t>
      </w:r>
      <w:r>
        <w:rPr>
          <w:rFonts w:hint="eastAsia" w:ascii="仿宋" w:hAnsi="仿宋" w:eastAsia="仿宋"/>
          <w:color w:val="000000"/>
          <w:sz w:val="32"/>
          <w:szCs w:val="32"/>
        </w:rPr>
        <w:t>《怀化市住房保障服务中心政府采购内控管理制度》、</w:t>
      </w:r>
      <w:r>
        <w:rPr>
          <w:rFonts w:ascii="仿宋" w:hAnsi="仿宋" w:eastAsia="仿宋" w:cs="宋体"/>
          <w:color w:val="333333"/>
          <w:sz w:val="32"/>
          <w:szCs w:val="32"/>
        </w:rPr>
        <w:t>《</w:t>
      </w:r>
      <w:r>
        <w:rPr>
          <w:rFonts w:hint="eastAsia" w:ascii="仿宋" w:hAnsi="仿宋" w:eastAsia="仿宋" w:cs="宋体"/>
          <w:color w:val="333333"/>
          <w:sz w:val="32"/>
          <w:szCs w:val="32"/>
        </w:rPr>
        <w:t>物业专项维修资金内部财务管理制度</w:t>
      </w:r>
      <w:r>
        <w:rPr>
          <w:rFonts w:ascii="仿宋" w:hAnsi="仿宋" w:eastAsia="仿宋" w:cs="宋体"/>
          <w:color w:val="333333"/>
          <w:sz w:val="32"/>
          <w:szCs w:val="32"/>
        </w:rPr>
        <w:t>》</w:t>
      </w:r>
      <w:r>
        <w:rPr>
          <w:rFonts w:hint="eastAsia" w:ascii="仿宋" w:hAnsi="仿宋" w:eastAsia="仿宋" w:cstheme="minorEastAsia"/>
          <w:color w:val="000000" w:themeColor="text1"/>
          <w:sz w:val="32"/>
          <w:szCs w:val="32"/>
        </w:rPr>
        <w:t>等多项财务制度。</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二）资产管理。对所有财产由办公室统一管理，建立台账，各部室及分支机构使用人为第一责任人，工作人员如有工作变动需及时办理移交手续。建立资产保管制度，对保管不善导致被盗或丢失的由责任人全额赔偿。</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（三）资产配置处理评价制度。如果单位需要配置和处置超过千元以上的资产提请单位领导研究，报单位领导审批后进行配置和处理。</w:t>
      </w:r>
    </w:p>
    <w:p>
      <w:pPr>
        <w:spacing w:line="540" w:lineRule="exact"/>
        <w:ind w:firstLine="640" w:firstLineChars="200"/>
        <w:jc w:val="left"/>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五、部门整体支出绩效情况</w:t>
      </w:r>
    </w:p>
    <w:p>
      <w:pPr>
        <w:adjustRightInd w:val="0"/>
        <w:snapToGrid w:val="0"/>
        <w:spacing w:line="540" w:lineRule="exact"/>
        <w:ind w:firstLine="643" w:firstLineChars="200"/>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（一）主要业务工作完成情况</w:t>
      </w:r>
    </w:p>
    <w:p>
      <w:pPr>
        <w:spacing w:line="540" w:lineRule="exact"/>
        <w:ind w:firstLine="643" w:firstLineChars="200"/>
        <w:jc w:val="left"/>
        <w:rPr>
          <w:rFonts w:ascii="仿宋" w:hAnsi="仿宋" w:eastAsia="仿宋" w:cstheme="minorEastAsia"/>
          <w:b/>
          <w:color w:val="000000" w:themeColor="text1"/>
          <w:sz w:val="32"/>
          <w:szCs w:val="32"/>
        </w:rPr>
      </w:pPr>
      <w:r>
        <w:rPr>
          <w:rFonts w:hint="eastAsia" w:ascii="仿宋" w:hAnsi="仿宋" w:eastAsia="仿宋" w:cstheme="minorEastAsia"/>
          <w:b/>
          <w:color w:val="000000" w:themeColor="text1"/>
          <w:sz w:val="32"/>
          <w:szCs w:val="32"/>
        </w:rPr>
        <w:t>1.物业专项维修资金管理工作。</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（1）维修资金归集使用情况。2023年完成维修资金归集1.34亿元，拨付使用665.75万元。截止2024年1月底，历年累计归集19.56亿元，累计使用拨付7444.52万元;累计利息收益2.2亿元。</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维修资金追缴情况。2023年将房地产开发企业代收未缴部分作为维修资金追缴工作重点，召开了10次专题调度会，制定了追缴工作方案，实行挂图作战。8月和9月分别开展了两次追缴“攻坚行动”，收集了29个项目开发企业代收业主维修资金和契税相关证据材料，共涉及2976户1896.88万元，其中金御名都项目资料已移交并委托专业律所启动民事诉讼途径进行追缴。9月份联合公安机关、税务机关集中约谈了24家开发企业负责人；向城管执法部门移交11个行政追缴项目证据材料，联合城管部门约谈开发企业11家。启动抵押资产拍卖程序，怀化电器大市场抵押资产三次拍卖、现代农机物流中心抵押资产两次拍卖均流拍，共涉及欠缴金额549.55万元，无平台公司兜底接拍。2023年共约谈开发企业84家，追缴现金入库2753.02万元，完成年度目标任务28.8%（2023年市追缴办下达我中心物业专项维修资金追缴任务为9558.96万元）。</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3）电梯维修保险改革试点情况。为有效解决电梯维保维修引发的矛盾，积极探索物业专项维修资金增值收益引入电梯维修保险改革试点工作，2023年11月，住建、市场监管、金融办三部门于联合下发了《怀化市物业专项维修资金探索增值收益引入电梯维修保险改革试点工作方案》，我中心于12月4日下发了《怀化市物业专项维修资金统筹账户增值收益购买电梯维修保险改革试点操作流程》，12月7日和15日召开了两次改革试点工作推介会，共50余家物业企业以及街道社区、业主代表参加了会议。现已正式开展该项改革试点工作，目前已签约恒大御景湾小区电梯19台，金磊富裕城小区电梯8台，预计三月底可达到200台，6月底不低于300台。</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rPr>
        <w:t>2.公租房后续管理工作。</w:t>
      </w:r>
      <w:r>
        <w:rPr>
          <w:rFonts w:hint="eastAsia" w:ascii="仿宋" w:hAnsi="仿宋" w:eastAsia="仿宋" w:cstheme="minorEastAsia"/>
          <w:color w:val="000000" w:themeColor="text1"/>
          <w:sz w:val="32"/>
          <w:szCs w:val="32"/>
        </w:rPr>
        <w:t>市本级城东、城南、城北三个公租房小区共有住房5478套。目前，现有住户5361户，2023年新分配入住264户，清退212户（其中，强制清退36户）；收取租金858.69万元（住房584.42万元、门面274.27万元），租金收取率99.53%；完成租赁资格年审5016户，完成率97.1%；开展日常维修280余次，维修金额112.26万元；按照2023年初确定的入户调查三年全覆盖和今年实现“双30%”的目标任务，目前已完成入户调查1660户，复查540户，完成率均达到30%；办理房屋租赁备案146宗。加强了对物业服务企业的监管和考核，小区管理服务质量有了较大提升，全年无安全生产责任事故。</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rPr>
        <w:t>3.白蚁防治工作情况。</w:t>
      </w:r>
      <w:r>
        <w:rPr>
          <w:rFonts w:hint="eastAsia" w:ascii="仿宋" w:hAnsi="仿宋" w:eastAsia="仿宋" w:cstheme="minorEastAsia"/>
          <w:color w:val="000000" w:themeColor="text1"/>
          <w:sz w:val="32"/>
          <w:szCs w:val="32"/>
        </w:rPr>
        <w:t>2023年，完成白蚁预防申请受理面积152万㎡，完成房屋白蚁预防施工230万㎡，房屋白蚁灭治施工面积3000㎡，树木白蚁灭治施工2.3万棵，完成房屋白蚁回访复查面积708万㎡，回访率98%。</w:t>
      </w:r>
    </w:p>
    <w:p>
      <w:pPr>
        <w:spacing w:line="540" w:lineRule="exact"/>
        <w:ind w:firstLine="643" w:firstLineChars="200"/>
        <w:jc w:val="left"/>
        <w:rPr>
          <w:rFonts w:ascii="仿宋" w:hAnsi="仿宋" w:eastAsia="仿宋" w:cstheme="minorEastAsia"/>
          <w:color w:val="000000" w:themeColor="text1"/>
          <w:sz w:val="32"/>
          <w:szCs w:val="32"/>
        </w:rPr>
      </w:pPr>
      <w:r>
        <w:rPr>
          <w:rFonts w:hint="eastAsia" w:ascii="仿宋" w:hAnsi="仿宋" w:eastAsia="仿宋" w:cstheme="minorEastAsia"/>
          <w:b/>
          <w:color w:val="000000" w:themeColor="text1"/>
          <w:sz w:val="32"/>
          <w:szCs w:val="32"/>
        </w:rPr>
        <w:t>4.购房补贴发放工作情况。</w:t>
      </w:r>
      <w:r>
        <w:rPr>
          <w:rFonts w:hint="eastAsia" w:ascii="仿宋" w:hAnsi="仿宋" w:eastAsia="仿宋" w:cstheme="minorEastAsia"/>
          <w:color w:val="000000" w:themeColor="text1"/>
          <w:sz w:val="32"/>
          <w:szCs w:val="32"/>
        </w:rPr>
        <w:t>中心提请市住建局联合市财政局、市税务局三部门于5月5日出台了《怀化市中心城区购房补贴实施细则》（怀建发﹝2023﹞29号）文件，对原补贴信息系统进行升级改造，建立了购房补贴发放工作专班。2023年，已完成购房补贴发放1255户（其中，第一批购房补贴发放490户，第二批765户），第三批799户正在审核拨付中，全年共完成补贴申请资料审查3934套。</w:t>
      </w:r>
    </w:p>
    <w:p>
      <w:pPr>
        <w:spacing w:line="540" w:lineRule="exact"/>
        <w:ind w:firstLine="643" w:firstLineChars="200"/>
        <w:jc w:val="left"/>
        <w:rPr>
          <w:rFonts w:ascii="楷体" w:hAnsi="楷体" w:eastAsia="楷体" w:cstheme="minorEastAsia"/>
          <w:b/>
          <w:bCs/>
          <w:color w:val="000000" w:themeColor="text1"/>
          <w:sz w:val="32"/>
          <w:szCs w:val="32"/>
        </w:rPr>
      </w:pPr>
      <w:r>
        <w:rPr>
          <w:rFonts w:hint="eastAsia" w:ascii="楷体" w:hAnsi="楷体" w:eastAsia="楷体" w:cstheme="minorEastAsia"/>
          <w:b/>
          <w:bCs/>
          <w:color w:val="000000" w:themeColor="text1"/>
          <w:sz w:val="32"/>
          <w:szCs w:val="32"/>
        </w:rPr>
        <w:t>（二）履职尽责，服务中心工作情况</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1.积极推进房地产遗留问题处理。</w:t>
      </w:r>
      <w:r>
        <w:rPr>
          <w:rFonts w:hint="eastAsia" w:ascii="仿宋" w:hAnsi="仿宋" w:eastAsia="仿宋" w:cstheme="minorEastAsia"/>
          <w:bCs/>
          <w:color w:val="000000" w:themeColor="text1"/>
          <w:sz w:val="32"/>
          <w:szCs w:val="32"/>
        </w:rPr>
        <w:t>我中心负责的房地产历史遗留问题项目共19个，目前，已进入办证程序的项目15个，2023年进入办证程序两个，分别为新天地和湖天名居项目，另外，怀化报业中心已由市城发集团接管续建，完成了项目续建安全检测工作，加固工程完工，项目总承包招投标工作启动，预计2024年9月主体工程完工；阳光上东国际项目所有施工已经全部完成正在开展验收相关工作，消防工程检测已经合格，待综合验收完成后便可达到交房条件，完成综合验收后与税务、自然资源部门进行相关税费结算，进入办证程序；西南名都项目正在加紧完成水、电、门窗、消防等扫尾工程施工，预计2024年上半年可进入办证程序；中坡瑞丰园项目正在组织投资招募工作，资金到位后即可启动复工续建工作。</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2.信访工作办理情况。</w:t>
      </w:r>
      <w:r>
        <w:rPr>
          <w:rFonts w:hint="eastAsia" w:ascii="仿宋" w:hAnsi="仿宋" w:eastAsia="仿宋" w:cstheme="minorEastAsia"/>
          <w:bCs/>
          <w:color w:val="000000" w:themeColor="text1"/>
          <w:sz w:val="32"/>
          <w:szCs w:val="32"/>
        </w:rPr>
        <w:t>2023年，我中心共办理省长信箱、市长热线、湘易办、红网、问政湖南等网络舆情事项135件，均按要求及时进行了处置回复，回复率和办结率均为100%，未发生不良舆情。办理省委第十二巡视组信访交办件32件，全部按时办理完结，签订息访罢诉承诺书14件；实体办结14件，占比43.75%；程序性办结18件，占比56.25%。下一步，将继续跟进省委巡视反馈问题整改及信访突出问题集中化解“百日攻坚”行动，对18件未实体性办结的信访件，进一步加强与信访人的沟通，按照“三到位一处理”原则做好政策解答和思想教育工作，对具备实体办结条件的力争实体性办结。</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3.市委巡察“回头看”反馈问题整改情况。</w:t>
      </w:r>
      <w:r>
        <w:rPr>
          <w:rFonts w:hint="eastAsia" w:ascii="仿宋" w:hAnsi="仿宋" w:eastAsia="仿宋" w:cstheme="minorEastAsia"/>
          <w:bCs/>
          <w:color w:val="000000" w:themeColor="text1"/>
          <w:sz w:val="32"/>
          <w:szCs w:val="32"/>
        </w:rPr>
        <w:t>市委巡察反馈涉及我中心问题19个，其中维修资金管理方面的问题13个。中心召开了4次巡察整改工作部署会议，成立了巡察整改工作领导小组，能够立行立改的问题已经整改到位，有时限要求暂时尚未整改到位的对照整改方案对任务进行了分解，于2024年1月10日下发了《关于印发&lt;巡察反馈意见整改任务分解表&gt;和&lt;“巡察专报”整改任务分解表&gt;的通知》（怀住保字﹝2024﹞1号）文件，明确了责任单位、责任人、整改目标和整改时限，要求所有整改任务在3月15日前有阶段性进展，同时要求将巡察整改作为当前一项重大政治任务，做到“当下改”与“长久立”相结合，深挖问题根源，举一反三，建章立制，积极探索防止类似问题发生的长效机制，确保巡察整改工作按时按质整改到位。</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4.党风廉政建设责任贯彻落实情况。</w:t>
      </w:r>
      <w:r>
        <w:rPr>
          <w:rFonts w:hint="eastAsia" w:ascii="仿宋" w:hAnsi="仿宋" w:eastAsia="仿宋" w:cstheme="minorEastAsia"/>
          <w:bCs/>
          <w:color w:val="000000" w:themeColor="text1"/>
          <w:sz w:val="32"/>
          <w:szCs w:val="32"/>
        </w:rPr>
        <w:t>全年召开党风廉政建设相关会议18次，中心领导讲专题廉政党课 4次，开展集体廉政谈话5 次，开展廉政家访16人次，开展提醒谈话12人次。一是建立完善清廉住保和清廉大厅建设制度。根据市委 “清廉怀化”建设和市直机关工委“清廉机关”创建工作要求，为进一步提高中心党员干部廉洁自律意识，强化对公权力的监督制约，研究制定了《推进“清廉住保”建设工作方案》、《“清廉大厅”建设方案》、《“清亲”履职关系正负面清单》等，细化工作措施、明确任务分工，压实工作责任，对基层党组织建设、清廉机关建设、“清廉大厅”建设、“清廉家庭”创建、正确履职尽责等提出明确要求，并在一定范围内公开公示。二是建立完善“三重一大”决策机制。根据市纪委《印发&lt;关于加强对市直单位党组（党委）“三重一大”决策监督若干工作措施&gt;的通知》（怀纪发﹝2023﹞9号）精神及市住建局党组工作要求，中心研究制定了落实“三重一大”决策监督措施方案以及《工作调度例会制度》，列出了“三重一大”事项清单，明确了“三重一大”即其他一般事项的决策程序，同时严格落实“第一议题”制度，及时跟进学习习近平总书记重要讲话重要指示批示精神，切实增强权力运行的透明度，自觉接受各方面监督。三是组织并同时参加了市住建局组织的易鹏飞安“镜鉴”以案促改“四个一”警示教育活动，聆听了《品五溪廉韵</w:t>
      </w:r>
      <w:r>
        <w:rPr>
          <w:rFonts w:hint="eastAsia" w:ascii="仿宋" w:hAnsi="宋体" w:cstheme="minorEastAsia"/>
          <w:bCs/>
          <w:color w:val="000000" w:themeColor="text1"/>
          <w:sz w:val="32"/>
          <w:szCs w:val="32"/>
        </w:rPr>
        <w:t>•</w:t>
      </w:r>
      <w:r>
        <w:rPr>
          <w:rFonts w:hint="eastAsia" w:ascii="仿宋" w:hAnsi="仿宋" w:eastAsia="仿宋" w:cstheme="minorEastAsia"/>
          <w:bCs/>
          <w:color w:val="000000" w:themeColor="text1"/>
          <w:sz w:val="32"/>
          <w:szCs w:val="32"/>
        </w:rPr>
        <w:t>建清廉怀化》主题音乐党课、集中观看了《泪洒悔恨—怀化市近年严重违纪违法党员干部忏悔警示录》、学习了市纪委有关文件精神、聆听了中心主要领导廉政党课等。四是开展了禁毒警示教育，组织观看《无毒人生》等警示教育片。同时，每次节假日及重要活动期间，均以微信或短信的方式向全体干部职工下发工作提示，对廉洁过节、作风建设、安全出行、值班值守等提出明确要求。五是严格执行个人重大事项报告等制度。中心副处级以上市管领导干部按要求如实申报个人重大事项，坚持婚丧喜庆进行申报审批制度，同时完善事前事后跟踪督查机制，杜绝借婚丧喜庆大操大办行为。严格执行上级有关加强公务用车管理，严格控制公务接待活动，研究制定了《政府采购内控管理制度》，压缩经费支出，确保工作正常运转。全年“三公经费”支出5095.52元（其中，公务接待支出640元，公务车辆运行支出4455.52元，无因公出国），同比减少91.5%。</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5.基层党建工作贯彻落实情况。</w:t>
      </w:r>
      <w:r>
        <w:rPr>
          <w:rFonts w:hint="eastAsia" w:ascii="仿宋" w:hAnsi="仿宋" w:eastAsia="仿宋" w:cstheme="minorEastAsia"/>
          <w:bCs/>
          <w:color w:val="000000" w:themeColor="text1"/>
          <w:sz w:val="32"/>
          <w:szCs w:val="32"/>
        </w:rPr>
        <w:t>一是对中心原2个在职党支部合并为1个党支部，并对支委会及成员进行了换届选举，着力把健全组织、配强班子作为基层组织建设的有力抓手。全年召开党建相关工作和学习会议18次，召开了易鹏飞案“镜鉴”以案促改“四个一”警示教育，开展了支部副书记曾浩炜违纪案件剖析专题组织生活会，开展了党员集中轮训培训和党的二十大精神知识竞赛。督促党员干部充分运用“学习强国”、干部网络学院、如法网等网络载体加强个人自学，不断提高政治能力和政治素养。二是认真贯彻落实党支部工作条例，以建设“四强”党支部为目标，研究制定了清廉机关等相关建设工作方案，对基层党组织建设、清廉机关、“清廉大厅”、“清廉家庭”等创建工作进行了安排部署。三是认真落实“三会一课”、谈心谈话、民主生活会、组织生活会、民主评议党员、领导干部双重组织生活等基本制度，全面提升党支部组织力，围绕“学习袁隆平</w:t>
      </w:r>
      <w:r>
        <w:rPr>
          <w:rFonts w:hint="eastAsia" w:ascii="仿宋" w:hAnsi="宋体" w:cstheme="minorEastAsia"/>
          <w:bCs/>
          <w:color w:val="000000" w:themeColor="text1"/>
          <w:sz w:val="32"/>
          <w:szCs w:val="32"/>
        </w:rPr>
        <w:t>•</w:t>
      </w:r>
      <w:r>
        <w:rPr>
          <w:rFonts w:hint="eastAsia" w:ascii="仿宋" w:hAnsi="仿宋" w:eastAsia="仿宋" w:cstheme="minorEastAsia"/>
          <w:bCs/>
          <w:color w:val="000000" w:themeColor="text1"/>
          <w:sz w:val="32"/>
          <w:szCs w:val="32"/>
        </w:rPr>
        <w:t>做一粒好种子”、党建引领生活垃圾分类、廉政警示教育、“一迎三创”、禁毒教育等主题开展“一月一课一片一实践”主题党日活动，全体党员参加了安江农校纪念园“学习袁隆平，做一粒好种子”主题党日活动，积极开展社区结对共建、党员志愿服务等活动，41名党员干部参与了“点亮微心愿</w:t>
      </w:r>
      <w:r>
        <w:rPr>
          <w:rFonts w:hint="eastAsia" w:ascii="仿宋" w:hAnsi="宋体" w:cstheme="minorEastAsia"/>
          <w:bCs/>
          <w:color w:val="000000" w:themeColor="text1"/>
          <w:sz w:val="32"/>
          <w:szCs w:val="32"/>
        </w:rPr>
        <w:t>•</w:t>
      </w:r>
      <w:r>
        <w:rPr>
          <w:rFonts w:hint="eastAsia" w:ascii="仿宋" w:hAnsi="仿宋" w:eastAsia="仿宋" w:cstheme="minorEastAsia"/>
          <w:bCs/>
          <w:color w:val="000000" w:themeColor="text1"/>
          <w:sz w:val="32"/>
          <w:szCs w:val="32"/>
        </w:rPr>
        <w:t>党群圆梦行”五溪先锋公益募捐活动。</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6.主题教育工作开展情况。</w:t>
      </w:r>
      <w:r>
        <w:rPr>
          <w:rFonts w:hint="eastAsia" w:ascii="仿宋" w:hAnsi="仿宋" w:eastAsia="仿宋" w:cstheme="minorEastAsia"/>
          <w:bCs/>
          <w:color w:val="000000" w:themeColor="text1"/>
          <w:sz w:val="32"/>
          <w:szCs w:val="32"/>
        </w:rPr>
        <w:t>一是9月份参加了局党组的研讨读书班，同时参加了局党组第一次集中学习和“以学铸魂”专题研讨交流。二是成立了中心主题教育工作领导小组，制定了实施方案、班子学习计划及个人学习计划。三是开展了集中学习和专题研讨交流，每月安排1天时间开展了主题教育集中学习，并分别开展了“以学增智”、“以学正风”、“以学促干”、政绩观大讨论、“走找想促”调研成果专题研讨，班子成员为全体干部职工上了2堂专题党课。四是开展了“走找想促”调研活动，副处级以上领导干部共上报调研问题信息50条，审核通过17条，截至目前已全部解决到位。五是开展了问题专项整改整治，其中，中心班子4个问题清单，副处级以上领导干部及正科级班子成员7个个人问题清单。六是开展了“四下基层”活动，其中，班子成员下基层现场宣讲2人次，下基层下访接访5人次，下基层现场办公6人次。七是开展了为民办实事活动，民生项目清单1个，即开展2022年至2023年怀化市中心城区购房补贴发放工作，受益群众规模约2万人；为民营企业解决实际问题5个。</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7.履行意识形态和网络意识形态工作责任情况。</w:t>
      </w:r>
      <w:r>
        <w:rPr>
          <w:rFonts w:hint="eastAsia" w:ascii="仿宋" w:hAnsi="仿宋" w:eastAsia="仿宋" w:cstheme="minorEastAsia"/>
          <w:bCs/>
          <w:color w:val="000000" w:themeColor="text1"/>
          <w:sz w:val="32"/>
          <w:szCs w:val="32"/>
        </w:rPr>
        <w:t>坚持把意识形态和网络意识形态工作纳入重要议事日程，2023年中心6次专题学习研究部署意识形态和网络意识形态工作。不断健全工作机制，严格落实工作责任，班子成员按照“一岗双责”要求抓好分管领域的意识形态和网络意识形态工作，同时明确两名网络舆情评论员，实时掌控网站主页意识形态动向，并对全体干部职工使用抖音、微信、QQ等网络工具提出严格要求，中心全年未发生意识形态领域不良舆情。</w:t>
      </w:r>
    </w:p>
    <w:p>
      <w:pPr>
        <w:spacing w:line="540" w:lineRule="exact"/>
        <w:ind w:firstLine="643" w:firstLineChars="200"/>
        <w:jc w:val="left"/>
        <w:rPr>
          <w:rFonts w:ascii="仿宋" w:hAnsi="仿宋" w:eastAsia="仿宋" w:cstheme="minorEastAsia"/>
          <w:bCs/>
          <w:color w:val="000000" w:themeColor="text1"/>
          <w:sz w:val="32"/>
          <w:szCs w:val="32"/>
        </w:rPr>
      </w:pPr>
      <w:r>
        <w:rPr>
          <w:rFonts w:hint="eastAsia" w:ascii="仿宋" w:hAnsi="仿宋" w:eastAsia="仿宋" w:cstheme="minorEastAsia"/>
          <w:b/>
          <w:bCs/>
          <w:color w:val="000000" w:themeColor="text1"/>
          <w:sz w:val="32"/>
          <w:szCs w:val="32"/>
        </w:rPr>
        <w:t>8.相关工作考核情况说明。</w:t>
      </w:r>
      <w:r>
        <w:rPr>
          <w:rFonts w:hint="eastAsia" w:ascii="仿宋" w:hAnsi="仿宋" w:eastAsia="仿宋" w:cstheme="minorEastAsia"/>
          <w:bCs/>
          <w:color w:val="000000" w:themeColor="text1"/>
          <w:sz w:val="32"/>
          <w:szCs w:val="32"/>
        </w:rPr>
        <w:t>2023年，我中心在全市安全生产和消防工作考核中被评为良好单位（共分为优秀、良好、合格三个等次），在平安建设工作考核中被评为合格单位（共分为先进、合格、不合格三个等次），在民意调查中排名146名（共170个单位）。</w:t>
      </w:r>
    </w:p>
    <w:p>
      <w:pPr>
        <w:spacing w:line="540" w:lineRule="exact"/>
        <w:ind w:firstLine="640" w:firstLineChars="200"/>
        <w:jc w:val="left"/>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六、综合评价情况及评价结论</w:t>
      </w:r>
    </w:p>
    <w:p>
      <w:pPr>
        <w:spacing w:line="540" w:lineRule="exact"/>
        <w:ind w:firstLine="640" w:firstLineChars="200"/>
        <w:jc w:val="left"/>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我单位积极组织实施了</w:t>
      </w:r>
      <w:r>
        <w:rPr>
          <w:rFonts w:ascii="仿宋" w:hAnsi="仿宋" w:eastAsia="仿宋" w:cstheme="minorEastAsia"/>
          <w:color w:val="000000" w:themeColor="text1"/>
          <w:sz w:val="32"/>
          <w:szCs w:val="32"/>
        </w:rPr>
        <w:t>202</w:t>
      </w:r>
      <w:r>
        <w:rPr>
          <w:rFonts w:hint="eastAsia" w:ascii="仿宋" w:hAnsi="仿宋" w:eastAsia="仿宋" w:cstheme="minorEastAsia"/>
          <w:color w:val="000000" w:themeColor="text1"/>
          <w:sz w:val="32"/>
          <w:szCs w:val="32"/>
        </w:rPr>
        <w:t>3年度专项资金管理，建立了专项资金和项目管理制度，规范了实施程序，较好地完成了</w:t>
      </w:r>
      <w:r>
        <w:rPr>
          <w:rFonts w:ascii="仿宋" w:hAnsi="仿宋" w:eastAsia="仿宋" w:cstheme="minorEastAsia"/>
          <w:color w:val="000000" w:themeColor="text1"/>
          <w:sz w:val="32"/>
          <w:szCs w:val="32"/>
        </w:rPr>
        <w:t>202</w:t>
      </w:r>
      <w:r>
        <w:rPr>
          <w:rFonts w:hint="eastAsia" w:ascii="仿宋" w:hAnsi="仿宋" w:eastAsia="仿宋" w:cstheme="minorEastAsia"/>
          <w:color w:val="000000" w:themeColor="text1"/>
          <w:sz w:val="32"/>
          <w:szCs w:val="32"/>
        </w:rPr>
        <w:t>3年度工作目标，但仍存在绩效目标不够细化、量化等问题，</w:t>
      </w:r>
      <w:r>
        <w:rPr>
          <w:rFonts w:ascii="仿宋" w:hAnsi="仿宋" w:eastAsia="仿宋" w:cstheme="minorEastAsia"/>
          <w:color w:val="000000" w:themeColor="text1"/>
          <w:sz w:val="32"/>
          <w:szCs w:val="32"/>
        </w:rPr>
        <w:t>根据《部门整体支出绩效自评表》，</w:t>
      </w:r>
      <w:r>
        <w:rPr>
          <w:rFonts w:hint="eastAsia" w:ascii="仿宋" w:hAnsi="仿宋" w:eastAsia="仿宋" w:cstheme="minorEastAsia"/>
          <w:color w:val="000000" w:themeColor="text1"/>
          <w:sz w:val="32"/>
          <w:szCs w:val="32"/>
        </w:rPr>
        <w:t>2023年度部门整体绩效自评综合评分为</w:t>
      </w:r>
      <w:r>
        <w:rPr>
          <w:rFonts w:ascii="仿宋" w:hAnsi="仿宋" w:eastAsia="仿宋" w:cstheme="minorEastAsia"/>
          <w:color w:val="000000" w:themeColor="text1"/>
          <w:sz w:val="32"/>
          <w:szCs w:val="32"/>
        </w:rPr>
        <w:t>9</w:t>
      </w:r>
      <w:r>
        <w:rPr>
          <w:rFonts w:hint="eastAsia" w:ascii="仿宋" w:hAnsi="仿宋" w:eastAsia="仿宋" w:cstheme="minorEastAsia"/>
          <w:color w:val="000000" w:themeColor="text1"/>
          <w:sz w:val="32"/>
          <w:szCs w:val="32"/>
        </w:rPr>
        <w:t>1.5分，评价等级为“优”。</w:t>
      </w:r>
    </w:p>
    <w:p>
      <w:pPr>
        <w:spacing w:line="540" w:lineRule="exact"/>
        <w:ind w:firstLine="640" w:firstLineChars="200"/>
        <w:jc w:val="left"/>
        <w:rPr>
          <w:rFonts w:ascii="黑体" w:hAnsi="黑体" w:eastAsia="黑体" w:cstheme="minorEastAsia"/>
          <w:color w:val="000000" w:themeColor="text1"/>
          <w:sz w:val="32"/>
          <w:szCs w:val="32"/>
        </w:rPr>
      </w:pPr>
      <w:r>
        <w:rPr>
          <w:rFonts w:ascii="黑体" w:hAnsi="黑体" w:eastAsia="黑体" w:cstheme="minorEastAsia"/>
          <w:color w:val="000000" w:themeColor="text1"/>
          <w:sz w:val="32"/>
          <w:szCs w:val="32"/>
        </w:rPr>
        <w:t>七</w:t>
      </w:r>
      <w:r>
        <w:rPr>
          <w:rFonts w:hint="eastAsia" w:ascii="黑体" w:hAnsi="黑体" w:eastAsia="黑体" w:cstheme="minorEastAsia"/>
          <w:color w:val="000000" w:themeColor="text1"/>
          <w:sz w:val="32"/>
          <w:szCs w:val="32"/>
        </w:rPr>
        <w:t>、存在的主要问题</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根据绩效评价工作要求，本单位认真的研究和部署，使自评工作得以顺利开展，并取得了较好效果，但仍存在以下几个方面的问题。</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（一）绩效评价工作内容需要在日常工作进行掌握和执行，对单位整体支出即有操作性和规范性，要求财务人员不断学习和培训才能提高单位绩效评价工作水平。</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二）部门整体绩效评价工作是一项长期性的工作，专业性强，工作量大，建议财政有关部门进一步加强开展相关的业务工作培训，组织开展部门之间、单位之间的经验交流，多注重对相关部门的督促指导，切实推进绩效评价工作的开展。</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（三）专项工作方面</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1.公租房后续管理协调联动难度大。公租房后续管理涉及住建、民政、公安、乡镇（街道）、市场监管、社区等多个部门，对取消公租房保障资格后，拒不退房承租人的处理，面临执法难、程序多、耗时长、成本高等问题。</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2.公租房清理清退难。公租房保障对象主要为城镇低保、低收入家庭及外来务工人员，在动态管理工作上很难掌握保障对象的实时情况，导致不能及时进行清理清退。</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3.维修资金追缴兜底接拍无法落实。怀化电器大市场抵押资产三次拍卖、现代农机物流中心抵押资产两次拍卖均流拍，共涉及欠缴金额549.55万元，无平台公司兜底接拍。</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4.部分企业法人失联或公司多次变更，维修资金追缴告知书无法送达（如北国之春、薰衣草家园、新玉溪港湾、香榭花园、太平盛世等）。</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5.我中心拟代业主启动维修资金追缴民事诉讼程序，但牵涉到诉讼费用问题，需要政府协调解决。</w:t>
      </w:r>
    </w:p>
    <w:p>
      <w:pPr>
        <w:spacing w:line="540" w:lineRule="exact"/>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6.开发企业未售物业维修资金缴纳问题，开发企业普遍非常困难，反应非常强烈，要求售后缴纳。</w:t>
      </w:r>
    </w:p>
    <w:p>
      <w:pPr>
        <w:spacing w:line="540" w:lineRule="exact"/>
        <w:ind w:firstLine="640" w:firstLineChars="200"/>
        <w:jc w:val="left"/>
        <w:rPr>
          <w:rFonts w:ascii="黑体" w:hAnsi="黑体" w:eastAsia="黑体"/>
          <w:color w:val="000000" w:themeColor="text1"/>
          <w:sz w:val="32"/>
          <w:szCs w:val="32"/>
        </w:rPr>
      </w:pPr>
      <w:r>
        <w:rPr>
          <w:rFonts w:ascii="黑体" w:hAnsi="黑体" w:eastAsia="黑体"/>
          <w:color w:val="000000" w:themeColor="text1"/>
          <w:sz w:val="32"/>
          <w:szCs w:val="32"/>
        </w:rPr>
        <w:t>八</w:t>
      </w:r>
      <w:r>
        <w:rPr>
          <w:rFonts w:hint="eastAsia" w:ascii="黑体" w:hAnsi="黑体" w:eastAsia="黑体"/>
          <w:color w:val="000000" w:themeColor="text1"/>
          <w:sz w:val="32"/>
          <w:szCs w:val="32"/>
        </w:rPr>
        <w:t>、改进措施和有关建议</w:t>
      </w:r>
    </w:p>
    <w:p>
      <w:pPr>
        <w:spacing w:line="54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将绩效管理与绩效评价两者的目标体系充分融合。在充分考虑内外部风险的基础上，围绕预算绩效管理重点和关键点，重塑科学性、规范性、操作性、可靠性强的绩效目标体系，并在目标体系建设过程中有效兼顾定性指标和定量指标、财务指标与非财务指标，对绩效指标进行针对性细化，确保指标体系能够保障实现行政、事业的社会公共服务职能和公益属性。如制定绩效目标的编报流程、职责分工、绩效目标设定范围和标准，涉及采购的符合政府采购要求的编报执行制度，采购资产、实施项目预算进度和达到何种绩效目标等均需明确相应要求，保证预算执行有章可循。</w:t>
      </w:r>
    </w:p>
    <w:p>
      <w:pPr>
        <w:spacing w:line="540" w:lineRule="exact"/>
        <w:ind w:firstLine="640" w:firstLineChars="200"/>
        <w:rPr>
          <w:rFonts w:ascii="宋体" w:hAnsi="宋体"/>
          <w:sz w:val="30"/>
          <w:szCs w:val="30"/>
        </w:rPr>
      </w:pPr>
      <w:r>
        <w:rPr>
          <w:rFonts w:hint="eastAsia" w:ascii="仿宋" w:hAnsi="仿宋" w:eastAsia="仿宋"/>
          <w:color w:val="000000" w:themeColor="text1"/>
          <w:sz w:val="32"/>
          <w:szCs w:val="32"/>
        </w:rPr>
        <w:t>2.引导单位将预算编制、执行过程中的绩效管理信息进行公开，使整个预算绩效目标从编报、申请到执行、反馈的全过程受到公众的监督管理；倒逼部门进一步增强责任意识、规矩意识，真正使“花钱必问效、无效必问责”落到实处；强化绩效管理意识，确保绩效管理的有效实施，实现以公开促规范、推改革、提效能的目标。</w:t>
      </w:r>
    </w:p>
    <w:p/>
    <w:p/>
    <w:p/>
    <w:p/>
    <w:p/>
    <w:p/>
    <w:p>
      <w:pPr>
        <w:rPr>
          <w:rFonts w:hint="eastAsia"/>
        </w:rPr>
      </w:pPr>
    </w:p>
    <w:p/>
    <w:p>
      <w:pPr>
        <w:spacing w:line="500" w:lineRule="exact"/>
        <w:rPr>
          <w:rFonts w:eastAsia="黑体"/>
          <w:sz w:val="32"/>
          <w:szCs w:val="32"/>
        </w:rPr>
      </w:pPr>
      <w:r>
        <w:rPr>
          <w:rFonts w:eastAsia="黑体"/>
          <w:sz w:val="32"/>
          <w:szCs w:val="32"/>
        </w:rPr>
        <w:t>附件</w:t>
      </w:r>
      <w:r>
        <w:rPr>
          <w:rFonts w:hint="eastAsia" w:eastAsia="黑体"/>
          <w:sz w:val="32"/>
          <w:szCs w:val="32"/>
        </w:rPr>
        <w:t>1-1</w:t>
      </w:r>
    </w:p>
    <w:p>
      <w:pPr>
        <w:spacing w:line="500" w:lineRule="exact"/>
        <w:jc w:val="center"/>
        <w:rPr>
          <w:rFonts w:eastAsia="仿宋_GB2312"/>
          <w:sz w:val="24"/>
        </w:rPr>
      </w:pPr>
      <w:r>
        <w:rPr>
          <w:rFonts w:eastAsia="方正小标宋_GBK"/>
          <w:sz w:val="36"/>
          <w:szCs w:val="36"/>
        </w:rPr>
        <w:t>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500" w:lineRule="exact"/>
              <w:jc w:val="center"/>
              <w:rPr>
                <w:rFonts w:eastAsia="仿宋_GB2312"/>
                <w:b/>
                <w:bCs/>
                <w:sz w:val="20"/>
                <w:szCs w:val="20"/>
              </w:rPr>
            </w:pPr>
            <w:r>
              <w:rPr>
                <w:rFonts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50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500" w:lineRule="exact"/>
              <w:jc w:val="center"/>
              <w:rPr>
                <w:rFonts w:eastAsia="仿宋_GB2312"/>
                <w:b/>
                <w:bCs/>
                <w:sz w:val="20"/>
                <w:szCs w:val="20"/>
              </w:rPr>
            </w:pPr>
            <w:r>
              <w:rPr>
                <w:rFonts w:eastAsia="仿宋_GB2312"/>
                <w:b/>
                <w:bCs/>
                <w:sz w:val="20"/>
                <w:szCs w:val="20"/>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hint="eastAsia" w:eastAsia="仿宋_GB2312"/>
                <w:sz w:val="20"/>
                <w:szCs w:val="20"/>
              </w:rPr>
              <w:t>57</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58</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87.88%</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2</w:t>
            </w:r>
            <w:r>
              <w:rPr>
                <w:rFonts w:eastAsia="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年决算数</w:t>
            </w:r>
          </w:p>
        </w:tc>
      </w:tr>
      <w:tr>
        <w:tblPrEx>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3.04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5.5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0.51</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3.04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4.5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0.45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r>
      <w:tr>
        <w:tblPrEx>
          <w:tblCellMar>
            <w:top w:w="0" w:type="dxa"/>
            <w:left w:w="108" w:type="dxa"/>
            <w:bottom w:w="0" w:type="dxa"/>
            <w:right w:w="108" w:type="dxa"/>
          </w:tblCellMar>
        </w:tblPrEx>
        <w:trPr>
          <w:trHeight w:val="573"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3.04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4.5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0.45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0.06</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582.52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476.49</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白蚁防治专项经费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162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90.60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公租房后续管理专项经费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420.52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385.89</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64.8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61.24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color w:val="FF0000"/>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10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0.99</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color w:val="FF0000"/>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10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18.38</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color w:val="FF0000"/>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202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hint="eastAsia" w:eastAsia="仿宋_GB2312"/>
                <w:sz w:val="20"/>
                <w:szCs w:val="20"/>
              </w:rPr>
              <w:t>137.34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left"/>
              <w:rPr>
                <w:rFonts w:eastAsia="仿宋_GB2312"/>
                <w:sz w:val="20"/>
                <w:szCs w:val="20"/>
              </w:rPr>
            </w:pPr>
            <w:r>
              <w:rPr>
                <w:rFonts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0</w:t>
            </w:r>
          </w:p>
        </w:tc>
      </w:tr>
      <w:tr>
        <w:tblPrEx>
          <w:tblCellMar>
            <w:top w:w="0" w:type="dxa"/>
            <w:left w:w="108" w:type="dxa"/>
            <w:bottom w:w="0" w:type="dxa"/>
            <w:right w:w="108" w:type="dxa"/>
          </w:tblCellMar>
        </w:tblPrEx>
        <w:trPr>
          <w:trHeight w:val="77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楼堂馆所控制情况</w:t>
            </w:r>
          </w:p>
        </w:tc>
        <w:tc>
          <w:tcPr>
            <w:tcW w:w="1189" w:type="dxa"/>
            <w:tcBorders>
              <w:top w:val="nil"/>
              <w:left w:val="nil"/>
              <w:bottom w:val="single" w:color="auto" w:sz="4" w:space="0"/>
              <w:right w:val="single" w:color="auto" w:sz="4" w:space="0"/>
            </w:tcBorders>
            <w:vAlign w:val="center"/>
          </w:tcPr>
          <w:p>
            <w:pPr>
              <w:widowControl/>
              <w:spacing w:line="500" w:lineRule="exact"/>
              <w:jc w:val="center"/>
              <w:rPr>
                <w:rFonts w:eastAsia="仿宋_GB2312"/>
                <w:bCs/>
                <w:sz w:val="20"/>
                <w:szCs w:val="20"/>
              </w:rPr>
            </w:pPr>
            <w:r>
              <w:rPr>
                <w:rFonts w:eastAsia="仿宋_GB2312"/>
                <w:bCs/>
                <w:sz w:val="20"/>
                <w:szCs w:val="20"/>
              </w:rPr>
              <w:t>批复规模</w:t>
            </w:r>
            <w:r>
              <w:rPr>
                <w:rFonts w:eastAsia="仿宋_GB2312"/>
                <w:bCs/>
                <w:sz w:val="20"/>
                <w:szCs w:val="20"/>
              </w:rPr>
              <w:br w:type="textWrapping"/>
            </w:r>
            <w:r>
              <w:rPr>
                <w:rFonts w:eastAsia="仿宋_GB2312"/>
                <w:bCs/>
                <w:sz w:val="20"/>
                <w:szCs w:val="20"/>
              </w:rPr>
              <w:t>（</w:t>
            </w:r>
            <w:r>
              <w:rPr>
                <w:bCs/>
                <w:sz w:val="20"/>
                <w:szCs w:val="20"/>
              </w:rPr>
              <w:t>㎡</w:t>
            </w:r>
            <w:r>
              <w:rPr>
                <w:rFonts w:eastAsia="仿宋_GB2312"/>
                <w:bCs/>
                <w:sz w:val="20"/>
                <w:szCs w:val="20"/>
              </w:rPr>
              <w:t>）</w:t>
            </w:r>
          </w:p>
        </w:tc>
        <w:tc>
          <w:tcPr>
            <w:tcW w:w="849" w:type="dxa"/>
            <w:tcBorders>
              <w:top w:val="nil"/>
              <w:left w:val="nil"/>
              <w:bottom w:val="single" w:color="auto" w:sz="4" w:space="0"/>
              <w:right w:val="single" w:color="auto" w:sz="4" w:space="0"/>
            </w:tcBorders>
            <w:vAlign w:val="center"/>
          </w:tcPr>
          <w:p>
            <w:pPr>
              <w:widowControl/>
              <w:spacing w:line="50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tcBorders>
              <w:top w:val="nil"/>
              <w:left w:val="nil"/>
              <w:bottom w:val="single" w:color="auto" w:sz="4" w:space="0"/>
              <w:right w:val="single" w:color="auto" w:sz="4" w:space="0"/>
            </w:tcBorders>
            <w:vAlign w:val="center"/>
          </w:tcPr>
          <w:p>
            <w:pPr>
              <w:widowControl/>
              <w:spacing w:line="500" w:lineRule="exact"/>
              <w:jc w:val="center"/>
              <w:rPr>
                <w:rFonts w:eastAsia="仿宋_GB2312"/>
                <w:bCs/>
                <w:sz w:val="20"/>
                <w:szCs w:val="20"/>
              </w:rPr>
            </w:pPr>
            <w:r>
              <w:rPr>
                <w:rFonts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500" w:lineRule="exact"/>
              <w:jc w:val="center"/>
              <w:rPr>
                <w:rFonts w:eastAsia="仿宋_GB2312"/>
                <w:bCs/>
                <w:sz w:val="20"/>
                <w:szCs w:val="20"/>
              </w:rPr>
            </w:pPr>
            <w:r>
              <w:rPr>
                <w:rFonts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500" w:lineRule="exact"/>
              <w:jc w:val="center"/>
              <w:rPr>
                <w:rFonts w:eastAsia="仿宋_GB2312"/>
                <w:bCs/>
                <w:sz w:val="20"/>
                <w:szCs w:val="20"/>
              </w:rPr>
            </w:pPr>
            <w:r>
              <w:rPr>
                <w:rFonts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500" w:lineRule="exact"/>
              <w:jc w:val="center"/>
              <w:rPr>
                <w:rFonts w:eastAsia="仿宋_GB2312"/>
                <w:bCs/>
                <w:sz w:val="20"/>
                <w:szCs w:val="20"/>
              </w:rPr>
            </w:pPr>
            <w:r>
              <w:rPr>
                <w:rFonts w:eastAsia="仿宋_GB2312"/>
                <w:bCs/>
                <w:sz w:val="20"/>
                <w:szCs w:val="20"/>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p>
        </w:tc>
        <w:tc>
          <w:tcPr>
            <w:tcW w:w="1189" w:type="dxa"/>
            <w:tcBorders>
              <w:top w:val="nil"/>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0</w:t>
            </w:r>
          </w:p>
        </w:tc>
        <w:tc>
          <w:tcPr>
            <w:tcW w:w="849" w:type="dxa"/>
            <w:tcBorders>
              <w:top w:val="nil"/>
              <w:left w:val="nil"/>
              <w:bottom w:val="single" w:color="auto" w:sz="4" w:space="0"/>
              <w:right w:val="single" w:color="auto" w:sz="4" w:space="0"/>
            </w:tcBorders>
            <w:vAlign w:val="center"/>
          </w:tcPr>
          <w:p>
            <w:pPr>
              <w:widowControl/>
              <w:spacing w:line="500" w:lineRule="exact"/>
              <w:ind w:firstLine="300" w:firstLineChars="150"/>
              <w:jc w:val="center"/>
              <w:rPr>
                <w:rFonts w:eastAsia="仿宋_GB2312"/>
                <w:sz w:val="20"/>
                <w:szCs w:val="20"/>
              </w:rPr>
            </w:pPr>
            <w:r>
              <w:rPr>
                <w:rFonts w:eastAsia="仿宋_GB2312"/>
                <w:sz w:val="20"/>
                <w:szCs w:val="20"/>
              </w:rPr>
              <w:t>0</w:t>
            </w:r>
          </w:p>
        </w:tc>
        <w:tc>
          <w:tcPr>
            <w:tcW w:w="1129" w:type="dxa"/>
            <w:tcBorders>
              <w:top w:val="nil"/>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100%</w:t>
            </w:r>
          </w:p>
        </w:tc>
        <w:tc>
          <w:tcPr>
            <w:tcW w:w="1111" w:type="dxa"/>
            <w:tcBorders>
              <w:top w:val="nil"/>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0</w:t>
            </w:r>
          </w:p>
        </w:tc>
        <w:tc>
          <w:tcPr>
            <w:tcW w:w="1081" w:type="dxa"/>
            <w:tcBorders>
              <w:top w:val="nil"/>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0</w:t>
            </w:r>
          </w:p>
        </w:tc>
        <w:tc>
          <w:tcPr>
            <w:tcW w:w="960" w:type="dxa"/>
            <w:tcBorders>
              <w:top w:val="nil"/>
              <w:left w:val="nil"/>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100%</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eastAsia="仿宋_GB2312"/>
                <w:sz w:val="20"/>
                <w:szCs w:val="20"/>
              </w:rPr>
            </w:pPr>
            <w:r>
              <w:rPr>
                <w:rFonts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500" w:lineRule="exact"/>
              <w:jc w:val="center"/>
              <w:rPr>
                <w:rFonts w:eastAsia="仿宋_GB2312"/>
                <w:sz w:val="20"/>
                <w:szCs w:val="20"/>
              </w:rPr>
            </w:pPr>
            <w:r>
              <w:rPr>
                <w:rFonts w:eastAsia="仿宋_GB2312"/>
                <w:sz w:val="20"/>
                <w:szCs w:val="20"/>
              </w:rPr>
              <w:t>严格执行上级相关要求，树立过紧日子思想，减少不必要的开支</w:t>
            </w:r>
          </w:p>
        </w:tc>
      </w:tr>
    </w:tbl>
    <w:p>
      <w:pPr>
        <w:tabs>
          <w:tab w:val="left" w:pos="673"/>
        </w:tabs>
        <w:spacing w:line="500" w:lineRule="exact"/>
        <w:jc w:val="left"/>
      </w:pPr>
    </w:p>
    <w:p>
      <w:pPr>
        <w:widowControl/>
        <w:spacing w:afterLines="50"/>
        <w:jc w:val="left"/>
        <w:rPr>
          <w:rFonts w:eastAsia="黑体"/>
          <w:sz w:val="32"/>
          <w:szCs w:val="32"/>
        </w:rPr>
      </w:pPr>
      <w:r>
        <w:rPr>
          <w:rFonts w:eastAsia="黑体"/>
          <w:sz w:val="32"/>
          <w:szCs w:val="32"/>
        </w:rPr>
        <w:t>附件</w:t>
      </w:r>
      <w:r>
        <w:rPr>
          <w:rFonts w:hint="eastAsia" w:eastAsia="黑体"/>
          <w:sz w:val="32"/>
          <w:szCs w:val="32"/>
        </w:rPr>
        <w:t>1-2</w:t>
      </w:r>
    </w:p>
    <w:p>
      <w:pPr>
        <w:widowControl/>
        <w:spacing w:afterLines="50"/>
        <w:jc w:val="center"/>
        <w:rPr>
          <w:rFonts w:eastAsia="方正小标宋_GBK"/>
          <w:color w:val="000000"/>
          <w:sz w:val="36"/>
          <w:szCs w:val="36"/>
        </w:rPr>
      </w:pPr>
      <w:r>
        <w:rPr>
          <w:rFonts w:eastAsia="方正小标宋_GBK"/>
          <w:color w:val="000000"/>
          <w:sz w:val="36"/>
          <w:szCs w:val="36"/>
        </w:rPr>
        <w:t>部门整体支出绩效自评表</w:t>
      </w:r>
    </w:p>
    <w:tbl>
      <w:tblPr>
        <w:tblStyle w:val="4"/>
        <w:tblW w:w="10079" w:type="dxa"/>
        <w:jc w:val="center"/>
        <w:tblLayout w:type="autofit"/>
        <w:tblCellMar>
          <w:top w:w="0" w:type="dxa"/>
          <w:left w:w="108" w:type="dxa"/>
          <w:bottom w:w="0" w:type="dxa"/>
          <w:right w:w="108" w:type="dxa"/>
        </w:tblCellMar>
      </w:tblPr>
      <w:tblGrid>
        <w:gridCol w:w="1075"/>
        <w:gridCol w:w="1076"/>
        <w:gridCol w:w="948"/>
        <w:gridCol w:w="1253"/>
        <w:gridCol w:w="94"/>
        <w:gridCol w:w="1307"/>
        <w:gridCol w:w="1266"/>
        <w:gridCol w:w="714"/>
        <w:gridCol w:w="916"/>
        <w:gridCol w:w="1430"/>
      </w:tblGrid>
      <w:tr>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预算单位名称</w:t>
            </w:r>
          </w:p>
        </w:tc>
        <w:tc>
          <w:tcPr>
            <w:tcW w:w="9004"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怀化市住房保障服务中心</w:t>
            </w: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年度预</w:t>
            </w:r>
          </w:p>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算申请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024"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p>
        </w:tc>
        <w:tc>
          <w:tcPr>
            <w:tcW w:w="1253"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年初预算数</w:t>
            </w:r>
          </w:p>
        </w:tc>
        <w:tc>
          <w:tcPr>
            <w:tcW w:w="1401"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全年预算数</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全年执行数</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916"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执行率</w:t>
            </w:r>
          </w:p>
        </w:tc>
        <w:tc>
          <w:tcPr>
            <w:tcW w:w="143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p>
        </w:tc>
        <w:tc>
          <w:tcPr>
            <w:tcW w:w="2024"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color w:val="000000"/>
                <w:sz w:val="20"/>
                <w:szCs w:val="20"/>
              </w:rPr>
              <w:t>年度资金总额</w:t>
            </w:r>
          </w:p>
        </w:tc>
        <w:tc>
          <w:tcPr>
            <w:tcW w:w="1253"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1135.38</w:t>
            </w:r>
          </w:p>
        </w:tc>
        <w:tc>
          <w:tcPr>
            <w:tcW w:w="1401"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1375.03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1375.03</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10</w:t>
            </w:r>
          </w:p>
        </w:tc>
        <w:tc>
          <w:tcPr>
            <w:tcW w:w="916"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100%</w:t>
            </w:r>
          </w:p>
        </w:tc>
        <w:tc>
          <w:tcPr>
            <w:tcW w:w="143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10</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c>
          <w:tcPr>
            <w:tcW w:w="4678" w:type="dxa"/>
            <w:gridSpan w:val="5"/>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按收入性质分：</w:t>
            </w:r>
          </w:p>
        </w:tc>
        <w:tc>
          <w:tcPr>
            <w:tcW w:w="4326" w:type="dxa"/>
            <w:gridSpan w:val="4"/>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按支出性质分：</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c>
          <w:tcPr>
            <w:tcW w:w="4678" w:type="dxa"/>
            <w:gridSpan w:val="5"/>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xml:space="preserve">  其中：  一般公共预算：1364.72</w:t>
            </w:r>
          </w:p>
        </w:tc>
        <w:tc>
          <w:tcPr>
            <w:tcW w:w="4326" w:type="dxa"/>
            <w:gridSpan w:val="4"/>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其中：基本支出：841.40</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c>
          <w:tcPr>
            <w:tcW w:w="4678" w:type="dxa"/>
            <w:gridSpan w:val="5"/>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仿宋" w:hAnsi="仿宋" w:eastAsia="仿宋" w:cs="仿宋"/>
                <w:color w:val="000000"/>
                <w:sz w:val="20"/>
                <w:szCs w:val="20"/>
              </w:rPr>
            </w:pPr>
            <w:r>
              <w:rPr>
                <w:rFonts w:hint="eastAsia" w:ascii="仿宋" w:hAnsi="仿宋" w:eastAsia="仿宋" w:cs="仿宋"/>
                <w:color w:val="000000"/>
                <w:sz w:val="20"/>
                <w:szCs w:val="20"/>
              </w:rPr>
              <w:t>政府性基金拨款：5</w:t>
            </w:r>
          </w:p>
        </w:tc>
        <w:tc>
          <w:tcPr>
            <w:tcW w:w="4326"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仿宋" w:hAnsi="仿宋" w:eastAsia="仿宋" w:cs="仿宋"/>
                <w:color w:val="000000"/>
                <w:sz w:val="20"/>
                <w:szCs w:val="20"/>
              </w:rPr>
            </w:pPr>
            <w:r>
              <w:rPr>
                <w:rFonts w:hint="eastAsia" w:ascii="仿宋" w:hAnsi="仿宋" w:eastAsia="仿宋" w:cs="仿宋"/>
                <w:color w:val="000000"/>
                <w:sz w:val="20"/>
                <w:szCs w:val="20"/>
              </w:rPr>
              <w:t>项目支出：533.64</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c>
          <w:tcPr>
            <w:tcW w:w="4678" w:type="dxa"/>
            <w:gridSpan w:val="5"/>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纳入专户管理的非税收入拨款：0</w:t>
            </w:r>
          </w:p>
        </w:tc>
        <w:tc>
          <w:tcPr>
            <w:tcW w:w="4326" w:type="dxa"/>
            <w:gridSpan w:val="4"/>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75"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c>
          <w:tcPr>
            <w:tcW w:w="4678" w:type="dxa"/>
            <w:gridSpan w:val="5"/>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仿宋" w:hAnsi="仿宋" w:eastAsia="仿宋" w:cs="仿宋"/>
                <w:color w:val="000000"/>
                <w:sz w:val="20"/>
                <w:szCs w:val="20"/>
              </w:rPr>
            </w:pPr>
            <w:r>
              <w:rPr>
                <w:rFonts w:hint="eastAsia" w:ascii="仿宋" w:hAnsi="仿宋" w:eastAsia="仿宋" w:cs="仿宋"/>
                <w:color w:val="000000"/>
                <w:sz w:val="20"/>
                <w:szCs w:val="20"/>
              </w:rPr>
              <w:t>其他资金：10.31</w:t>
            </w:r>
          </w:p>
        </w:tc>
        <w:tc>
          <w:tcPr>
            <w:tcW w:w="4326" w:type="dxa"/>
            <w:gridSpan w:val="4"/>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678"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预期目标</w:t>
            </w:r>
          </w:p>
        </w:tc>
        <w:tc>
          <w:tcPr>
            <w:tcW w:w="43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实际完成情况</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c>
          <w:tcPr>
            <w:tcW w:w="4678" w:type="dxa"/>
            <w:gridSpan w:val="5"/>
            <w:tcBorders>
              <w:top w:val="single" w:color="auto" w:sz="4" w:space="0"/>
              <w:left w:val="nil"/>
              <w:bottom w:val="single" w:color="auto" w:sz="4" w:space="0"/>
              <w:right w:val="single" w:color="000000" w:sz="4" w:space="0"/>
            </w:tcBorders>
            <w:vAlign w:val="center"/>
          </w:tcPr>
          <w:p>
            <w:pPr>
              <w:widowControl/>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1.做好物业专项维修资金管理服务工作，尤其是物业专项维修资金追缴工作。</w:t>
            </w:r>
          </w:p>
          <w:p>
            <w:pPr>
              <w:widowControl/>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2.抓好房屋租赁和公租房管理后续服务工作。</w:t>
            </w:r>
          </w:p>
          <w:p>
            <w:pPr>
              <w:widowControl/>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3.抓好白蚁防治工作。</w:t>
            </w:r>
          </w:p>
          <w:p>
            <w:pPr>
              <w:widowControl/>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4.其他工作任务等。</w:t>
            </w:r>
          </w:p>
        </w:tc>
        <w:tc>
          <w:tcPr>
            <w:tcW w:w="432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1.2023年完成维修资金归集1.34亿元，拨付使用665.75万元。截止2024年1月底，历年累计归集19.56亿元，累计使用拨付7444.52万元;累计利息收益2.2亿元。</w:t>
            </w:r>
          </w:p>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2.2023年共约谈开发企业84家，追缴现金入库2753.02万元，完成年度目标任务28.8%。</w:t>
            </w:r>
          </w:p>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3.市本级城东、城南、城北三个公租房小区共有住房5478套。目前，现有住户5361户，2023年新分配入住264户，清退212户（其中，强制清退36户）；收取租金858.69万元（住房584.42万元、门面274.27万元），租金收取率99.53%；完成租赁资格年审5016户，完成率97.1%；开展日常维修280余次，维修金额112.26万元；按照2023年初确定的入户调查三年全覆盖和今年实现“双30%”的目标任务，目前已完成入户调查1660户，复查540户，完成率均达到30%；办理房屋租赁备案146宗。加强了对物业服务企业的监管和考核，小区管理服务质量有了较大提升，全年无安全生产责任事故。</w:t>
            </w:r>
          </w:p>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4.2023年，完成白蚁预防申请受理面积152万㎡，完成房屋白蚁预防施工230万㎡，房屋白蚁灭治施工面积3000㎡，树木白蚁灭治施工2.3万棵，完成房屋白蚁回访复查面积708万㎡，回访率98%。</w:t>
            </w:r>
          </w:p>
        </w:tc>
      </w:tr>
      <w:tr>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绩</w:t>
            </w:r>
          </w:p>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w:t>
            </w:r>
          </w:p>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指</w:t>
            </w:r>
          </w:p>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标</w:t>
            </w:r>
          </w:p>
          <w:p>
            <w:pPr>
              <w:widowControl/>
              <w:spacing w:line="240" w:lineRule="exact"/>
              <w:jc w:val="center"/>
              <w:rPr>
                <w:rFonts w:ascii="仿宋" w:hAnsi="仿宋" w:eastAsia="仿宋" w:cs="仿宋"/>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b/>
                <w:color w:val="000000"/>
                <w:sz w:val="20"/>
                <w:szCs w:val="20"/>
              </w:rPr>
              <w:t>一级指标</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b/>
                <w:color w:val="000000"/>
                <w:sz w:val="20"/>
                <w:szCs w:val="20"/>
              </w:rPr>
              <w:t>二级指标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b/>
                <w:color w:val="000000"/>
                <w:sz w:val="20"/>
                <w:szCs w:val="20"/>
              </w:rPr>
              <w:t>三级指标</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年度指标值</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实际完成值</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分值</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得分</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Style w:val="8"/>
                <w:rFonts w:hint="default" w:ascii="仿宋" w:hAnsi="仿宋" w:eastAsia="仿宋" w:cs="仿宋"/>
              </w:rPr>
              <w:t>成本指标</w:t>
            </w:r>
            <w:r>
              <w:rPr>
                <w:rStyle w:val="9"/>
                <w:rFonts w:hint="default" w:ascii="仿宋" w:hAnsi="仿宋" w:eastAsia="仿宋" w:cs="仿宋"/>
              </w:rPr>
              <w:t>（20分）</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经济成本指标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基本支出成本控制</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≤933.38万元</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841.40万元</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项目支出成本控制</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≤202万元</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533.63万元</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本单位代管市本级公租房后续管理工作，年初工作专项经费纳入财政局部门预算，不纳入本单位年初预算。</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社会成本指标</w:t>
            </w:r>
          </w:p>
        </w:tc>
        <w:tc>
          <w:tcPr>
            <w:tcW w:w="698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不适用</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生态环境成本指标</w:t>
            </w:r>
          </w:p>
        </w:tc>
        <w:tc>
          <w:tcPr>
            <w:tcW w:w="6980"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不适用</w:t>
            </w:r>
          </w:p>
        </w:tc>
      </w:tr>
      <w:tr>
        <w:tblPrEx>
          <w:tblCellMar>
            <w:top w:w="0" w:type="dxa"/>
            <w:left w:w="108" w:type="dxa"/>
            <w:bottom w:w="0" w:type="dxa"/>
            <w:right w:w="108" w:type="dxa"/>
          </w:tblCellMar>
        </w:tblPrEx>
        <w:trPr>
          <w:trHeight w:val="243"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产出指标（40分）</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数量指标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工作任务完成数量</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8个</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11个</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15</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质量指标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各项工作达标完成</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100%</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100%</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15</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时效指标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完成及时性</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2023年12月之前</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2023年12月之前</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 xml:space="preserve">效益指标（20分） </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经济效益指标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充分发挥资金效益</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社会效益指标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保障各项业务工作顺利开展</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生态效益指标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白蚁防治工作减少白蚁对生态环境的破坏</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33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0"/>
                <w:szCs w:val="20"/>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建立有效的内部控制管理制度，提本增效</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27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cs="仿宋"/>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满意度指标（10分）</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受益群众及职工满意度</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90%</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95%</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270" w:hRule="atLeast"/>
          <w:jc w:val="center"/>
        </w:trPr>
        <w:tc>
          <w:tcPr>
            <w:tcW w:w="701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总分</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100</w:t>
            </w:r>
          </w:p>
        </w:tc>
        <w:tc>
          <w:tcPr>
            <w:tcW w:w="9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color w:val="000000"/>
                <w:sz w:val="20"/>
                <w:szCs w:val="20"/>
              </w:rPr>
            </w:pPr>
            <w:r>
              <w:rPr>
                <w:rFonts w:hint="eastAsia" w:ascii="仿宋" w:hAnsi="仿宋" w:eastAsia="仿宋" w:cs="仿宋"/>
                <w:color w:val="000000"/>
                <w:sz w:val="20"/>
                <w:szCs w:val="20"/>
              </w:rPr>
              <w:t>91.5</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color w:val="000000"/>
                <w:sz w:val="20"/>
                <w:szCs w:val="20"/>
              </w:rPr>
            </w:pPr>
            <w:r>
              <w:rPr>
                <w:rFonts w:hint="eastAsia" w:ascii="仿宋" w:hAnsi="仿宋" w:eastAsia="仿宋" w:cs="仿宋"/>
                <w:color w:val="000000"/>
                <w:sz w:val="20"/>
                <w:szCs w:val="20"/>
              </w:rPr>
              <w:t>　</w:t>
            </w:r>
          </w:p>
        </w:tc>
      </w:tr>
    </w:tbl>
    <w:p>
      <w:pPr>
        <w:tabs>
          <w:tab w:val="left" w:pos="673"/>
        </w:tabs>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6D0BE"/>
    <w:multiLevelType w:val="singleLevel"/>
    <w:tmpl w:val="FD36D0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VlMTgzMWEwZWExMTFiYmNjODYxYzlkNThkYzVlYWUifQ=="/>
  </w:docVars>
  <w:rsids>
    <w:rsidRoot w:val="000C5B9E"/>
    <w:rsid w:val="0006491E"/>
    <w:rsid w:val="0008798A"/>
    <w:rsid w:val="000C5B9E"/>
    <w:rsid w:val="000E0FE4"/>
    <w:rsid w:val="000E78F4"/>
    <w:rsid w:val="00117743"/>
    <w:rsid w:val="00144639"/>
    <w:rsid w:val="00237DFC"/>
    <w:rsid w:val="002D4335"/>
    <w:rsid w:val="00300EE8"/>
    <w:rsid w:val="00344C6B"/>
    <w:rsid w:val="003A66FA"/>
    <w:rsid w:val="00401DA9"/>
    <w:rsid w:val="0045355D"/>
    <w:rsid w:val="00480D16"/>
    <w:rsid w:val="004C60E4"/>
    <w:rsid w:val="00570737"/>
    <w:rsid w:val="005B274F"/>
    <w:rsid w:val="00610486"/>
    <w:rsid w:val="00617BAF"/>
    <w:rsid w:val="00633E7A"/>
    <w:rsid w:val="00643918"/>
    <w:rsid w:val="006A3E54"/>
    <w:rsid w:val="0072552A"/>
    <w:rsid w:val="0073326D"/>
    <w:rsid w:val="007A26D3"/>
    <w:rsid w:val="00811D53"/>
    <w:rsid w:val="0085460C"/>
    <w:rsid w:val="008A7C5E"/>
    <w:rsid w:val="00A1036F"/>
    <w:rsid w:val="00AE1C9B"/>
    <w:rsid w:val="00CE4CF6"/>
    <w:rsid w:val="00D12D79"/>
    <w:rsid w:val="00D40671"/>
    <w:rsid w:val="00E819CD"/>
    <w:rsid w:val="00EE743A"/>
    <w:rsid w:val="00F62E26"/>
    <w:rsid w:val="00F91E66"/>
    <w:rsid w:val="00FE6404"/>
    <w:rsid w:val="01EBB393"/>
    <w:rsid w:val="03FF1D61"/>
    <w:rsid w:val="054D7D61"/>
    <w:rsid w:val="068F24CD"/>
    <w:rsid w:val="07387DF9"/>
    <w:rsid w:val="12525485"/>
    <w:rsid w:val="1CADF306"/>
    <w:rsid w:val="27741C56"/>
    <w:rsid w:val="2A996F35"/>
    <w:rsid w:val="3F7F99D7"/>
    <w:rsid w:val="45B42D87"/>
    <w:rsid w:val="475C05A2"/>
    <w:rsid w:val="4ADBBCF8"/>
    <w:rsid w:val="4B613821"/>
    <w:rsid w:val="5FE5F591"/>
    <w:rsid w:val="5FFF5C8D"/>
    <w:rsid w:val="67BA6EFF"/>
    <w:rsid w:val="6ADA4585"/>
    <w:rsid w:val="79BFD123"/>
    <w:rsid w:val="7E0B7411"/>
    <w:rsid w:val="7FFF0080"/>
    <w:rsid w:val="DF7FDDAD"/>
    <w:rsid w:val="DFF568CF"/>
    <w:rsid w:val="E7E1D0B9"/>
    <w:rsid w:val="ED4766F9"/>
    <w:rsid w:val="FBFE1CF7"/>
    <w:rsid w:val="FFCB8051"/>
    <w:rsid w:val="FFF9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kern w:val="0"/>
      <w:sz w:val="18"/>
      <w:szCs w:val="18"/>
    </w:rPr>
  </w:style>
  <w:style w:type="character" w:customStyle="1" w:styleId="7">
    <w:name w:val="页脚 Char"/>
    <w:basedOn w:val="5"/>
    <w:link w:val="2"/>
    <w:qFormat/>
    <w:uiPriority w:val="99"/>
    <w:rPr>
      <w:rFonts w:ascii="Times New Roman" w:hAnsi="Times New Roman" w:eastAsia="宋体" w:cs="Times New Roman"/>
      <w:kern w:val="0"/>
      <w:sz w:val="18"/>
      <w:szCs w:val="18"/>
    </w:rPr>
  </w:style>
  <w:style w:type="character" w:customStyle="1" w:styleId="8">
    <w:name w:val="font31"/>
    <w:basedOn w:val="5"/>
    <w:uiPriority w:val="0"/>
    <w:rPr>
      <w:rFonts w:hint="eastAsia" w:ascii="宋体" w:hAnsi="宋体" w:eastAsia="宋体" w:cs="宋体"/>
      <w:color w:val="000000"/>
      <w:sz w:val="20"/>
      <w:szCs w:val="20"/>
      <w:u w:val="none"/>
    </w:rPr>
  </w:style>
  <w:style w:type="character" w:customStyle="1" w:styleId="9">
    <w:name w:val="font21"/>
    <w:basedOn w:val="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1635</Words>
  <Characters>9323</Characters>
  <Lines>77</Lines>
  <Paragraphs>21</Paragraphs>
  <TotalTime>5</TotalTime>
  <ScaleCrop>false</ScaleCrop>
  <LinksUpToDate>false</LinksUpToDate>
  <CharactersWithSpaces>10937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2023-06-29T06:13:00Z</dcterms:created>
  <dc:creator>易 佳</dc:creator>
  <cp:lastModifiedBy>卡戎</cp:lastModifiedBy>
  <cp:lastPrinted>2023-06-29T02:28:00Z</cp:lastPrinted>
  <dcterms:modified xsi:type="dcterms:W3CDTF">2024-06-27T02:24:45Z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1979FECACD6D424F90C74A51206C2EC6_12</vt:lpwstr>
  </property>
</Properties>
</file>