
<file path=[Content_Types].xml><?xml version="1.0" encoding="utf-8"?>
<Types xmlns="http://schemas.openxmlformats.org/package/2006/content-types">
  <Default Extension="xml" ContentType="application/xml"/>
  <Default Extension="emf" ContentType="image/x-emf"/>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1916F">
      <w:pPr>
        <w:pStyle w:val="15"/>
        <w:jc w:val="both"/>
        <w:rPr>
          <w:rFonts w:hAnsi="黑体"/>
          <w:sz w:val="36"/>
          <w:szCs w:val="36"/>
        </w:rPr>
      </w:pPr>
      <w:r>
        <w:rPr>
          <w:rFonts w:hint="eastAsia" w:hAnsi="黑体"/>
          <w:sz w:val="36"/>
          <w:szCs w:val="36"/>
        </w:rPr>
        <w:t>附件1</w:t>
      </w:r>
    </w:p>
    <w:p w14:paraId="500EE2B4">
      <w:pPr>
        <w:pStyle w:val="15"/>
        <w:jc w:val="center"/>
        <w:rPr>
          <w:rFonts w:ascii="Times New Roman" w:hAnsi="Times New Roman" w:cs="Times New Roman"/>
          <w:sz w:val="56"/>
          <w:szCs w:val="56"/>
        </w:rPr>
      </w:pPr>
    </w:p>
    <w:p w14:paraId="6E42136B">
      <w:pPr>
        <w:pStyle w:val="15"/>
        <w:jc w:val="center"/>
        <w:rPr>
          <w:rFonts w:ascii="Times New Roman" w:hAnsi="Times New Roman" w:cs="Times New Roman"/>
          <w:sz w:val="84"/>
          <w:szCs w:val="84"/>
        </w:rPr>
      </w:pPr>
    </w:p>
    <w:p w14:paraId="545F5EB5">
      <w:pPr>
        <w:pStyle w:val="15"/>
        <w:jc w:val="center"/>
        <w:rPr>
          <w:rFonts w:ascii="Times New Roman" w:hAnsi="Times New Roman" w:cs="Times New Roman"/>
          <w:sz w:val="84"/>
          <w:szCs w:val="84"/>
        </w:rPr>
      </w:pPr>
    </w:p>
    <w:p w14:paraId="74347399">
      <w:pPr>
        <w:pStyle w:val="15"/>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bookmarkStart w:id="0" w:name="_GoBack"/>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rPr>
        <w:t>怀化市</w:t>
      </w:r>
      <w:r>
        <w:rPr>
          <w:rFonts w:hint="eastAsia" w:ascii="Times New Roman" w:hAnsi="Times New Roman" w:eastAsia="方正小标宋简体" w:cs="Times New Roman"/>
          <w:sz w:val="72"/>
          <w:szCs w:val="72"/>
          <w:lang w:eastAsia="zh-CN"/>
        </w:rPr>
        <w:t>城乡建设档案馆</w:t>
      </w:r>
      <w:r>
        <w:rPr>
          <w:rFonts w:ascii="Times New Roman" w:hAnsi="Times New Roman" w:eastAsia="方正小标宋简体" w:cs="Times New Roman"/>
          <w:sz w:val="72"/>
          <w:szCs w:val="72"/>
        </w:rPr>
        <w:t>部门（单位）部门决算</w:t>
      </w:r>
    </w:p>
    <w:bookmarkEnd w:id="0"/>
    <w:p w14:paraId="3C26EF67">
      <w:pPr>
        <w:pStyle w:val="15"/>
        <w:spacing w:line="600" w:lineRule="exact"/>
        <w:jc w:val="both"/>
        <w:rPr>
          <w:rFonts w:ascii="Times New Roman" w:hAnsi="Times New Roman" w:cs="Times New Roman"/>
          <w:b/>
          <w:sz w:val="36"/>
          <w:szCs w:val="28"/>
        </w:rPr>
      </w:pPr>
    </w:p>
    <w:p w14:paraId="3144598B">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277B6E8">
      <w:pPr>
        <w:pStyle w:val="15"/>
        <w:spacing w:line="600" w:lineRule="exact"/>
        <w:jc w:val="center"/>
        <w:rPr>
          <w:rFonts w:ascii="Times New Roman" w:hAnsi="Times New Roman" w:cs="Times New Roman"/>
          <w:b/>
          <w:sz w:val="36"/>
          <w:szCs w:val="28"/>
        </w:rPr>
      </w:pPr>
    </w:p>
    <w:p w14:paraId="434C2843">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w:t>
      </w:r>
      <w:r>
        <w:rPr>
          <w:rFonts w:hint="eastAsia" w:ascii="Times New Roman" w:hAnsi="Times New Roman" w:cs="Times New Roman"/>
          <w:bCs/>
          <w:sz w:val="32"/>
          <w:szCs w:val="32"/>
          <w:lang w:eastAsia="zh-CN"/>
        </w:rPr>
        <w:t>城乡建设档案馆</w:t>
      </w:r>
      <w:r>
        <w:rPr>
          <w:rFonts w:ascii="Times New Roman" w:hAnsi="Times New Roman" w:cs="Times New Roman"/>
          <w:bCs/>
          <w:sz w:val="32"/>
          <w:szCs w:val="32"/>
        </w:rPr>
        <w:t>部门（单位）概况</w:t>
      </w:r>
    </w:p>
    <w:p w14:paraId="324A23A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7E6D40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AE47163">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C410E4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F2A9C7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CE4861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E898DD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199223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80C662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B9226E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1ACE73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A23A7C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1735B22">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12E88E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E43169E">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3AEA2F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4A4707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3E31C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5AAAB5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1B2A0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EC616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1E803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DE6B04D">
      <w:pPr>
        <w:autoSpaceDE w:val="0"/>
        <w:autoSpaceDN w:val="0"/>
        <w:adjustRightInd w:val="0"/>
        <w:spacing w:line="600" w:lineRule="exact"/>
        <w:jc w:val="left"/>
      </w:pPr>
      <w:r>
        <w:rPr>
          <w:rFonts w:hint="eastAsia" w:ascii="仿宋_GB2312" w:hAnsi="仿宋_GB2312" w:eastAsia="仿宋_GB2312" w:cs="仿宋_GB2312"/>
          <w:b w:val="0"/>
          <w:bCs w:val="0"/>
          <w:color w:val="auto"/>
          <w:sz w:val="32"/>
          <w:szCs w:val="32"/>
          <w:highlight w:val="none"/>
          <w:lang w:val="en-US" w:eastAsia="zh-CN"/>
        </w:rPr>
        <w:t>九、国有资本经营预算财政拨款支出</w:t>
      </w:r>
      <w:r>
        <w:rPr>
          <w:rFonts w:hint="eastAsia" w:ascii="仿宋_GB2312" w:hAnsi="仿宋_GB2312" w:eastAsia="仿宋_GB2312" w:cs="仿宋_GB2312"/>
          <w:b w:val="0"/>
          <w:bCs w:val="0"/>
          <w:color w:val="auto"/>
          <w:sz w:val="32"/>
          <w:szCs w:val="32"/>
          <w:highlight w:val="none"/>
        </w:rPr>
        <w:t>决算情况</w:t>
      </w:r>
    </w:p>
    <w:p w14:paraId="5C8120B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0D29CBA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607397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3930DDC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6831E7B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F2500D0">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9966C5E">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03AB294">
      <w:pPr>
        <w:pStyle w:val="15"/>
        <w:spacing w:line="600" w:lineRule="exact"/>
        <w:rPr>
          <w:rFonts w:ascii="Times New Roman" w:hAnsi="Times New Roman" w:cs="Times New Roman"/>
          <w:bCs/>
          <w:sz w:val="28"/>
          <w:szCs w:val="28"/>
        </w:rPr>
      </w:pPr>
    </w:p>
    <w:p w14:paraId="07B84328">
      <w:pPr>
        <w:jc w:val="center"/>
        <w:rPr>
          <w:rFonts w:ascii="Times New Roman" w:hAnsi="Times New Roman" w:cs="Times New Roman"/>
          <w:sz w:val="72"/>
          <w:szCs w:val="72"/>
        </w:rPr>
      </w:pPr>
    </w:p>
    <w:p w14:paraId="5EB74F88">
      <w:pPr>
        <w:jc w:val="center"/>
        <w:rPr>
          <w:rFonts w:ascii="Times New Roman" w:hAnsi="Times New Roman" w:cs="Times New Roman"/>
          <w:sz w:val="72"/>
          <w:szCs w:val="72"/>
        </w:rPr>
      </w:pPr>
    </w:p>
    <w:p w14:paraId="71EA643F">
      <w:pPr>
        <w:jc w:val="center"/>
        <w:rPr>
          <w:rFonts w:ascii="Times New Roman" w:hAnsi="Times New Roman" w:cs="Times New Roman"/>
          <w:sz w:val="72"/>
          <w:szCs w:val="72"/>
        </w:rPr>
      </w:pPr>
    </w:p>
    <w:p w14:paraId="755007A1">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38AEB11">
      <w:pPr>
        <w:rPr>
          <w:rFonts w:ascii="Times New Roman" w:hAnsi="Times New Roman" w:eastAsia="方正小标宋_GBK" w:cs="Times New Roman"/>
          <w:sz w:val="72"/>
          <w:szCs w:val="72"/>
        </w:rPr>
      </w:pPr>
    </w:p>
    <w:p w14:paraId="2C73DCFC">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F9D8A06">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怀化市城乡建设档案馆</w:t>
      </w:r>
      <w:r>
        <w:rPr>
          <w:rFonts w:ascii="Times New Roman" w:hAnsi="Times New Roman" w:eastAsia="方正小标宋_GBK" w:cs="Times New Roman"/>
          <w:sz w:val="52"/>
          <w:szCs w:val="52"/>
        </w:rPr>
        <w:t>部门（单位）概况</w:t>
      </w:r>
    </w:p>
    <w:p w14:paraId="0D379EFC">
      <w:pPr>
        <w:pStyle w:val="4"/>
        <w:ind w:left="0" w:leftChars="0" w:firstLine="0" w:firstLineChars="0"/>
        <w:rPr>
          <w:rFonts w:ascii="Times New Roman" w:hAnsi="Times New Roman" w:cs="Times New Roman"/>
        </w:rPr>
      </w:pPr>
    </w:p>
    <w:p w14:paraId="3E9EEB78">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20DB0C9">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hint="eastAsia" w:eastAsia="仿宋_GB2312" w:cs="Times New Roman"/>
          <w:color w:val="auto"/>
          <w:sz w:val="32"/>
          <w:szCs w:val="32"/>
          <w:highlight w:val="none"/>
        </w:rPr>
        <w:t>负责怀化市城建档案的检查、指导、收集、保管等日常管理工作；</w:t>
      </w:r>
    </w:p>
    <w:p w14:paraId="6E0382E2">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27" w:firstLineChars="196"/>
        <w:jc w:val="left"/>
        <w:textAlignment w:val="auto"/>
        <w:outlineLvl w:val="9"/>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w:t>
      </w:r>
      <w:r>
        <w:rPr>
          <w:rFonts w:hint="eastAsia" w:eastAsia="仿宋_GB2312" w:cs="Times New Roman"/>
          <w:color w:val="auto"/>
          <w:sz w:val="32"/>
          <w:szCs w:val="32"/>
          <w:highlight w:val="none"/>
        </w:rPr>
        <w:t>负责接收普查和补测补绘形成的地下管线成果，利用各单位移交的地下管线档案，及时修改城市地下管线综合图，建立城市地下管线信息系统；</w:t>
      </w:r>
    </w:p>
    <w:p w14:paraId="040CC85D">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27" w:firstLineChars="196"/>
        <w:jc w:val="left"/>
        <w:textAlignment w:val="auto"/>
        <w:outlineLvl w:val="9"/>
        <w:rPr>
          <w:rFonts w:hint="eastAsia" w:eastAsia="仿宋_GB2312" w:cs="Times New Roman"/>
          <w:color w:val="auto"/>
          <w:sz w:val="32"/>
          <w:szCs w:val="32"/>
          <w:highlight w:val="none"/>
        </w:rPr>
      </w:pPr>
      <w:r>
        <w:rPr>
          <w:rFonts w:hint="eastAsia" w:ascii="Times New Roman" w:hAnsi="Times New Roman" w:eastAsia="仿宋_GB2312" w:cs="Times New Roman"/>
          <w:sz w:val="32"/>
          <w:szCs w:val="32"/>
        </w:rPr>
        <w:t>（三）</w:t>
      </w:r>
      <w:r>
        <w:rPr>
          <w:rFonts w:hint="eastAsia" w:eastAsia="仿宋_GB2312" w:cs="Times New Roman"/>
          <w:color w:val="auto"/>
          <w:sz w:val="32"/>
          <w:szCs w:val="32"/>
          <w:highlight w:val="none"/>
        </w:rPr>
        <w:t>负责收集、保管、利用怀化市本级城乡建设声像档案；</w:t>
      </w:r>
    </w:p>
    <w:p w14:paraId="13CC281F">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27" w:firstLineChars="196"/>
        <w:jc w:val="left"/>
        <w:textAlignment w:val="auto"/>
        <w:outlineLvl w:val="9"/>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w:t>
      </w:r>
      <w:r>
        <w:rPr>
          <w:rFonts w:hint="eastAsia" w:eastAsia="仿宋_GB2312" w:cs="Times New Roman"/>
          <w:color w:val="auto"/>
          <w:sz w:val="32"/>
          <w:szCs w:val="32"/>
          <w:highlight w:val="none"/>
        </w:rPr>
        <w:t>负责对怀化市本级各类建设工程以及地下管线工程进行竣工档案专项验收，参与工程竣工综合验收备案；</w:t>
      </w:r>
    </w:p>
    <w:p w14:paraId="3EBB33DD">
      <w:pPr>
        <w:spacing w:line="600" w:lineRule="exact"/>
        <w:ind w:firstLine="640" w:firstLineChars="200"/>
        <w:jc w:val="left"/>
        <w:rPr>
          <w:rFonts w:hint="eastAsia" w:eastAsia="仿宋_GB2312" w:cs="Times New Roman"/>
          <w:color w:val="auto"/>
          <w:sz w:val="32"/>
          <w:szCs w:val="32"/>
          <w:highlight w:val="none"/>
        </w:rPr>
      </w:pPr>
      <w:r>
        <w:rPr>
          <w:rFonts w:hint="eastAsia" w:ascii="Times New Roman" w:hAnsi="Times New Roman" w:eastAsia="仿宋_GB2312" w:cs="Times New Roman"/>
          <w:sz w:val="32"/>
          <w:szCs w:val="32"/>
          <w:lang w:eastAsia="zh-CN"/>
        </w:rPr>
        <w:t>（五）</w:t>
      </w:r>
      <w:r>
        <w:rPr>
          <w:rFonts w:hint="eastAsia" w:eastAsia="仿宋_GB2312" w:cs="Times New Roman"/>
          <w:color w:val="auto"/>
          <w:sz w:val="32"/>
          <w:szCs w:val="32"/>
          <w:highlight w:val="none"/>
        </w:rPr>
        <w:t>负责对已接收进馆的档案进行登记、加工整理、编制检索工具，开发档案信息资源，并向社会提供档案咨询服务；收取档案综合服务费；</w:t>
      </w:r>
    </w:p>
    <w:p w14:paraId="023A14CF">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27" w:firstLineChars="196"/>
        <w:jc w:val="left"/>
        <w:textAlignment w:val="auto"/>
        <w:outlineLvl w:val="9"/>
        <w:rPr>
          <w:rFonts w:hint="eastAsia" w:eastAsia="仿宋_GB2312" w:cs="Times New Roman"/>
          <w:color w:val="auto"/>
          <w:sz w:val="32"/>
          <w:szCs w:val="32"/>
          <w:highlight w:val="none"/>
        </w:rPr>
      </w:pPr>
      <w:r>
        <w:rPr>
          <w:rFonts w:hint="eastAsia" w:eastAsia="仿宋_GB2312" w:cs="Times New Roman"/>
          <w:color w:val="auto"/>
          <w:sz w:val="32"/>
          <w:szCs w:val="32"/>
          <w:highlight w:val="none"/>
          <w:lang w:eastAsia="zh-CN"/>
        </w:rPr>
        <w:t>（六）</w:t>
      </w:r>
      <w:r>
        <w:rPr>
          <w:rFonts w:hint="eastAsia" w:eastAsia="仿宋_GB2312" w:cs="Times New Roman"/>
          <w:color w:val="auto"/>
          <w:sz w:val="32"/>
          <w:szCs w:val="32"/>
          <w:highlight w:val="none"/>
        </w:rPr>
        <w:t>受市建设行政主管部门委托，负责开展档案执法检查；</w:t>
      </w:r>
    </w:p>
    <w:p w14:paraId="7AEFD52B">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27" w:firstLineChars="196"/>
        <w:jc w:val="left"/>
        <w:textAlignment w:val="auto"/>
        <w:outlineLvl w:val="9"/>
        <w:rPr>
          <w:rFonts w:hint="eastAsia" w:eastAsia="仿宋_GB2312" w:cs="Times New Roman"/>
          <w:color w:val="auto"/>
          <w:sz w:val="32"/>
          <w:szCs w:val="32"/>
          <w:highlight w:val="none"/>
        </w:rPr>
      </w:pPr>
      <w:r>
        <w:rPr>
          <w:rFonts w:hint="eastAsia" w:eastAsia="仿宋_GB2312" w:cs="Times New Roman"/>
          <w:color w:val="auto"/>
          <w:sz w:val="32"/>
          <w:szCs w:val="32"/>
          <w:highlight w:val="none"/>
          <w:lang w:eastAsia="zh-CN"/>
        </w:rPr>
        <w:t>（七）</w:t>
      </w:r>
      <w:r>
        <w:rPr>
          <w:rFonts w:hint="eastAsia" w:eastAsia="仿宋_GB2312" w:cs="Times New Roman"/>
          <w:color w:val="auto"/>
          <w:sz w:val="32"/>
          <w:szCs w:val="32"/>
          <w:highlight w:val="none"/>
        </w:rPr>
        <w:t>负责怀化市城建档案的信息化建设工作；</w:t>
      </w:r>
    </w:p>
    <w:p w14:paraId="4780D4C5">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27" w:firstLineChars="196"/>
        <w:jc w:val="left"/>
        <w:textAlignment w:val="auto"/>
        <w:outlineLvl w:val="9"/>
        <w:rPr>
          <w:rFonts w:hint="eastAsia" w:eastAsia="仿宋_GB2312"/>
          <w:lang w:eastAsia="zh-CN"/>
        </w:rPr>
      </w:pPr>
      <w:r>
        <w:rPr>
          <w:rFonts w:hint="eastAsia" w:eastAsia="仿宋_GB2312" w:cs="Times New Roman"/>
          <w:color w:val="auto"/>
          <w:sz w:val="32"/>
          <w:szCs w:val="32"/>
          <w:highlight w:val="none"/>
          <w:lang w:eastAsia="zh-CN"/>
        </w:rPr>
        <w:t>（八）</w:t>
      </w:r>
      <w:r>
        <w:rPr>
          <w:rFonts w:hint="eastAsia" w:eastAsia="仿宋_GB2312" w:cs="Times New Roman"/>
          <w:color w:val="auto"/>
          <w:sz w:val="32"/>
          <w:szCs w:val="32"/>
          <w:highlight w:val="none"/>
        </w:rPr>
        <w:t>负责区、县（市）城建档案工作业务指导，组织城建档案业务培训</w:t>
      </w:r>
      <w:r>
        <w:rPr>
          <w:rFonts w:hint="eastAsia" w:eastAsia="仿宋_GB2312" w:cs="Times New Roman"/>
          <w:color w:val="auto"/>
          <w:sz w:val="32"/>
          <w:szCs w:val="32"/>
          <w:highlight w:val="none"/>
          <w:lang w:eastAsia="zh-CN"/>
        </w:rPr>
        <w:t>。</w:t>
      </w:r>
    </w:p>
    <w:p w14:paraId="35373282">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F1AE866">
      <w:pPr>
        <w:ind w:firstLine="640" w:firstLineChars="200"/>
        <w:jc w:val="left"/>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怀化市城乡建设档案馆</w:t>
      </w:r>
      <w:r>
        <w:rPr>
          <w:rFonts w:hint="eastAsia" w:ascii="Times New Roman" w:hAnsi="Times New Roman" w:eastAsia="仿宋_GB2312" w:cs="Times New Roman"/>
          <w:bCs/>
          <w:kern w:val="0"/>
          <w:sz w:val="32"/>
          <w:szCs w:val="32"/>
          <w:lang w:eastAsia="zh-CN"/>
        </w:rPr>
        <w:t>系财政全额拨款事业单位，属于</w:t>
      </w:r>
      <w:r>
        <w:rPr>
          <w:rFonts w:hint="eastAsia" w:ascii="Times New Roman" w:hAnsi="Times New Roman" w:eastAsia="仿宋_GB2312" w:cs="Times New Roman"/>
          <w:bCs/>
          <w:kern w:val="0"/>
          <w:sz w:val="32"/>
          <w:szCs w:val="32"/>
        </w:rPr>
        <w:t>怀化市住房和城乡建设局二级</w:t>
      </w:r>
      <w:r>
        <w:rPr>
          <w:rFonts w:hint="eastAsia" w:ascii="Times New Roman" w:hAnsi="Times New Roman" w:eastAsia="仿宋_GB2312" w:cs="Times New Roman"/>
          <w:bCs/>
          <w:kern w:val="0"/>
          <w:sz w:val="32"/>
          <w:szCs w:val="32"/>
          <w:lang w:eastAsia="zh-CN"/>
        </w:rPr>
        <w:t>机构</w:t>
      </w:r>
      <w:r>
        <w:rPr>
          <w:rFonts w:hint="eastAsia" w:ascii="Times New Roman" w:hAnsi="Times New Roman" w:eastAsia="仿宋_GB2312" w:cs="Times New Roman"/>
          <w:bCs/>
          <w:kern w:val="0"/>
          <w:sz w:val="32"/>
          <w:szCs w:val="32"/>
        </w:rPr>
        <w:t>，内设科室为：怀化市城乡建设档案馆。</w:t>
      </w:r>
    </w:p>
    <w:p w14:paraId="0CD60C01">
      <w:pPr>
        <w:ind w:firstLine="640" w:firstLineChars="200"/>
        <w:jc w:val="left"/>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怀化市城乡建设档案馆</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怀化市城乡建设档案馆单位本级。</w:t>
      </w:r>
    </w:p>
    <w:p w14:paraId="65B7FC27">
      <w:pPr>
        <w:jc w:val="both"/>
        <w:rPr>
          <w:rFonts w:ascii="Times New Roman" w:hAnsi="Times New Roman" w:eastAsia="黑体" w:cs="Times New Roman"/>
          <w:sz w:val="28"/>
          <w:szCs w:val="28"/>
        </w:rPr>
      </w:pPr>
    </w:p>
    <w:p w14:paraId="26C0887D">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E31D9B1">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C7C77D3">
      <w:pPr>
        <w:widowControl/>
        <w:spacing w:before="120"/>
        <w:jc w:val="left"/>
        <w:textAlignment w:val="center"/>
        <w:rPr>
          <w:rFonts w:ascii="Times New Roman" w:hAnsi="Times New Roman" w:eastAsia="仿宋_GB2312" w:cs="Times New Roman"/>
          <w:color w:val="000000"/>
          <w:sz w:val="24"/>
          <w:szCs w:val="24"/>
        </w:rPr>
      </w:pPr>
    </w:p>
    <w:p w14:paraId="0A013CB2">
      <w:pPr>
        <w:pStyle w:val="12"/>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见附件</w:t>
      </w:r>
    </w:p>
    <w:p w14:paraId="4C2BC558">
      <w:pPr>
        <w:autoSpaceDE w:val="0"/>
        <w:autoSpaceDN w:val="0"/>
        <w:adjustRightInd w:val="0"/>
        <w:ind w:left="315" w:leftChars="150"/>
        <w:jc w:val="left"/>
        <w:rPr>
          <w:rFonts w:ascii="Times New Roman" w:hAnsi="Times New Roman" w:eastAsia="宋体" w:cs="Times New Roman"/>
          <w:kern w:val="0"/>
          <w:sz w:val="24"/>
          <w:szCs w:val="24"/>
        </w:rPr>
      </w:pPr>
    </w:p>
    <w:p w14:paraId="0F32998B">
      <w:pPr>
        <w:autoSpaceDE w:val="0"/>
        <w:autoSpaceDN w:val="0"/>
        <w:adjustRightInd w:val="0"/>
        <w:ind w:left="315" w:leftChars="150"/>
        <w:jc w:val="left"/>
        <w:rPr>
          <w:rFonts w:ascii="Times New Roman" w:hAnsi="Times New Roman" w:eastAsia="宋体" w:cs="Times New Roman"/>
          <w:kern w:val="0"/>
          <w:sz w:val="24"/>
          <w:szCs w:val="24"/>
        </w:rPr>
      </w:pPr>
    </w:p>
    <w:p w14:paraId="21168975">
      <w:pPr>
        <w:autoSpaceDE w:val="0"/>
        <w:autoSpaceDN w:val="0"/>
        <w:adjustRightInd w:val="0"/>
        <w:ind w:left="315" w:leftChars="150"/>
        <w:jc w:val="left"/>
        <w:rPr>
          <w:rFonts w:ascii="Times New Roman" w:hAnsi="Times New Roman" w:eastAsia="宋体" w:cs="Times New Roman"/>
          <w:kern w:val="0"/>
          <w:sz w:val="24"/>
          <w:szCs w:val="24"/>
        </w:rPr>
      </w:pPr>
    </w:p>
    <w:p w14:paraId="0111E4DF">
      <w:pPr>
        <w:autoSpaceDE w:val="0"/>
        <w:autoSpaceDN w:val="0"/>
        <w:adjustRightInd w:val="0"/>
        <w:ind w:left="315" w:leftChars="150"/>
        <w:jc w:val="left"/>
        <w:rPr>
          <w:rFonts w:ascii="Times New Roman" w:hAnsi="Times New Roman" w:eastAsia="宋体" w:cs="Times New Roman"/>
          <w:kern w:val="0"/>
          <w:sz w:val="24"/>
          <w:szCs w:val="24"/>
        </w:rPr>
      </w:pPr>
    </w:p>
    <w:p w14:paraId="3D2EA304">
      <w:pPr>
        <w:autoSpaceDE w:val="0"/>
        <w:autoSpaceDN w:val="0"/>
        <w:adjustRightInd w:val="0"/>
        <w:ind w:left="315" w:leftChars="150"/>
        <w:jc w:val="left"/>
        <w:rPr>
          <w:rFonts w:ascii="Times New Roman" w:hAnsi="Times New Roman" w:eastAsia="宋体" w:cs="Times New Roman"/>
          <w:kern w:val="0"/>
          <w:sz w:val="24"/>
          <w:szCs w:val="24"/>
        </w:rPr>
      </w:pPr>
    </w:p>
    <w:p w14:paraId="7E63863C">
      <w:pPr>
        <w:widowControl/>
        <w:rPr>
          <w:rFonts w:ascii="Times New Roman" w:hAnsi="Times New Roman" w:cs="Times New Roman"/>
          <w:sz w:val="72"/>
          <w:szCs w:val="72"/>
        </w:rPr>
        <w:sectPr>
          <w:pgSz w:w="11906" w:h="16838"/>
          <w:pgMar w:top="1417" w:right="1134" w:bottom="1417" w:left="1134" w:header="851" w:footer="992" w:gutter="0"/>
          <w:cols w:space="425" w:num="1"/>
          <w:docGrid w:type="lines" w:linePitch="312" w:charSpace="0"/>
        </w:sectPr>
      </w:pPr>
      <w:r>
        <w:rPr>
          <w:rFonts w:ascii="Times New Roman" w:hAnsi="Times New Roman" w:eastAsia="黑体" w:cs="Times New Roman"/>
          <w:szCs w:val="21"/>
        </w:rPr>
        <w:br w:type="page"/>
      </w:r>
    </w:p>
    <w:p w14:paraId="49B19DB3">
      <w:pPr>
        <w:pStyle w:val="15"/>
        <w:rPr>
          <w:rFonts w:ascii="Times New Roman" w:hAnsi="Times New Roman" w:cs="Times New Roman"/>
          <w:sz w:val="72"/>
          <w:szCs w:val="72"/>
        </w:rPr>
      </w:pPr>
    </w:p>
    <w:p w14:paraId="70D3C5FB">
      <w:pPr>
        <w:pStyle w:val="15"/>
        <w:rPr>
          <w:rFonts w:ascii="Times New Roman" w:hAnsi="Times New Roman" w:cs="Times New Roman"/>
          <w:sz w:val="72"/>
          <w:szCs w:val="72"/>
        </w:rPr>
      </w:pPr>
    </w:p>
    <w:p w14:paraId="36CE9F72">
      <w:pPr>
        <w:pStyle w:val="15"/>
        <w:rPr>
          <w:rFonts w:ascii="Times New Roman" w:hAnsi="Times New Roman" w:cs="Times New Roman"/>
          <w:sz w:val="72"/>
          <w:szCs w:val="72"/>
        </w:rPr>
      </w:pPr>
    </w:p>
    <w:p w14:paraId="0480AC84">
      <w:pPr>
        <w:pStyle w:val="15"/>
        <w:jc w:val="center"/>
        <w:rPr>
          <w:rFonts w:ascii="Times New Roman" w:hAnsi="Times New Roman" w:cs="Times New Roman"/>
          <w:sz w:val="72"/>
          <w:szCs w:val="72"/>
        </w:rPr>
      </w:pPr>
    </w:p>
    <w:p w14:paraId="2ACC0C0F">
      <w:pPr>
        <w:pStyle w:val="15"/>
        <w:jc w:val="center"/>
        <w:rPr>
          <w:rFonts w:ascii="Times New Roman" w:hAnsi="Times New Roman" w:eastAsia="方正小标宋_GBK" w:cs="Times New Roman"/>
          <w:sz w:val="72"/>
          <w:szCs w:val="72"/>
        </w:rPr>
      </w:pPr>
    </w:p>
    <w:p w14:paraId="4565DA7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B6EB454">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6944C02">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C6A5CD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6EE27B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270.37</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增加7.8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提高2.97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项目资金</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51712F4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64AEAD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270.37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270.37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0376249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15E359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270.37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221.36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81.87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49.01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18.13</w:t>
      </w:r>
      <w:r>
        <w:rPr>
          <w:rFonts w:ascii="Times New Roman" w:hAnsi="Times New Roman" w:eastAsia="仿宋_GB2312" w:cs="Times New Roman"/>
          <w:sz w:val="32"/>
          <w:szCs w:val="32"/>
        </w:rPr>
        <w:t>%。</w:t>
      </w:r>
    </w:p>
    <w:p w14:paraId="463FA90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5915A8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270.37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增加7.8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提高2.97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项目资金</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5AC36613">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E236804">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7B6C227">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264.37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97.78</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增加5.79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提高2.24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项目资金</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5913841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293186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264.37</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一般公共服务支出</w:t>
      </w:r>
      <w:r>
        <w:rPr>
          <w:rFonts w:hint="eastAsia" w:ascii="Times New Roman" w:hAnsi="Times New Roman" w:eastAsia="仿宋_GB2312" w:cs="Times New Roman"/>
          <w:sz w:val="32"/>
          <w:szCs w:val="32"/>
          <w:lang w:val="en-US" w:eastAsia="zh-CN"/>
        </w:rPr>
        <w:t>8.8万元，占3.33%；</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lang w:val="en-US" w:eastAsia="zh-CN"/>
        </w:rPr>
        <w:t>39.87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15.08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lang w:val="en-US" w:eastAsia="zh-CN"/>
        </w:rPr>
        <w:t>204.92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77.51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；住房保障支出</w:t>
      </w:r>
      <w:r>
        <w:rPr>
          <w:rFonts w:hint="eastAsia" w:ascii="Times New Roman" w:hAnsi="Times New Roman" w:eastAsia="仿宋_GB2312" w:cs="Times New Roman"/>
          <w:sz w:val="32"/>
          <w:szCs w:val="32"/>
          <w:lang w:val="en-US" w:eastAsia="zh-CN"/>
        </w:rPr>
        <w:t>2.97万元，占1.12%</w:t>
      </w:r>
      <w:r>
        <w:rPr>
          <w:rFonts w:hint="eastAsia" w:ascii="Times New Roman" w:hAnsi="Times New Roman" w:eastAsia="仿宋_GB2312" w:cs="Times New Roman"/>
          <w:sz w:val="32"/>
          <w:szCs w:val="32"/>
          <w:lang w:eastAsia="zh-CN"/>
        </w:rPr>
        <w:t>。</w:t>
      </w:r>
    </w:p>
    <w:p w14:paraId="0D83BA41">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1761B51">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239.28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264.37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110.49</w:t>
      </w:r>
      <w:r>
        <w:rPr>
          <w:rFonts w:ascii="Times New Roman" w:hAnsi="Times New Roman" w:eastAsia="仿宋_GB2312" w:cs="Times New Roman"/>
          <w:sz w:val="32"/>
          <w:szCs w:val="32"/>
        </w:rPr>
        <w:t>%，其中：</w:t>
      </w:r>
    </w:p>
    <w:p w14:paraId="7D8C1DB1">
      <w:pPr>
        <w:pStyle w:val="15"/>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一般公共服务支出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43EC02F3">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8.8</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66854DA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事业单位离退休</w:t>
      </w:r>
      <w:r>
        <w:rPr>
          <w:rFonts w:ascii="Times New Roman" w:hAnsi="Times New Roman" w:eastAsia="仿宋_GB2312" w:cs="Times New Roman"/>
          <w:sz w:val="32"/>
          <w:szCs w:val="32"/>
        </w:rPr>
        <w:t>（项）。</w:t>
      </w:r>
    </w:p>
    <w:p w14:paraId="19D3E913">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我单位严格按照预算支出。</w:t>
      </w:r>
    </w:p>
    <w:p w14:paraId="4F0F865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6B9AFF46">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18.49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19.31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104.43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年中调整预算。</w:t>
      </w:r>
    </w:p>
    <w:p w14:paraId="259BCBA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其他行政事业单位养老支出</w:t>
      </w:r>
      <w:r>
        <w:rPr>
          <w:rFonts w:ascii="Times New Roman" w:hAnsi="Times New Roman" w:eastAsia="仿宋_GB2312" w:cs="Times New Roman"/>
          <w:sz w:val="32"/>
          <w:szCs w:val="32"/>
        </w:rPr>
        <w:t>（项）。</w:t>
      </w:r>
    </w:p>
    <w:p w14:paraId="0D247A7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19.31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85.82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我单位严格按照预算支出。</w:t>
      </w:r>
    </w:p>
    <w:p w14:paraId="17B774E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3426577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105.55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年中调整预算。</w:t>
      </w:r>
    </w:p>
    <w:p w14:paraId="3CB2083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7F5221BA">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159.66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174.92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109.56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年中调整预算。</w:t>
      </w:r>
    </w:p>
    <w:p w14:paraId="39519A5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其他城乡社区管理事务支出</w:t>
      </w:r>
      <w:r>
        <w:rPr>
          <w:rFonts w:ascii="Times New Roman" w:hAnsi="Times New Roman" w:eastAsia="仿宋_GB2312" w:cs="Times New Roman"/>
          <w:sz w:val="32"/>
          <w:szCs w:val="32"/>
        </w:rPr>
        <w:t>（项）。</w:t>
      </w:r>
    </w:p>
    <w:p w14:paraId="328DD79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我单位严格按照预算支出。</w:t>
      </w:r>
    </w:p>
    <w:p w14:paraId="6232E8F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26D0BB4">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2.97</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6C42FC7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C9C9EF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221.36</w:t>
      </w:r>
      <w:r>
        <w:rPr>
          <w:rFonts w:ascii="Times New Roman" w:hAnsi="Times New Roman" w:eastAsia="仿宋_GB2312" w:cs="Times New Roman"/>
          <w:sz w:val="32"/>
          <w:szCs w:val="32"/>
        </w:rPr>
        <w:t>万元，其中：</w:t>
      </w:r>
    </w:p>
    <w:p w14:paraId="06EAB93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207.59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93.78</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绩效工资、机关事业单位基本养老保险缴费、职工基本医疗保险缴费、其他社会保障缴费、住房公积金、生活补助、</w:t>
      </w:r>
      <w:r>
        <w:rPr>
          <w:rFonts w:hint="eastAsia" w:ascii="Times New Roman" w:hAnsi="Times New Roman" w:eastAsia="仿宋_GB2312" w:cs="Times New Roman"/>
          <w:sz w:val="32"/>
          <w:szCs w:val="32"/>
          <w:lang w:val="en-US" w:eastAsia="zh-CN"/>
        </w:rPr>
        <w:t>奖励金</w:t>
      </w:r>
      <w:r>
        <w:rPr>
          <w:rFonts w:ascii="Times New Roman" w:hAnsi="Times New Roman" w:eastAsia="仿宋_GB2312" w:cs="Times New Roman"/>
          <w:sz w:val="32"/>
          <w:szCs w:val="32"/>
        </w:rPr>
        <w:t>。</w:t>
      </w:r>
    </w:p>
    <w:p w14:paraId="117F6926">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13.77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6.22</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val="en-US" w:eastAsia="zh-CN"/>
        </w:rPr>
        <w:t>办公</w:t>
      </w:r>
      <w:r>
        <w:rPr>
          <w:rFonts w:hint="eastAsia" w:ascii="Times New Roman" w:hAnsi="Times New Roman" w:eastAsia="仿宋_GB2312" w:cs="Times New Roman"/>
          <w:sz w:val="32"/>
          <w:szCs w:val="32"/>
          <w:lang w:eastAsia="zh-CN"/>
        </w:rPr>
        <w:t>费、</w:t>
      </w:r>
      <w:r>
        <w:rPr>
          <w:rFonts w:hint="eastAsia" w:ascii="Times New Roman" w:hAnsi="Times New Roman" w:eastAsia="仿宋_GB2312" w:cs="Times New Roman"/>
          <w:sz w:val="32"/>
          <w:szCs w:val="32"/>
          <w:lang w:val="en-US" w:eastAsia="zh-CN"/>
        </w:rPr>
        <w:t>印刷费、差旅费、培训费、</w:t>
      </w:r>
      <w:r>
        <w:rPr>
          <w:rFonts w:hint="eastAsia" w:ascii="Times New Roman" w:hAnsi="Times New Roman" w:eastAsia="仿宋_GB2312" w:cs="Times New Roman"/>
          <w:sz w:val="32"/>
          <w:szCs w:val="32"/>
          <w:lang w:eastAsia="zh-CN"/>
        </w:rPr>
        <w:t>工会经费、福利费、其他交通费用、其他商品和服务支出</w:t>
      </w:r>
      <w:r>
        <w:rPr>
          <w:rFonts w:ascii="Times New Roman" w:hAnsi="Times New Roman" w:eastAsia="仿宋_GB2312" w:cs="Times New Roman"/>
          <w:sz w:val="32"/>
          <w:szCs w:val="32"/>
        </w:rPr>
        <w:t>。</w:t>
      </w:r>
    </w:p>
    <w:p w14:paraId="5744F7DA">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4A2060D4">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597AE2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我单位严格遵守“三公”经费管理制度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eastAsia="zh-CN"/>
        </w:rPr>
        <w:t>我单位无“三公”经费支出。</w:t>
      </w:r>
    </w:p>
    <w:p w14:paraId="17EF4B61">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FC7DDA1">
      <w:pPr>
        <w:pStyle w:val="15"/>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09E125D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。其中：</w:t>
      </w:r>
    </w:p>
    <w:p w14:paraId="3A503A3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w:t>
      </w:r>
    </w:p>
    <w:p w14:paraId="2F6ED63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我单位严格遵守“三公”经费管理制度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eastAsia="zh-CN"/>
        </w:rPr>
        <w:t>我单位无公车</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654D142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我单位严格遵守“三公”经费管理制度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eastAsia="zh-CN"/>
        </w:rPr>
        <w:t>我单位本年无公务接待</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7B8E2B0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3D174B7">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06D6CD9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其他城市基础设施配套费安排的支出</w:t>
      </w:r>
      <w:r>
        <w:rPr>
          <w:rFonts w:ascii="Times New Roman" w:hAnsi="Times New Roman" w:eastAsia="仿宋_GB2312" w:cs="Times New Roman"/>
          <w:sz w:val="32"/>
          <w:szCs w:val="32"/>
        </w:rPr>
        <w:t>（项）。</w:t>
      </w:r>
    </w:p>
    <w:p w14:paraId="0E8A0EAA">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18C1A533">
      <w:pPr>
        <w:pStyle w:val="15"/>
        <w:numPr>
          <w:ilvl w:val="0"/>
          <w:numId w:val="2"/>
        </w:numPr>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rPr>
        <w:t>国有资本经营预算财政拨款支出决算情况</w:t>
      </w:r>
    </w:p>
    <w:p w14:paraId="3FC05262">
      <w:pPr>
        <w:pStyle w:val="15"/>
        <w:keepNext w:val="0"/>
        <w:keepLines w:val="0"/>
        <w:pageBreakBefore w:val="0"/>
        <w:numPr>
          <w:ilvl w:val="0"/>
          <w:numId w:val="0"/>
        </w:numPr>
        <w:kinsoku/>
        <w:wordWrap/>
        <w:overflowPunct/>
        <w:topLinePunct w:val="0"/>
        <w:bidi w:val="0"/>
        <w:snapToGrid/>
        <w:spacing w:line="600" w:lineRule="exact"/>
        <w:ind w:firstLine="640" w:firstLineChars="200"/>
        <w:textAlignment w:val="auto"/>
        <w:rPr>
          <w:rFonts w:hint="default" w:ascii="Times New Roman" w:hAnsi="Times New Roman" w:cs="Times New Roman"/>
          <w:bCs/>
          <w:sz w:val="32"/>
          <w:szCs w:val="32"/>
          <w:lang w:val="en-US" w:eastAsia="zh-CN"/>
        </w:rPr>
      </w:pP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w:t>
      </w:r>
      <w:r>
        <w:rPr>
          <w:rFonts w:hint="eastAsia" w:ascii="Times New Roman" w:hAnsi="Times New Roman" w:eastAsia="仿宋_GB2312" w:cs="Times New Roman"/>
          <w:sz w:val="32"/>
          <w:szCs w:val="32"/>
        </w:rPr>
        <w:t>本单位无国有资本经营预算财政拨款支出。</w:t>
      </w:r>
    </w:p>
    <w:p w14:paraId="781DD73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0862F83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，本单位为非参公事业单位，无机关运行经费支出</w:t>
      </w:r>
      <w:r>
        <w:rPr>
          <w:rFonts w:ascii="Times New Roman" w:hAnsi="Times New Roman" w:eastAsia="仿宋_GB2312" w:cs="Times New Roman"/>
          <w:sz w:val="32"/>
          <w:szCs w:val="32"/>
        </w:rPr>
        <w:t>。</w:t>
      </w:r>
    </w:p>
    <w:p w14:paraId="790F2F3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03BD09F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万元；开支培训费</w:t>
      </w:r>
      <w:r>
        <w:rPr>
          <w:rFonts w:hint="eastAsia" w:ascii="Times New Roman" w:hAnsi="Times New Roman" w:eastAsia="仿宋_GB2312" w:cs="Times New Roman"/>
          <w:sz w:val="32"/>
          <w:szCs w:val="32"/>
          <w:highlight w:val="none"/>
          <w:lang w:val="en-US" w:eastAsia="zh-CN"/>
        </w:rPr>
        <w:t>0.29</w:t>
      </w:r>
      <w:r>
        <w:rPr>
          <w:rFonts w:ascii="Times New Roman" w:hAnsi="Times New Roman" w:eastAsia="仿宋_GB2312" w:cs="Times New Roman"/>
          <w:sz w:val="32"/>
          <w:szCs w:val="32"/>
          <w:highlight w:val="none"/>
        </w:rPr>
        <w:t>万元，用于</w:t>
      </w:r>
      <w:r>
        <w:rPr>
          <w:rFonts w:hint="eastAsia" w:ascii="Times New Roman" w:hAnsi="Times New Roman" w:eastAsia="仿宋_GB2312" w:cs="Times New Roman"/>
          <w:sz w:val="32"/>
          <w:szCs w:val="32"/>
          <w:highlight w:val="none"/>
        </w:rPr>
        <w:t>我</w:t>
      </w:r>
      <w:r>
        <w:rPr>
          <w:rFonts w:hint="eastAsia" w:ascii="Times New Roman" w:hAnsi="Times New Roman" w:eastAsia="仿宋_GB2312" w:cs="Times New Roman"/>
          <w:sz w:val="32"/>
          <w:szCs w:val="32"/>
          <w:highlight w:val="none"/>
          <w:lang w:eastAsia="zh-CN"/>
        </w:rPr>
        <w:t>馆档案业务</w:t>
      </w:r>
      <w:r>
        <w:rPr>
          <w:rFonts w:hint="eastAsia" w:ascii="Times New Roman" w:hAnsi="Times New Roman" w:eastAsia="仿宋_GB2312" w:cs="Times New Roman"/>
          <w:sz w:val="32"/>
          <w:szCs w:val="32"/>
          <w:highlight w:val="none"/>
        </w:rPr>
        <w:t>培训</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未</w:t>
      </w:r>
      <w:r>
        <w:rPr>
          <w:rFonts w:ascii="Times New Roman" w:hAnsi="Times New Roman" w:eastAsia="仿宋_GB2312" w:cs="Times New Roman"/>
          <w:sz w:val="32"/>
          <w:szCs w:val="32"/>
          <w:highlight w:val="none"/>
        </w:rPr>
        <w:t>举办节庆、晚会、论坛、赛事活动，开支</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p>
    <w:p w14:paraId="48910E04">
      <w:pPr>
        <w:pStyle w:val="15"/>
        <w:overflowPunct w:val="0"/>
        <w:autoSpaceDE/>
        <w:autoSpaceDN/>
        <w:spacing w:line="600" w:lineRule="exact"/>
        <w:ind w:firstLine="640" w:firstLineChars="200"/>
        <w:jc w:val="both"/>
        <w:rPr>
          <w:rFonts w:ascii="Times New Roman" w:hAnsi="Times New Roman" w:cs="Times New Roman"/>
          <w:bCs/>
          <w:sz w:val="32"/>
          <w:szCs w:val="32"/>
          <w:highlight w:val="yellow"/>
        </w:rPr>
      </w:pPr>
      <w:r>
        <w:rPr>
          <w:rFonts w:ascii="Times New Roman" w:hAnsi="Times New Roman" w:cs="Times New Roman"/>
          <w:bCs/>
          <w:sz w:val="32"/>
          <w:szCs w:val="32"/>
          <w:highlight w:val="none"/>
        </w:rPr>
        <w:t>十</w:t>
      </w:r>
      <w:r>
        <w:rPr>
          <w:rFonts w:hint="eastAsia" w:ascii="Times New Roman" w:hAnsi="Times New Roman" w:cs="Times New Roman"/>
          <w:bCs/>
          <w:sz w:val="32"/>
          <w:szCs w:val="32"/>
          <w:highlight w:val="none"/>
          <w:lang w:eastAsia="zh-CN"/>
        </w:rPr>
        <w:t>二</w:t>
      </w:r>
      <w:r>
        <w:rPr>
          <w:rFonts w:ascii="Times New Roman" w:hAnsi="Times New Roman" w:cs="Times New Roman"/>
          <w:bCs/>
          <w:sz w:val="32"/>
          <w:szCs w:val="32"/>
          <w:highlight w:val="none"/>
        </w:rPr>
        <w:t>、关于政府采购支出说明</w:t>
      </w:r>
    </w:p>
    <w:p w14:paraId="703AFBB7">
      <w:pPr>
        <w:pStyle w:val="15"/>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highlight w:val="yellow"/>
          <w:lang w:eastAsia="zh-CN"/>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rPr>
        <w:t>。</w:t>
      </w:r>
    </w:p>
    <w:p w14:paraId="6E99EA53">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285AA85C">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B043F39">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8634643">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49.01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43.01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16.27</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E382D19">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0E5F2DD3">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239.28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270.37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112.99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default" w:ascii="Times New Roman Regular" w:hAnsi="Times New Roman Regular" w:eastAsia="仿宋_GB2312" w:cs="Times New Roman Regular"/>
          <w:color w:val="auto"/>
          <w:sz w:val="32"/>
          <w:szCs w:val="32"/>
          <w:highlight w:val="none"/>
          <w:lang w:val="en-US" w:eastAsia="zh-CN"/>
        </w:rPr>
        <w:t>9</w:t>
      </w:r>
      <w:r>
        <w:rPr>
          <w:rFonts w:hint="eastAsia" w:ascii="Times New Roman Regular" w:hAnsi="Times New Roman Regular" w:eastAsia="仿宋_GB2312" w:cs="Times New Roman Regular"/>
          <w:color w:val="auto"/>
          <w:sz w:val="32"/>
          <w:szCs w:val="32"/>
          <w:highlight w:val="none"/>
          <w:lang w:val="en-US" w:eastAsia="zh-CN"/>
        </w:rPr>
        <w:t>8.45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p>
    <w:p w14:paraId="7526331F">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绩效目标完成情况：</w:t>
      </w:r>
    </w:p>
    <w:p w14:paraId="4504D5A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经济性分析</w:t>
      </w:r>
    </w:p>
    <w:p w14:paraId="7BA1644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（1）预算配置控制较好。202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年度财政供养人员控制在预算编制以内，编制内在职人员控制率</w:t>
      </w:r>
      <w:r>
        <w:rPr>
          <w:rFonts w:hint="eastAsia" w:ascii="Times New Roman Regular" w:hAnsi="Times New Roman Regular" w:eastAsia="仿宋_GB2312" w:cs="Times New Roman Regular"/>
          <w:color w:val="auto"/>
          <w:sz w:val="32"/>
          <w:szCs w:val="32"/>
          <w:highlight w:val="none"/>
          <w:lang w:val="en-US" w:eastAsia="zh-CN"/>
        </w:rPr>
        <w:t>84.62</w:t>
      </w:r>
      <w:r>
        <w:rPr>
          <w:rFonts w:hint="default" w:ascii="Times New Roman Regular" w:hAnsi="Times New Roman Regular" w:eastAsia="仿宋_GB2312" w:cs="Times New Roman Regular"/>
          <w:color w:val="auto"/>
          <w:sz w:val="32"/>
          <w:szCs w:val="32"/>
          <w:highlight w:val="none"/>
          <w:lang w:val="en-US" w:eastAsia="zh-CN"/>
        </w:rPr>
        <w:t>%，未超过控制标准。</w:t>
      </w:r>
    </w:p>
    <w:p w14:paraId="18DDC78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（2）预算执行与管理。202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年财政决算收入</w:t>
      </w:r>
      <w:r>
        <w:rPr>
          <w:rFonts w:hint="eastAsia" w:ascii="Times New Roman Regular" w:hAnsi="Times New Roman Regular" w:eastAsia="仿宋_GB2312" w:cs="Times New Roman Regular"/>
          <w:color w:val="auto"/>
          <w:sz w:val="32"/>
          <w:szCs w:val="32"/>
          <w:highlight w:val="none"/>
          <w:lang w:val="en-US" w:eastAsia="zh-CN"/>
        </w:rPr>
        <w:t>270.37</w:t>
      </w:r>
      <w:r>
        <w:rPr>
          <w:rFonts w:hint="default" w:ascii="Times New Roman Regular" w:hAnsi="Times New Roman Regular" w:eastAsia="仿宋_GB2312" w:cs="Times New Roman Regular"/>
          <w:color w:val="auto"/>
          <w:sz w:val="32"/>
          <w:szCs w:val="32"/>
          <w:highlight w:val="none"/>
          <w:lang w:val="en-US" w:eastAsia="zh-CN"/>
        </w:rPr>
        <w:t>万元，其中一般公共预算财政拨款收入</w:t>
      </w:r>
      <w:r>
        <w:rPr>
          <w:rFonts w:hint="eastAsia" w:ascii="Times New Roman Regular" w:hAnsi="Times New Roman Regular" w:eastAsia="仿宋_GB2312" w:cs="Times New Roman Regular"/>
          <w:color w:val="auto"/>
          <w:sz w:val="32"/>
          <w:szCs w:val="32"/>
          <w:highlight w:val="none"/>
          <w:lang w:val="en-US" w:eastAsia="zh-CN"/>
        </w:rPr>
        <w:t>264.37</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政府性基金预算财政拨款收入6万元，</w:t>
      </w:r>
      <w:r>
        <w:rPr>
          <w:rFonts w:hint="default" w:ascii="Times New Roman Regular" w:hAnsi="Times New Roman Regular" w:eastAsia="仿宋_GB2312" w:cs="Times New Roman Regular"/>
          <w:color w:val="auto"/>
          <w:sz w:val="32"/>
          <w:szCs w:val="32"/>
          <w:highlight w:val="none"/>
          <w:lang w:val="en-US" w:eastAsia="zh-CN"/>
        </w:rPr>
        <w:t>上年结转0.00万元；决算支出为</w:t>
      </w:r>
      <w:r>
        <w:rPr>
          <w:rFonts w:hint="eastAsia" w:ascii="Times New Roman Regular" w:hAnsi="Times New Roman Regular" w:eastAsia="仿宋_GB2312" w:cs="Times New Roman Regular"/>
          <w:color w:val="auto"/>
          <w:sz w:val="32"/>
          <w:szCs w:val="32"/>
          <w:highlight w:val="none"/>
          <w:lang w:val="en-US" w:eastAsia="zh-CN"/>
        </w:rPr>
        <w:t>270.37</w:t>
      </w:r>
      <w:r>
        <w:rPr>
          <w:rFonts w:hint="default" w:ascii="Times New Roman Regular" w:hAnsi="Times New Roman Regular" w:eastAsia="仿宋_GB2312" w:cs="Times New Roman Regular"/>
          <w:color w:val="auto"/>
          <w:sz w:val="32"/>
          <w:szCs w:val="32"/>
          <w:highlight w:val="none"/>
          <w:lang w:val="en-US" w:eastAsia="zh-CN"/>
        </w:rPr>
        <w:t>万元，其中基本支出</w:t>
      </w:r>
      <w:r>
        <w:rPr>
          <w:rFonts w:hint="eastAsia" w:ascii="Times New Roman Regular" w:hAnsi="Times New Roman Regular" w:eastAsia="仿宋_GB2312" w:cs="Times New Roman Regular"/>
          <w:color w:val="auto"/>
          <w:sz w:val="32"/>
          <w:szCs w:val="32"/>
          <w:highlight w:val="none"/>
          <w:lang w:val="en-US" w:eastAsia="zh-CN"/>
        </w:rPr>
        <w:t>221.36</w:t>
      </w:r>
      <w:r>
        <w:rPr>
          <w:rFonts w:hint="default" w:ascii="Times New Roman Regular" w:hAnsi="Times New Roman Regular" w:eastAsia="仿宋_GB2312" w:cs="Times New Roman Regular"/>
          <w:color w:val="auto"/>
          <w:sz w:val="32"/>
          <w:szCs w:val="32"/>
          <w:highlight w:val="none"/>
          <w:lang w:val="en-US" w:eastAsia="zh-CN"/>
        </w:rPr>
        <w:t>万元、项目支出</w:t>
      </w:r>
      <w:r>
        <w:rPr>
          <w:rFonts w:hint="eastAsia" w:ascii="Times New Roman Regular" w:hAnsi="Times New Roman Regular" w:eastAsia="仿宋_GB2312" w:cs="Times New Roman Regular"/>
          <w:color w:val="auto"/>
          <w:sz w:val="32"/>
          <w:szCs w:val="32"/>
          <w:highlight w:val="none"/>
          <w:lang w:val="en-US" w:eastAsia="zh-CN"/>
        </w:rPr>
        <w:t>49.01</w:t>
      </w:r>
      <w:r>
        <w:rPr>
          <w:rFonts w:hint="default" w:ascii="Times New Roman Regular" w:hAnsi="Times New Roman Regular" w:eastAsia="仿宋_GB2312" w:cs="Times New Roman Regular"/>
          <w:color w:val="auto"/>
          <w:sz w:val="32"/>
          <w:szCs w:val="32"/>
          <w:highlight w:val="none"/>
          <w:lang w:val="en-US" w:eastAsia="zh-CN"/>
        </w:rPr>
        <w:t>万元， “三公经费”等相关支出均未超过控制标准。</w:t>
      </w:r>
    </w:p>
    <w:p w14:paraId="13D93C9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xml:space="preserve"> 2.有效性和效率性分析。通过对202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年全年工作进行梳理和总结，我单位202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年主要产出和效益如下：</w:t>
      </w:r>
    </w:p>
    <w:p w14:paraId="7F1385E6">
      <w:pPr>
        <w:numPr>
          <w:ilvl w:val="0"/>
          <w:numId w:val="0"/>
        </w:numPr>
        <w:snapToGrid w:val="0"/>
        <w:spacing w:line="520" w:lineRule="exact"/>
        <w:ind w:firstLine="640" w:firstLineChars="200"/>
        <w:rPr>
          <w:rFonts w:hint="eastAsia" w:ascii="仿宋_GB2312" w:hAnsi="Times New Roman" w:eastAsia="仿宋_GB2312" w:cs="Times New Roman"/>
          <w:sz w:val="32"/>
          <w:szCs w:val="32"/>
        </w:rPr>
      </w:pPr>
      <w:r>
        <w:rPr>
          <w:rFonts w:hint="eastAsia" w:ascii="Times New Roman Regular" w:hAnsi="Times New Roman Regular" w:eastAsia="仿宋_GB2312" w:cs="Times New Roman Regular"/>
          <w:color w:val="auto"/>
          <w:sz w:val="32"/>
          <w:szCs w:val="32"/>
          <w:highlight w:val="none"/>
          <w:lang w:val="en-US" w:eastAsia="zh-CN"/>
        </w:rPr>
        <w:t>（1）</w:t>
      </w:r>
      <w:r>
        <w:rPr>
          <w:rFonts w:hint="eastAsia" w:ascii="仿宋_GB2312" w:hAnsi="仿宋_GB2312" w:eastAsia="仿宋_GB2312" w:cs="仿宋_GB2312"/>
          <w:b/>
          <w:bCs/>
          <w:color w:val="auto"/>
          <w:kern w:val="2"/>
          <w:sz w:val="32"/>
          <w:szCs w:val="32"/>
          <w:lang w:val="en-US" w:eastAsia="zh-CN" w:bidi="ar-SA"/>
        </w:rPr>
        <w:t>聚焦资源提质，档案“家底”更厚更实。</w:t>
      </w:r>
      <w:r>
        <w:rPr>
          <w:rFonts w:hint="eastAsia" w:ascii="仿宋_GB2312" w:hAnsi="Times New Roman" w:eastAsia="仿宋_GB2312" w:cs="Times New Roman"/>
          <w:sz w:val="32"/>
          <w:szCs w:val="32"/>
        </w:rPr>
        <w:t xml:space="preserve">始终把档案资源归集作为基础工程，以“应接尽接、应收尽收”为目标，推动资源总量与质量双提升。截至2025年11月，馆藏档案总量达12.03万卷，系统记录了怀化从“榆树湾小镇”到现代化都市的变迁轨迹，覆盖城市规划、重大工程、市政设施、房地产项目等全领域城建信息，成为城市发展的“活档案”。  </w:t>
      </w:r>
    </w:p>
    <w:p w14:paraId="4F2E0F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Times New Roman" w:eastAsia="仿宋_GB2312" w:cs="Times New Roman"/>
          <w:sz w:val="32"/>
          <w:szCs w:val="32"/>
        </w:rPr>
        <w:t>一是重大项目档案“全纳入”。全年累计接收722栋楼的工程竣工备案档案，重点攻坚7个房地产历史遗留问题项目、50余项房屋市政工程档案规范接收，通过提前介入指导、现场蹲点服务等方式，破解群众产权办理、项目推进堵点20余个，切实将档案工作嵌入城市建设“最后一公里”。二是特色资源征集“有突破”。围绕老旧小区改造、交通基础设施建设等民生重点，主动对接相关部门同步跟进档案收集，新增地方特色城建资料300余件（如老城区街巷变迁照片、传统建筑工艺记录等），资源覆盖广度与精准度显著提升。三是年度增量任务“超额完成”。2025年新增入馆档案5500余卷，同比增长12%，为后续服务利用奠定了坚实基础。</w:t>
      </w:r>
    </w:p>
    <w:p w14:paraId="48459E88">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Times New Roman Regular" w:hAnsi="Times New Roman Regular" w:eastAsia="仿宋_GB2312" w:cs="Times New Roman Regular"/>
          <w:color w:val="auto"/>
          <w:sz w:val="32"/>
          <w:szCs w:val="32"/>
          <w:highlight w:val="none"/>
          <w:lang w:val="en-US" w:eastAsia="zh-CN"/>
        </w:rPr>
        <w:t>（2）</w:t>
      </w:r>
      <w:r>
        <w:rPr>
          <w:rFonts w:hint="eastAsia" w:ascii="仿宋_GB2312" w:hAnsi="仿宋_GB2312" w:eastAsia="仿宋_GB2312" w:cs="仿宋_GB2312"/>
          <w:b/>
          <w:bCs/>
          <w:color w:val="auto"/>
          <w:kern w:val="2"/>
          <w:sz w:val="32"/>
          <w:szCs w:val="32"/>
          <w:lang w:val="en-US" w:eastAsia="zh-CN" w:bidi="ar-SA"/>
        </w:rPr>
        <w:t>聚焦服务提效，营商环境更优更暖。</w:t>
      </w:r>
      <w:r>
        <w:rPr>
          <w:rFonts w:hint="eastAsia" w:ascii="仿宋_GB2312" w:hAnsi="仿宋_GB2312" w:eastAsia="仿宋_GB2312" w:cs="仿宋_GB2312"/>
          <w:b w:val="0"/>
          <w:bCs w:val="0"/>
          <w:kern w:val="2"/>
          <w:sz w:val="32"/>
          <w:szCs w:val="32"/>
          <w:lang w:val="en-US" w:eastAsia="zh-CN" w:bidi="ar-SA"/>
        </w:rPr>
        <w:t xml:space="preserve">坚持以群众需求为导向，深化“放管服”改革，创新服务模式，推动城建档案服务从“被动响应”向“主动赋能”转变。  </w:t>
      </w:r>
    </w:p>
    <w:p w14:paraId="3F0B2448">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一方面，企业服务“精准发力”。推行“极简验收”模式，优化工程档案审批流程，将办理时限压缩30%以上；组建专业服务专班，深入20余家重点企业及项目一线，提供“档案指导、验收、整理”全流程上门服务，变“企业跑”为“干部跑”，累计为企业节省时间成本超500小时。落实“告知承诺制”，针对“保交楼”等民生项目，实行“急事急办、特事特办”，高效完成历史遗留项目档案处置12项，助力企业化解产权登记难题，获企业书面感谢6次。  </w:t>
      </w:r>
    </w:p>
    <w:p w14:paraId="4DC7AE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b w:val="0"/>
          <w:bCs w:val="0"/>
          <w:kern w:val="2"/>
          <w:sz w:val="32"/>
          <w:szCs w:val="32"/>
          <w:lang w:val="en-US" w:eastAsia="zh-CN" w:bidi="ar-SA"/>
        </w:rPr>
        <w:t>另一方面，群众服务“贴心便民”。优化查档流程，简化办事材料，依托馆藏资源为群众提供产权查询、工程溯源等服务，1-11月累计服务查档群众193人次，调阅档案1878卷，复印档案资料5.76万页（主要为房产证明、工程原始记录等），群众满意度达98%以上。通过“档案解民忧”，帮助12户居民解决产权纠纷、3家企业完成工程验收资料核验，让“沉睡档案”转化为服务民生的“实用资源”。</w:t>
      </w:r>
    </w:p>
    <w:p w14:paraId="02FBEA2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Times New Roman Regular" w:hAnsi="Times New Roman Regular" w:eastAsia="仿宋_GB2312" w:cs="Times New Roman Regular"/>
          <w:color w:val="auto"/>
          <w:sz w:val="32"/>
          <w:szCs w:val="32"/>
          <w:highlight w:val="none"/>
          <w:lang w:val="en-US" w:eastAsia="zh-CN"/>
        </w:rPr>
        <w:t>（3）</w:t>
      </w:r>
      <w:r>
        <w:rPr>
          <w:rFonts w:hint="eastAsia" w:ascii="仿宋_GB2312" w:hAnsi="仿宋_GB2312" w:eastAsia="仿宋_GB2312" w:cs="仿宋_GB2312"/>
          <w:b/>
          <w:bCs/>
          <w:color w:val="auto"/>
          <w:kern w:val="2"/>
          <w:sz w:val="32"/>
          <w:szCs w:val="32"/>
          <w:lang w:val="en-US" w:eastAsia="zh-CN" w:bidi="ar-SA"/>
        </w:rPr>
        <w:t>聚焦数字转型，管理效能更智更强。</w:t>
      </w:r>
      <w:r>
        <w:rPr>
          <w:rFonts w:hint="eastAsia" w:ascii="仿宋_GB2312" w:hAnsi="仿宋_GB2312" w:eastAsia="仿宋_GB2312" w:cs="仿宋_GB2312"/>
          <w:sz w:val="32"/>
          <w:szCs w:val="32"/>
          <w:highlight w:val="none"/>
        </w:rPr>
        <w:t xml:space="preserve">紧跟信息化趋势，以“数字赋能”推动档案管理从“实体为主”向“数字融合”升级，管理智能化水平显著提升。  </w:t>
      </w:r>
    </w:p>
    <w:p w14:paraId="2444A32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一是数字档案“增量扩面”。率先搭建智能档案管理平台，整合存储、查询、利用等功能，实现全流程信息化管控；2025年起全面推行“即收即数字化”机制，对新增档案同步完成扫描、录入，全年完成新增档案数字化率100%；同步推进存量档案数字化转化，已完成60%存量档案（约7万卷）的数字化处理，力争年底前突破80%。  </w:t>
      </w:r>
    </w:p>
    <w:p w14:paraId="3955816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sz w:val="32"/>
          <w:szCs w:val="32"/>
          <w:highlight w:val="none"/>
        </w:rPr>
        <w:t>二是安全保障“筑牢底线”。完善数字档案安全管理体系，规范存储、备份流程，定期开展数据安全排查（全年开展4次专项检查），采用“双备份+异地存储”模式，确保数字档案真实、完整、可用。同步加强实体档案安全管理，严格落实库房“十防”要求（防火、防盗、防潮等），对57个密集架库房及6个临时库房开展常态化隐患排查，整改问题15项；科学配置灭火器、防霉驱虫药包等防护设备，对年代久远档案加密保护，结合温湿度监测系统实时调控库房环境，全年未发生档案安全事故。</w:t>
      </w:r>
    </w:p>
    <w:p w14:paraId="382EB1A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Times New Roman Regular" w:hAnsi="Times New Roman Regular" w:eastAsia="仿宋_GB2312" w:cs="Times New Roman Regular"/>
          <w:color w:val="auto"/>
          <w:sz w:val="32"/>
          <w:szCs w:val="32"/>
          <w:highlight w:val="none"/>
          <w:lang w:val="en-US" w:eastAsia="zh-CN"/>
        </w:rPr>
        <w:t>（4）</w:t>
      </w:r>
      <w:r>
        <w:rPr>
          <w:rFonts w:hint="eastAsia" w:ascii="仿宋_GB2312" w:hAnsi="仿宋_GB2312" w:eastAsia="仿宋_GB2312" w:cs="仿宋_GB2312"/>
          <w:b/>
          <w:bCs/>
          <w:color w:val="auto"/>
          <w:kern w:val="2"/>
          <w:sz w:val="32"/>
          <w:szCs w:val="32"/>
          <w:lang w:val="en-US" w:eastAsia="zh-CN" w:bidi="ar-SA"/>
        </w:rPr>
        <w:t>聚焦文化赋能，档案价值更显更亮。</w:t>
      </w:r>
      <w:r>
        <w:rPr>
          <w:rFonts w:hint="eastAsia" w:ascii="仿宋_GB2312" w:hAnsi="仿宋_GB2312" w:eastAsia="仿宋_GB2312" w:cs="仿宋_GB2312"/>
          <w:sz w:val="32"/>
          <w:szCs w:val="32"/>
          <w:highlight w:val="none"/>
        </w:rPr>
        <w:t xml:space="preserve">以“国际档案日”“建党节”等重要节点为契机，创新宣传形式，推动城建档案从“幕后”走向“台前”，社会影响力持续扩大。  </w:t>
      </w:r>
    </w:p>
    <w:p w14:paraId="1670001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一方面，主题宣传“有声有色”。围绕“请听档案说”“珍藏城建档案·守护城市记忆”等主题，举办专题图片展，以“时空年代轴”为主线，精选近百张珍贵历史图片（涵盖老怀化火车站、第一座跨江大桥等标志性建筑），串联城市发展关键节点，直观展现城市建设成就，吸引市民参观超2000人次，增强群众对城市的认同感与归属感。  </w:t>
      </w:r>
    </w:p>
    <w:p w14:paraId="0A0DA62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sz w:val="32"/>
          <w:szCs w:val="32"/>
          <w:highlight w:val="none"/>
        </w:rPr>
        <w:t>另一方面，文化传承“走深走实”。依托政府官网、新闻媒体等平台，发布档案工作动态、服务举措及法律法规解读20余篇，普及档案收集、保管、利用知识；联合本地媒体推出“档案里的怀化故事”专栏，讲述老街区改造、重点工程背后的历史细节，推动档案文化融入城市精神，让“城市记忆”活起来、传下去。</w:t>
      </w:r>
    </w:p>
    <w:p w14:paraId="04F5644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Times New Roman Regular" w:hAnsi="Times New Roman Regular" w:eastAsia="仿宋_GB2312" w:cs="Times New Roman Regular"/>
          <w:color w:val="auto"/>
          <w:sz w:val="32"/>
          <w:szCs w:val="32"/>
          <w:highlight w:val="none"/>
          <w:lang w:val="en-US" w:eastAsia="zh-CN"/>
        </w:rPr>
        <w:t>（5）</w:t>
      </w:r>
      <w:r>
        <w:rPr>
          <w:rFonts w:hint="eastAsia" w:ascii="仿宋_GB2312" w:hAnsi="仿宋_GB2312" w:eastAsia="仿宋_GB2312" w:cs="仿宋_GB2312"/>
          <w:b/>
          <w:bCs/>
          <w:color w:val="auto"/>
          <w:kern w:val="2"/>
          <w:sz w:val="32"/>
          <w:szCs w:val="32"/>
          <w:lang w:val="en-US" w:eastAsia="zh-CN" w:bidi="ar-SA"/>
        </w:rPr>
        <w:t>聚焦队伍提能，履职基础更牢更稳。</w:t>
      </w:r>
      <w:r>
        <w:rPr>
          <w:rFonts w:hint="eastAsia" w:ascii="仿宋_GB2312" w:hAnsi="仿宋_GB2312" w:eastAsia="仿宋_GB2312" w:cs="仿宋_GB2312"/>
          <w:sz w:val="32"/>
          <w:szCs w:val="32"/>
          <w:highlight w:val="none"/>
        </w:rPr>
        <w:t xml:space="preserve">坚持党建引领，以“政治过硬、业务精湛”为目标，打造高素质档案工作队伍。  </w:t>
      </w:r>
    </w:p>
    <w:p w14:paraId="3977E5D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一是政治建设“铸魂”。深入学习贯彻党的二十大及二十届三中全会精神，常态化开展主题教育，通过专题党课、红色教育基地实践等活动，提升干部职工政治判断力、领悟力、执行力，全年开展集中学习12次、专题研讨4次。  </w:t>
      </w:r>
    </w:p>
    <w:p w14:paraId="13F09515">
      <w:pPr>
        <w:overflowPunct w:val="0"/>
        <w:spacing w:line="600" w:lineRule="exact"/>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sz w:val="32"/>
          <w:szCs w:val="32"/>
          <w:highlight w:val="none"/>
        </w:rPr>
        <w:t>二是专业能力“强基”。围绕档案整理、数字化技术、安全防护等核心业务，组织专题培训6场（邀请省档案局专家授课3次）、岗位练兵4次，选派业务骨干赴长沙、株洲等地交流学习，队伍“一专多能”水平显著提升；健全考核激励机制，将工作实绩与绩效挂钩，激发干事热情，形成“比学赶超”良好氛围。</w:t>
      </w:r>
      <w:r>
        <w:rPr>
          <w:rFonts w:hint="eastAsia" w:ascii="仿宋_GB2312" w:hAnsi="仿宋_GB2312" w:eastAsia="仿宋_GB2312" w:cs="仿宋_GB2312"/>
          <w:b w:val="0"/>
          <w:bCs w:val="0"/>
          <w:color w:val="auto"/>
          <w:kern w:val="2"/>
          <w:sz w:val="32"/>
          <w:szCs w:val="32"/>
          <w:lang w:val="en-US" w:eastAsia="zh-CN" w:bidi="ar-SA"/>
        </w:rPr>
        <w:t xml:space="preserve">  </w:t>
      </w:r>
    </w:p>
    <w:p w14:paraId="061211E9">
      <w:pPr>
        <w:overflowPunct w:val="0"/>
        <w:spacing w:line="60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仿宋_GB2312" w:cs="Times New Roman"/>
          <w:sz w:val="32"/>
          <w:szCs w:val="32"/>
        </w:rPr>
        <w:t>发现的主要问题及原因：</w:t>
      </w:r>
      <w:r>
        <w:rPr>
          <w:rFonts w:hint="default" w:ascii="Times New Roman Regular" w:hAnsi="Times New Roman Regular" w:eastAsia="仿宋_GB2312" w:cs="Times New Roman Regular"/>
          <w:color w:val="auto"/>
          <w:sz w:val="32"/>
          <w:szCs w:val="32"/>
          <w:highlight w:val="none"/>
          <w:lang w:val="en-US" w:eastAsia="zh-CN"/>
        </w:rPr>
        <w:t>全面预算绩效管理工作经验不太丰富，绩效管理专业人员匮乏，规范管理有盲点。绩效管理</w:t>
      </w:r>
      <w:r>
        <w:rPr>
          <w:rFonts w:hint="eastAsia" w:ascii="Times New Roman Regular" w:hAnsi="Times New Roman Regular" w:eastAsia="仿宋_GB2312" w:cs="Times New Roman Regular"/>
          <w:color w:val="auto"/>
          <w:sz w:val="32"/>
          <w:szCs w:val="32"/>
          <w:highlight w:val="none"/>
          <w:lang w:val="en-US" w:eastAsia="zh-CN"/>
        </w:rPr>
        <w:t>理</w:t>
      </w:r>
      <w:r>
        <w:rPr>
          <w:rFonts w:hint="default" w:ascii="Times New Roman Regular" w:hAnsi="Times New Roman Regular" w:eastAsia="仿宋_GB2312" w:cs="Times New Roman Regular"/>
          <w:color w:val="auto"/>
          <w:sz w:val="32"/>
          <w:szCs w:val="32"/>
          <w:highlight w:val="none"/>
          <w:lang w:val="en-US" w:eastAsia="zh-CN"/>
        </w:rPr>
        <w:t>念待加强</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部门预算编制的科学化、精细化有待提高。目前，预算编制要求经济科目细化到款级，但在实际编制过程中，由于有的预算支出项目具有预测性和不确定性等特点，造成实际支出与预算编制不符。</w:t>
      </w:r>
    </w:p>
    <w:p w14:paraId="2C772543">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sz w:val="32"/>
          <w:szCs w:val="32"/>
        </w:rPr>
        <w:t>下一步改进措施：一</w:t>
      </w:r>
      <w:r>
        <w:rPr>
          <w:rFonts w:hint="eastAsia" w:ascii="Times New Roman" w:hAnsi="Times New Roman" w:eastAsia="仿宋_GB2312" w:cs="Times New Roman"/>
          <w:sz w:val="32"/>
          <w:szCs w:val="32"/>
          <w:lang w:eastAsia="zh-CN"/>
        </w:rPr>
        <w:t>是</w:t>
      </w:r>
      <w:r>
        <w:rPr>
          <w:rFonts w:hint="default" w:ascii="Times New Roman Regular" w:hAnsi="Times New Roman Regular" w:eastAsia="仿宋_GB2312" w:cs="Times New Roman Regular"/>
          <w:color w:val="auto"/>
          <w:sz w:val="32"/>
          <w:szCs w:val="32"/>
          <w:highlight w:val="none"/>
          <w:lang w:val="en-US" w:eastAsia="zh-CN"/>
        </w:rPr>
        <w:t>更加全面、细致地制定绩效目标，进一步严肃财经纪律，在实施过程中遵循“实事求是、尊重客观、力求精准”的原则，努力使项目资金落到实处</w:t>
      </w:r>
      <w:r>
        <w:rPr>
          <w:rFonts w:ascii="Times New Roman" w:hAnsi="Times New Roman" w:eastAsia="仿宋_GB2312" w:cs="Times New Roman"/>
          <w:sz w:val="32"/>
          <w:szCs w:val="32"/>
        </w:rPr>
        <w:t>；二是</w:t>
      </w:r>
      <w:r>
        <w:rPr>
          <w:rFonts w:hint="default" w:ascii="Times New Roman Regular" w:hAnsi="Times New Roman Regular" w:eastAsia="仿宋_GB2312" w:cs="Times New Roman Regular"/>
          <w:color w:val="auto"/>
          <w:sz w:val="32"/>
          <w:szCs w:val="32"/>
          <w:highlight w:val="none"/>
          <w:lang w:val="en-US" w:eastAsia="zh-CN"/>
        </w:rPr>
        <w:t>落实内控制度，严肃执行“三重一大”的原则，深入开展政府购买社会化服务，切实引进社会化竞争机制，引进相关专业人才，保障项目在公开、公平、公正的监督环境中实施，有效节约项目资金，把有限的资金用在刀刃上</w:t>
      </w:r>
      <w:r>
        <w:rPr>
          <w:rFonts w:hint="eastAsia" w:ascii="Times New Roman" w:hAnsi="Times New Roman" w:eastAsia="仿宋_GB2312" w:cs="Times New Roman"/>
          <w:sz w:val="32"/>
          <w:szCs w:val="32"/>
          <w:lang w:eastAsia="zh-CN"/>
        </w:rPr>
        <w:t>；三是</w:t>
      </w:r>
      <w:r>
        <w:rPr>
          <w:rFonts w:hint="default" w:ascii="Times New Roman Regular" w:hAnsi="Times New Roman Regular" w:eastAsia="仿宋_GB2312" w:cs="Times New Roman Regular"/>
          <w:color w:val="auto"/>
          <w:sz w:val="32"/>
          <w:szCs w:val="32"/>
          <w:highlight w:val="none"/>
          <w:lang w:val="en-US" w:eastAsia="zh-CN"/>
        </w:rPr>
        <w:t>加强对财政资金的拨付和使用管理，加强对财务干部职工的业务培训，强化预算管理意识，严格执行预算，做到专账核算，确保专款专用</w:t>
      </w:r>
      <w:r>
        <w:rPr>
          <w:rFonts w:ascii="Times New Roman" w:hAnsi="Times New Roman" w:eastAsia="仿宋_GB2312" w:cs="Times New Roman"/>
          <w:kern w:val="0"/>
          <w:sz w:val="32"/>
          <w:szCs w:val="32"/>
        </w:rPr>
        <w:t>。</w:t>
      </w:r>
    </w:p>
    <w:p w14:paraId="42E5BD03">
      <w:pPr>
        <w:pStyle w:val="15"/>
        <w:overflowPunct w:val="0"/>
        <w:autoSpaceDE/>
        <w:autoSpaceDN/>
        <w:spacing w:line="600" w:lineRule="exact"/>
        <w:ind w:firstLine="640" w:firstLineChars="200"/>
        <w:jc w:val="both"/>
        <w:rPr>
          <w:rFonts w:ascii="Times New Roman" w:hAnsi="Times New Roman" w:eastAsia="仿宋_GB2312" w:cs="Times New Roman"/>
          <w:color w:val="auto"/>
          <w:kern w:val="2"/>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kern w:val="2"/>
          <w:sz w:val="32"/>
          <w:szCs w:val="32"/>
          <w:lang w:val="en-US" w:eastAsia="zh-CN" w:bidi="ar-SA"/>
        </w:rPr>
        <w:t>我单位将通过绩效自评工作进一步完善预算管理机制，规范资金使用，强化监督检查，强化财政资金管理水平，提高财政资金使用效益，预算资金使用效益的提高提供基础保障。</w:t>
      </w:r>
    </w:p>
    <w:p w14:paraId="1B934A4F">
      <w:pPr>
        <w:pStyle w:val="15"/>
        <w:jc w:val="center"/>
        <w:rPr>
          <w:rFonts w:ascii="Times New Roman" w:hAnsi="Times New Roman" w:cs="Times New Roman"/>
          <w:sz w:val="72"/>
          <w:szCs w:val="72"/>
        </w:rPr>
      </w:pPr>
    </w:p>
    <w:p w14:paraId="61E46C23">
      <w:pPr>
        <w:pStyle w:val="15"/>
        <w:jc w:val="both"/>
        <w:rPr>
          <w:rFonts w:ascii="Times New Roman" w:hAnsi="Times New Roman" w:cs="Times New Roman"/>
          <w:sz w:val="72"/>
          <w:szCs w:val="72"/>
        </w:rPr>
      </w:pPr>
    </w:p>
    <w:p w14:paraId="5D389DB3">
      <w:pPr>
        <w:pStyle w:val="15"/>
        <w:jc w:val="both"/>
        <w:rPr>
          <w:rFonts w:ascii="Times New Roman" w:hAnsi="Times New Roman" w:cs="Times New Roman"/>
          <w:sz w:val="72"/>
          <w:szCs w:val="72"/>
        </w:rPr>
      </w:pPr>
    </w:p>
    <w:p w14:paraId="64482995">
      <w:pPr>
        <w:pStyle w:val="15"/>
        <w:jc w:val="both"/>
        <w:rPr>
          <w:rFonts w:ascii="Times New Roman" w:hAnsi="Times New Roman" w:cs="Times New Roman"/>
          <w:sz w:val="72"/>
          <w:szCs w:val="72"/>
        </w:rPr>
      </w:pPr>
    </w:p>
    <w:p w14:paraId="7A5F1097">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24B5FFC">
      <w:pPr>
        <w:widowControl/>
        <w:jc w:val="left"/>
        <w:rPr>
          <w:rFonts w:ascii="Times New Roman" w:hAnsi="Times New Roman" w:cs="Times New Roman"/>
          <w:color w:val="000000"/>
          <w:kern w:val="0"/>
          <w:sz w:val="32"/>
          <w:szCs w:val="32"/>
        </w:rPr>
      </w:pPr>
    </w:p>
    <w:p w14:paraId="1B7F301C">
      <w:pPr>
        <w:widowControl/>
        <w:ind w:firstLine="640" w:firstLineChars="200"/>
        <w:jc w:val="left"/>
        <w:rPr>
          <w:rFonts w:hint="eastAsia"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rPr>
        <w:t>财政拨款收入：指财政当年拨付的资金。包括一般公共预算财政拨款和政府性基金财政拨款。</w:t>
      </w:r>
    </w:p>
    <w:p w14:paraId="7101099D">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二、</w:t>
      </w:r>
      <w:r>
        <w:rPr>
          <w:rFonts w:hint="eastAsia" w:ascii="Times New Roman" w:hAnsi="Times New Roman" w:eastAsia="仿宋_GB2312" w:cs="Times New Roman"/>
          <w:color w:val="000000"/>
          <w:kern w:val="0"/>
          <w:sz w:val="32"/>
          <w:szCs w:val="32"/>
        </w:rPr>
        <w:t>上级补助收入：指事业单位从主管部门和上级单位取得的非财政补助收入。</w:t>
      </w:r>
    </w:p>
    <w:p w14:paraId="0ADDAAAE">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三、</w:t>
      </w:r>
      <w:r>
        <w:rPr>
          <w:rFonts w:hint="eastAsia" w:ascii="Times New Roman" w:hAnsi="Times New Roman" w:eastAsia="仿宋_GB2312" w:cs="Times New Roman"/>
          <w:color w:val="000000"/>
          <w:kern w:val="0"/>
          <w:sz w:val="32"/>
          <w:szCs w:val="32"/>
        </w:rPr>
        <w:t>事业收入：指事业单位开展专业业务活动及辅助活动所取得的收入。</w:t>
      </w:r>
    </w:p>
    <w:p w14:paraId="248D3629">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四、</w:t>
      </w:r>
      <w:r>
        <w:rPr>
          <w:rFonts w:hint="eastAsia" w:ascii="Times New Roman" w:hAnsi="Times New Roman" w:eastAsia="仿宋_GB2312" w:cs="Times New Roman"/>
          <w:color w:val="000000"/>
          <w:kern w:val="0"/>
          <w:sz w:val="32"/>
          <w:szCs w:val="32"/>
        </w:rPr>
        <w:t>经营收入：指事业单位在专业业务活动及其辅助活动之外开展非独立核算经营活动取得的收入。</w:t>
      </w:r>
    </w:p>
    <w:p w14:paraId="3CAD1856">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五、</w:t>
      </w:r>
      <w:r>
        <w:rPr>
          <w:rFonts w:hint="eastAsia" w:ascii="Times New Roman" w:hAnsi="Times New Roman" w:eastAsia="仿宋_GB2312" w:cs="Times New Roman"/>
          <w:color w:val="000000"/>
          <w:kern w:val="0"/>
          <w:sz w:val="32"/>
          <w:szCs w:val="32"/>
        </w:rPr>
        <w:t>附属单位上缴收入：指事业单位附属独立核算单位按照有关规定上缴的收入。</w:t>
      </w:r>
    </w:p>
    <w:p w14:paraId="2A4E5A55">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六、</w:t>
      </w:r>
      <w:r>
        <w:rPr>
          <w:rFonts w:hint="eastAsia" w:ascii="Times New Roman" w:hAnsi="Times New Roman" w:eastAsia="仿宋_GB2312" w:cs="Times New Roman"/>
          <w:color w:val="000000"/>
          <w:kern w:val="0"/>
          <w:sz w:val="32"/>
          <w:szCs w:val="32"/>
        </w:rPr>
        <w:t>其他收入：指除上述“财政拨款收入”、“事业收入”、“经营收入”等以外的收入。</w:t>
      </w:r>
    </w:p>
    <w:p w14:paraId="6BD6B973">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七、</w:t>
      </w:r>
      <w:r>
        <w:rPr>
          <w:rFonts w:hint="eastAsia" w:ascii="Times New Roman" w:hAnsi="Times New Roman" w:eastAsia="仿宋_GB2312" w:cs="Times New Roman"/>
          <w:color w:val="000000"/>
          <w:kern w:val="0"/>
          <w:sz w:val="32"/>
          <w:szCs w:val="32"/>
        </w:rPr>
        <w:t>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5F60E3BF">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八、</w:t>
      </w:r>
      <w:r>
        <w:rPr>
          <w:rFonts w:hint="eastAsia" w:ascii="Times New Roman" w:hAnsi="Times New Roman" w:eastAsia="仿宋_GB2312" w:cs="Times New Roman"/>
          <w:color w:val="000000"/>
          <w:kern w:val="0"/>
          <w:sz w:val="32"/>
          <w:szCs w:val="32"/>
        </w:rPr>
        <w:t>年初结转和结余：指以前年度尚未完成、结转到本年按有关规定继续使用的资金。</w:t>
      </w:r>
    </w:p>
    <w:p w14:paraId="1C38DA4C">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九、</w:t>
      </w:r>
      <w:r>
        <w:rPr>
          <w:rFonts w:hint="eastAsia" w:ascii="Times New Roman" w:hAnsi="Times New Roman" w:eastAsia="仿宋_GB2312" w:cs="Times New Roman"/>
          <w:color w:val="000000"/>
          <w:kern w:val="0"/>
          <w:sz w:val="32"/>
          <w:szCs w:val="32"/>
        </w:rPr>
        <w:t>结余分配：指事业单位按规定从非财政补助结余中分配的事业基金和职工福利基金等。</w:t>
      </w:r>
    </w:p>
    <w:p w14:paraId="2098E9EB">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hint="eastAsia" w:ascii="Times New Roman" w:hAnsi="Times New Roman" w:eastAsia="仿宋_GB2312" w:cs="Times New Roman"/>
          <w:color w:val="000000"/>
          <w:kern w:val="0"/>
          <w:sz w:val="32"/>
          <w:szCs w:val="32"/>
        </w:rPr>
        <w:t>年末结转和结余：指本年度或以前年度预算安排、因客观条件发生变化无法按原计划实施，需要延迟到以后年度按有关规定继续使用的资金。</w:t>
      </w:r>
    </w:p>
    <w:p w14:paraId="350374D2">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十一、</w:t>
      </w:r>
      <w:r>
        <w:rPr>
          <w:rFonts w:hint="eastAsia" w:ascii="Times New Roman" w:hAnsi="Times New Roman" w:eastAsia="仿宋_GB2312" w:cs="Times New Roman"/>
          <w:color w:val="000000"/>
          <w:kern w:val="0"/>
          <w:sz w:val="32"/>
          <w:szCs w:val="32"/>
        </w:rPr>
        <w:t>基本支出：指为保障机构正常运转、完成日常工作任务而发生的人员支出和公用支出。</w:t>
      </w:r>
    </w:p>
    <w:p w14:paraId="0B921A59">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十二、</w:t>
      </w:r>
      <w:r>
        <w:rPr>
          <w:rFonts w:hint="eastAsia" w:ascii="Times New Roman" w:hAnsi="Times New Roman" w:eastAsia="仿宋_GB2312" w:cs="Times New Roman"/>
          <w:color w:val="000000"/>
          <w:kern w:val="0"/>
          <w:sz w:val="32"/>
          <w:szCs w:val="32"/>
        </w:rPr>
        <w:t>项目支出：指在基本支出之外为完成特定行政任务和事业发展目标所发生的支出。</w:t>
      </w:r>
    </w:p>
    <w:p w14:paraId="134EA2EA">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十三、</w:t>
      </w:r>
      <w:r>
        <w:rPr>
          <w:rFonts w:hint="eastAsia" w:ascii="Times New Roman" w:hAnsi="Times New Roman" w:eastAsia="仿宋_GB2312" w:cs="Times New Roman"/>
          <w:color w:val="000000"/>
          <w:kern w:val="0"/>
          <w:sz w:val="32"/>
          <w:szCs w:val="32"/>
        </w:rPr>
        <w:t>经营支出：指事业单位在专业业务活动及其辅助活动之外开展非独立核算经营活动所发生的支出。</w:t>
      </w:r>
    </w:p>
    <w:p w14:paraId="29B2B292">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十四、</w:t>
      </w:r>
      <w:r>
        <w:rPr>
          <w:rFonts w:hint="eastAsia" w:ascii="Times New Roman" w:hAnsi="Times New Roman" w:eastAsia="仿宋_GB2312" w:cs="Times New Roman"/>
          <w:color w:val="000000"/>
          <w:kern w:val="0"/>
          <w:sz w:val="32"/>
          <w:szCs w:val="32"/>
        </w:rPr>
        <w:t>“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p>
    <w:p w14:paraId="36939344">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十五、</w:t>
      </w:r>
      <w:r>
        <w:rPr>
          <w:rFonts w:hint="eastAsia" w:ascii="Times New Roman" w:hAnsi="Times New Roman" w:eastAsia="仿宋_GB2312" w:cs="Times New Roman"/>
          <w:color w:val="000000"/>
          <w:kern w:val="0"/>
          <w:sz w:val="32"/>
          <w:szCs w:val="32"/>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14:paraId="203D68C1">
      <w:pPr>
        <w:pStyle w:val="15"/>
        <w:spacing w:line="600" w:lineRule="exact"/>
        <w:ind w:firstLine="640" w:firstLineChars="200"/>
        <w:rPr>
          <w:rFonts w:ascii="Times New Roman" w:hAnsi="Times New Roman" w:eastAsia="楷体_GB2312" w:cs="Times New Roman"/>
          <w:b/>
          <w:bCs/>
          <w:i/>
          <w:color w:val="auto"/>
          <w:sz w:val="32"/>
          <w:szCs w:val="32"/>
        </w:rPr>
      </w:pPr>
    </w:p>
    <w:p w14:paraId="14E2F112">
      <w:pPr>
        <w:pStyle w:val="15"/>
        <w:jc w:val="center"/>
        <w:rPr>
          <w:rFonts w:ascii="Times New Roman" w:hAnsi="Times New Roman" w:cs="Times New Roman"/>
          <w:sz w:val="72"/>
          <w:szCs w:val="72"/>
        </w:rPr>
      </w:pPr>
    </w:p>
    <w:p w14:paraId="42B9CA0F">
      <w:pPr>
        <w:pStyle w:val="15"/>
        <w:jc w:val="center"/>
        <w:rPr>
          <w:rFonts w:ascii="Times New Roman" w:hAnsi="Times New Roman" w:cs="Times New Roman"/>
          <w:sz w:val="72"/>
          <w:szCs w:val="72"/>
        </w:rPr>
      </w:pPr>
    </w:p>
    <w:p w14:paraId="03B42DFB">
      <w:pPr>
        <w:pStyle w:val="15"/>
        <w:jc w:val="center"/>
        <w:rPr>
          <w:rFonts w:ascii="Times New Roman" w:hAnsi="Times New Roman" w:cs="Times New Roman"/>
          <w:sz w:val="72"/>
          <w:szCs w:val="72"/>
        </w:rPr>
      </w:pPr>
    </w:p>
    <w:p w14:paraId="63076378">
      <w:pPr>
        <w:pStyle w:val="15"/>
        <w:jc w:val="center"/>
        <w:rPr>
          <w:rFonts w:ascii="Times New Roman" w:hAnsi="Times New Roman" w:cs="Times New Roman"/>
          <w:sz w:val="72"/>
          <w:szCs w:val="72"/>
        </w:rPr>
      </w:pPr>
    </w:p>
    <w:p w14:paraId="49C93CEA">
      <w:pPr>
        <w:pStyle w:val="15"/>
        <w:jc w:val="center"/>
        <w:rPr>
          <w:rFonts w:ascii="Times New Roman" w:hAnsi="Times New Roman" w:cs="Times New Roman"/>
          <w:sz w:val="72"/>
          <w:szCs w:val="72"/>
        </w:rPr>
      </w:pPr>
    </w:p>
    <w:p w14:paraId="7049C473">
      <w:pPr>
        <w:pStyle w:val="15"/>
        <w:jc w:val="center"/>
        <w:rPr>
          <w:rFonts w:ascii="Times New Roman" w:hAnsi="Times New Roman" w:cs="Times New Roman"/>
          <w:sz w:val="72"/>
          <w:szCs w:val="72"/>
        </w:rPr>
      </w:pPr>
    </w:p>
    <w:p w14:paraId="5A7803FC">
      <w:pPr>
        <w:pStyle w:val="15"/>
        <w:jc w:val="center"/>
        <w:rPr>
          <w:rFonts w:ascii="Times New Roman" w:hAnsi="Times New Roman" w:cs="Times New Roman"/>
          <w:sz w:val="72"/>
          <w:szCs w:val="72"/>
        </w:rPr>
      </w:pPr>
    </w:p>
    <w:p w14:paraId="75A4A8D1">
      <w:pPr>
        <w:pStyle w:val="15"/>
        <w:jc w:val="center"/>
        <w:rPr>
          <w:rFonts w:ascii="Times New Roman" w:hAnsi="Times New Roman" w:cs="Times New Roman"/>
          <w:sz w:val="72"/>
          <w:szCs w:val="72"/>
        </w:rPr>
      </w:pPr>
    </w:p>
    <w:p w14:paraId="65AB6701">
      <w:pPr>
        <w:pStyle w:val="15"/>
        <w:jc w:val="center"/>
        <w:rPr>
          <w:rFonts w:ascii="Times New Roman" w:hAnsi="Times New Roman" w:cs="Times New Roman"/>
          <w:sz w:val="72"/>
          <w:szCs w:val="72"/>
        </w:rPr>
      </w:pPr>
    </w:p>
    <w:p w14:paraId="0216E709">
      <w:pPr>
        <w:pStyle w:val="15"/>
        <w:jc w:val="center"/>
        <w:rPr>
          <w:rFonts w:ascii="Times New Roman" w:hAnsi="Times New Roman" w:cs="Times New Roman"/>
          <w:sz w:val="72"/>
          <w:szCs w:val="72"/>
        </w:rPr>
      </w:pPr>
    </w:p>
    <w:p w14:paraId="2C170C5E">
      <w:pPr>
        <w:pStyle w:val="15"/>
        <w:jc w:val="center"/>
        <w:rPr>
          <w:rFonts w:ascii="Times New Roman" w:hAnsi="Times New Roman" w:cs="Times New Roman"/>
          <w:sz w:val="72"/>
          <w:szCs w:val="72"/>
        </w:rPr>
      </w:pPr>
    </w:p>
    <w:p w14:paraId="01A5C3B3">
      <w:pPr>
        <w:pStyle w:val="15"/>
        <w:jc w:val="center"/>
        <w:rPr>
          <w:rFonts w:ascii="Times New Roman" w:hAnsi="Times New Roman" w:cs="Times New Roman"/>
          <w:sz w:val="72"/>
          <w:szCs w:val="72"/>
        </w:rPr>
      </w:pPr>
    </w:p>
    <w:p w14:paraId="3873EA64">
      <w:pPr>
        <w:pStyle w:val="15"/>
        <w:jc w:val="both"/>
        <w:rPr>
          <w:rFonts w:ascii="Times New Roman" w:hAnsi="Times New Roman" w:cs="Times New Roman"/>
          <w:sz w:val="72"/>
          <w:szCs w:val="72"/>
        </w:rPr>
      </w:pPr>
    </w:p>
    <w:p w14:paraId="44560728">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012B213">
      <w:pPr>
        <w:rPr>
          <w:rFonts w:ascii="Times New Roman" w:hAnsi="Times New Roman" w:cs="Times New Roman"/>
          <w:sz w:val="72"/>
          <w:szCs w:val="72"/>
        </w:rPr>
      </w:pPr>
    </w:p>
    <w:p w14:paraId="7A811247">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lang w:eastAsia="zh-CN"/>
        </w:rPr>
        <w:t>决算公开表</w:t>
      </w:r>
      <w:r>
        <w:rPr>
          <w:rFonts w:ascii="Times New Roman" w:hAnsi="Times New Roman" w:eastAsia="仿宋_GB2312" w:cs="Times New Roman"/>
          <w:sz w:val="32"/>
          <w:szCs w:val="32"/>
        </w:rPr>
        <w:t>。</w:t>
      </w:r>
    </w:p>
    <w:p w14:paraId="0C0E4D42">
      <w:pPr>
        <w:pStyle w:val="15"/>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pict>
          <v:shape id="_x0000_s1026" o:spid="_x0000_s1026" o:spt="75" type="#_x0000_t75" style="position:absolute;left:0pt;margin-left:65.3pt;margin-top:18.05pt;height:65.4pt;width:72.6pt;mso-wrap-distance-bottom:0pt;mso-wrap-distance-left:9pt;mso-wrap-distance-right:9pt;mso-wrap-distance-top:0pt;z-index:251659264;mso-width-relative:page;mso-height-relative:page;" o:ole="t" filled="f" o:preferrelative="t" stroked="f" coordsize="21600,21600">
            <v:path/>
            <v:fill on="f" focussize="0,0"/>
            <v:stroke on="f"/>
            <v:imagedata r:id="rId9" o:title=""/>
            <o:lock v:ext="edit" aspectratio="t"/>
            <w10:wrap type="square"/>
          </v:shape>
          <o:OLEObject Type="Embed" ProgID="Excel.Sheet.8" ShapeID="_x0000_s1026" DrawAspect="Icon" ObjectID="_1468075725" r:id="rId8">
            <o:LockedField>false</o:LockedField>
          </o:OLEObject>
        </w:pict>
      </w:r>
    </w:p>
    <w:p w14:paraId="161E1977">
      <w:pPr>
        <w:pStyle w:val="15"/>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p>
    <w:p w14:paraId="2545A27D">
      <w:pPr>
        <w:pStyle w:val="15"/>
        <w:spacing w:line="600" w:lineRule="exact"/>
        <w:ind w:firstLine="640" w:firstLineChars="200"/>
        <w:rPr>
          <w:rFonts w:ascii="Times New Roman" w:hAnsi="Times New Roman" w:eastAsia="仿宋_GB2312" w:cs="Times New Roman"/>
          <w:sz w:val="32"/>
          <w:szCs w:val="32"/>
        </w:rPr>
      </w:pPr>
    </w:p>
    <w:p w14:paraId="315CF522">
      <w:pPr>
        <w:pStyle w:val="15"/>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二、</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r>
        <w:rPr>
          <w:rFonts w:hint="eastAsia" w:ascii="Times New Roman" w:hAnsi="Times New Roman" w:eastAsia="仿宋_GB2312" w:cs="Times New Roman"/>
          <w:sz w:val="32"/>
          <w:szCs w:val="32"/>
          <w:lang w:eastAsia="zh-CN"/>
        </w:rPr>
        <w:t>。</w:t>
      </w:r>
    </w:p>
    <w:p w14:paraId="58D6C5F0">
      <w:pPr>
        <w:pStyle w:val="15"/>
        <w:ind w:firstLine="1280" w:firstLineChars="4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pict>
          <v:shape id="_x0000_s1027" o:spid="_x0000_s1027" o:spt="75" type="#_x0000_t75" style="position:absolute;left:0pt;margin-left:72.3pt;margin-top:20pt;height:65.4pt;width:72.6pt;mso-wrap-distance-bottom:0pt;mso-wrap-distance-left:9pt;mso-wrap-distance-right:9pt;mso-wrap-distance-top:0pt;z-index:251660288;mso-width-relative:page;mso-height-relative:page;" o:ole="t" filled="f" o:preferrelative="t" stroked="f" coordsize="21600,21600">
            <v:path/>
            <v:fill on="f" focussize="0,0"/>
            <v:stroke on="f"/>
            <v:imagedata r:id="rId11" o:title=""/>
            <o:lock v:ext="edit" aspectratio="t"/>
            <w10:wrap type="square"/>
          </v:shape>
          <o:OLEObject Type="Embed" ProgID="Word.Document.12" ShapeID="_x0000_s1027" DrawAspect="Icon" ObjectID="_1468075726" r:id="rId10">
            <o:LockedField>false</o:LockedField>
          </o:OLEObject>
        </w:pict>
      </w:r>
    </w:p>
    <w:p w14:paraId="3ADD3189">
      <w:pPr>
        <w:pStyle w:val="15"/>
        <w:spacing w:line="600" w:lineRule="exact"/>
        <w:ind w:firstLine="640" w:firstLineChars="200"/>
        <w:rPr>
          <w:rFonts w:hint="eastAsia" w:ascii="Times New Roman" w:hAnsi="Times New Roman" w:eastAsia="仿宋_GB2312" w:cs="Times New Roman"/>
          <w:sz w:val="32"/>
          <w:szCs w:val="32"/>
          <w:lang w:eastAsia="zh-CN"/>
        </w:rPr>
      </w:pPr>
    </w:p>
    <w:p w14:paraId="04847B8E">
      <w:pPr>
        <w:pStyle w:val="15"/>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w:t>
      </w:r>
    </w:p>
    <w:p w14:paraId="6FCFD371">
      <w:pPr>
        <w:pStyle w:val="15"/>
        <w:jc w:val="center"/>
        <w:rPr>
          <w:rFonts w:ascii="Times New Roman" w:hAnsi="Times New Roman" w:cs="Times New Roman"/>
          <w:sz w:val="72"/>
          <w:szCs w:val="72"/>
        </w:rPr>
      </w:pPr>
    </w:p>
    <w:p w14:paraId="27E2FFF5">
      <w:pPr>
        <w:pStyle w:val="15"/>
        <w:jc w:val="center"/>
        <w:rPr>
          <w:rFonts w:ascii="Times New Roman" w:hAnsi="Times New Roman" w:cs="Times New Roman"/>
          <w:sz w:val="72"/>
          <w:szCs w:val="72"/>
        </w:rPr>
      </w:pPr>
    </w:p>
    <w:p w14:paraId="350FC1A8">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1890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2695D">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B591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8B82A">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F9C097">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2F9C097">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6BB079"/>
    <w:multiLevelType w:val="singleLevel"/>
    <w:tmpl w:val="B06BB079"/>
    <w:lvl w:ilvl="0" w:tentative="0">
      <w:start w:val="9"/>
      <w:numFmt w:val="chineseCounting"/>
      <w:suff w:val="nothing"/>
      <w:lvlText w:val="%1、"/>
      <w:lvlJc w:val="left"/>
      <w:rPr>
        <w:rFonts w:hint="eastAsia"/>
      </w:rPr>
    </w:lvl>
  </w:abstractNum>
  <w:abstractNum w:abstractNumId="1">
    <w:nsid w:val="B7EAB92F"/>
    <w:multiLevelType w:val="singleLevel"/>
    <w:tmpl w:val="B7EAB92F"/>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522D"/>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DF3DE8"/>
    <w:rsid w:val="00E00C7A"/>
    <w:rsid w:val="00E20AA1"/>
    <w:rsid w:val="00E37D6C"/>
    <w:rsid w:val="00E55B68"/>
    <w:rsid w:val="00E561AE"/>
    <w:rsid w:val="00E67BE6"/>
    <w:rsid w:val="00E8683C"/>
    <w:rsid w:val="00EA2B72"/>
    <w:rsid w:val="00F74360"/>
    <w:rsid w:val="00FB462F"/>
    <w:rsid w:val="00FE16FA"/>
    <w:rsid w:val="00FE328A"/>
    <w:rsid w:val="00FE6269"/>
    <w:rsid w:val="00FF5CD6"/>
    <w:rsid w:val="03830176"/>
    <w:rsid w:val="03DE7C60"/>
    <w:rsid w:val="048F36DF"/>
    <w:rsid w:val="056B5971"/>
    <w:rsid w:val="066E4DDC"/>
    <w:rsid w:val="06FB21FC"/>
    <w:rsid w:val="06FB2E10"/>
    <w:rsid w:val="07084FE5"/>
    <w:rsid w:val="07420EBA"/>
    <w:rsid w:val="075671B9"/>
    <w:rsid w:val="07E4541A"/>
    <w:rsid w:val="08D9644F"/>
    <w:rsid w:val="096469B9"/>
    <w:rsid w:val="096D1C24"/>
    <w:rsid w:val="09C528DE"/>
    <w:rsid w:val="0A7276A3"/>
    <w:rsid w:val="0AC54095"/>
    <w:rsid w:val="0B0142A0"/>
    <w:rsid w:val="0B552953"/>
    <w:rsid w:val="0C2E7015"/>
    <w:rsid w:val="0D3D6768"/>
    <w:rsid w:val="0E290525"/>
    <w:rsid w:val="0E477819"/>
    <w:rsid w:val="0F0C5D00"/>
    <w:rsid w:val="1053365E"/>
    <w:rsid w:val="1142185E"/>
    <w:rsid w:val="118848D0"/>
    <w:rsid w:val="11AD3DEC"/>
    <w:rsid w:val="11B748FF"/>
    <w:rsid w:val="11D45084"/>
    <w:rsid w:val="141E339D"/>
    <w:rsid w:val="1421049F"/>
    <w:rsid w:val="149B6EA9"/>
    <w:rsid w:val="14E3210B"/>
    <w:rsid w:val="15627995"/>
    <w:rsid w:val="158655C1"/>
    <w:rsid w:val="15F304A6"/>
    <w:rsid w:val="168005C7"/>
    <w:rsid w:val="16B7488B"/>
    <w:rsid w:val="16E94DF8"/>
    <w:rsid w:val="16EF2AF8"/>
    <w:rsid w:val="17446FEC"/>
    <w:rsid w:val="17476D92"/>
    <w:rsid w:val="18DC6D25"/>
    <w:rsid w:val="19874690"/>
    <w:rsid w:val="19C26ACC"/>
    <w:rsid w:val="1A0713BD"/>
    <w:rsid w:val="1A775879"/>
    <w:rsid w:val="1AAD7A17"/>
    <w:rsid w:val="1B844DE8"/>
    <w:rsid w:val="1BD46CA9"/>
    <w:rsid w:val="1C4E0CFD"/>
    <w:rsid w:val="1D79400E"/>
    <w:rsid w:val="1D8303F5"/>
    <w:rsid w:val="1D97DEFF"/>
    <w:rsid w:val="1DFF72E5"/>
    <w:rsid w:val="1E014879"/>
    <w:rsid w:val="1E066426"/>
    <w:rsid w:val="1EB00E4B"/>
    <w:rsid w:val="1EFC6F07"/>
    <w:rsid w:val="1F747DA4"/>
    <w:rsid w:val="1F865D73"/>
    <w:rsid w:val="20307203"/>
    <w:rsid w:val="20761D68"/>
    <w:rsid w:val="20825D3E"/>
    <w:rsid w:val="212B3843"/>
    <w:rsid w:val="223D6BD0"/>
    <w:rsid w:val="227D4256"/>
    <w:rsid w:val="230261BC"/>
    <w:rsid w:val="235677ED"/>
    <w:rsid w:val="23F260E0"/>
    <w:rsid w:val="253E123A"/>
    <w:rsid w:val="25F60F19"/>
    <w:rsid w:val="260F0358"/>
    <w:rsid w:val="267D38AE"/>
    <w:rsid w:val="26DB0E48"/>
    <w:rsid w:val="2733293E"/>
    <w:rsid w:val="277919F8"/>
    <w:rsid w:val="28CF011A"/>
    <w:rsid w:val="29197DBB"/>
    <w:rsid w:val="29E53368"/>
    <w:rsid w:val="2A013D68"/>
    <w:rsid w:val="2A943D8F"/>
    <w:rsid w:val="2ACB1715"/>
    <w:rsid w:val="2B570924"/>
    <w:rsid w:val="2CF107A3"/>
    <w:rsid w:val="2DE73DBF"/>
    <w:rsid w:val="2DF76C66"/>
    <w:rsid w:val="2EE276D8"/>
    <w:rsid w:val="2F965D37"/>
    <w:rsid w:val="2FDF85B8"/>
    <w:rsid w:val="2FFFEE04"/>
    <w:rsid w:val="31AB16B2"/>
    <w:rsid w:val="31C800DF"/>
    <w:rsid w:val="32D530ED"/>
    <w:rsid w:val="33340ABB"/>
    <w:rsid w:val="33A806C5"/>
    <w:rsid w:val="33CD09C2"/>
    <w:rsid w:val="34A85E70"/>
    <w:rsid w:val="34AA7AFA"/>
    <w:rsid w:val="34DF85B0"/>
    <w:rsid w:val="355422A7"/>
    <w:rsid w:val="357511F0"/>
    <w:rsid w:val="35FF24EF"/>
    <w:rsid w:val="3618121A"/>
    <w:rsid w:val="366D01E3"/>
    <w:rsid w:val="3670172B"/>
    <w:rsid w:val="372575B5"/>
    <w:rsid w:val="38391275"/>
    <w:rsid w:val="38696840"/>
    <w:rsid w:val="38DB0C6A"/>
    <w:rsid w:val="39781B1E"/>
    <w:rsid w:val="3B42253E"/>
    <w:rsid w:val="3B8F36BC"/>
    <w:rsid w:val="3BD43050"/>
    <w:rsid w:val="3BDF7F39"/>
    <w:rsid w:val="3C22329B"/>
    <w:rsid w:val="3C7431A4"/>
    <w:rsid w:val="3CB00B78"/>
    <w:rsid w:val="3D436A99"/>
    <w:rsid w:val="3D5E2466"/>
    <w:rsid w:val="3E4C2A84"/>
    <w:rsid w:val="3F102AF4"/>
    <w:rsid w:val="3FD75778"/>
    <w:rsid w:val="40066BD1"/>
    <w:rsid w:val="40596E43"/>
    <w:rsid w:val="407D4AF0"/>
    <w:rsid w:val="422E5A88"/>
    <w:rsid w:val="43E50EFF"/>
    <w:rsid w:val="45D95037"/>
    <w:rsid w:val="46034FF9"/>
    <w:rsid w:val="46542CB6"/>
    <w:rsid w:val="469962FA"/>
    <w:rsid w:val="46C50B05"/>
    <w:rsid w:val="47B24187"/>
    <w:rsid w:val="47F373BC"/>
    <w:rsid w:val="49070508"/>
    <w:rsid w:val="491FF225"/>
    <w:rsid w:val="4977163D"/>
    <w:rsid w:val="49F239BA"/>
    <w:rsid w:val="4AB67F08"/>
    <w:rsid w:val="4B1071E1"/>
    <w:rsid w:val="4B2C5595"/>
    <w:rsid w:val="4B876F51"/>
    <w:rsid w:val="4BAD07E8"/>
    <w:rsid w:val="4BD0285E"/>
    <w:rsid w:val="4BD945C2"/>
    <w:rsid w:val="4BDC4E01"/>
    <w:rsid w:val="4C2F0AB2"/>
    <w:rsid w:val="4C3402EA"/>
    <w:rsid w:val="4C6E0C92"/>
    <w:rsid w:val="4D032B82"/>
    <w:rsid w:val="4D830AB8"/>
    <w:rsid w:val="4D9439C3"/>
    <w:rsid w:val="4EA82EC0"/>
    <w:rsid w:val="4FFD214C"/>
    <w:rsid w:val="50343177"/>
    <w:rsid w:val="50956E75"/>
    <w:rsid w:val="52B20976"/>
    <w:rsid w:val="52FD220E"/>
    <w:rsid w:val="53315014"/>
    <w:rsid w:val="55BD3BF2"/>
    <w:rsid w:val="56472611"/>
    <w:rsid w:val="56A11E54"/>
    <w:rsid w:val="56CC3D23"/>
    <w:rsid w:val="571C3C47"/>
    <w:rsid w:val="571F0487"/>
    <w:rsid w:val="573F14F3"/>
    <w:rsid w:val="5777D4F5"/>
    <w:rsid w:val="5811739B"/>
    <w:rsid w:val="58525AD6"/>
    <w:rsid w:val="594F03BA"/>
    <w:rsid w:val="595046C3"/>
    <w:rsid w:val="598C2171"/>
    <w:rsid w:val="59BF77F2"/>
    <w:rsid w:val="59DD8326"/>
    <w:rsid w:val="5A385085"/>
    <w:rsid w:val="5A9179EE"/>
    <w:rsid w:val="5B1B265C"/>
    <w:rsid w:val="5BA53952"/>
    <w:rsid w:val="5C285FBB"/>
    <w:rsid w:val="5C4826EA"/>
    <w:rsid w:val="5C793DBF"/>
    <w:rsid w:val="5C89257A"/>
    <w:rsid w:val="5CC74C97"/>
    <w:rsid w:val="5DEF592A"/>
    <w:rsid w:val="5E2A4897"/>
    <w:rsid w:val="5E8E0723"/>
    <w:rsid w:val="5FC6BB1E"/>
    <w:rsid w:val="5FF720F1"/>
    <w:rsid w:val="60472375"/>
    <w:rsid w:val="60E41EEA"/>
    <w:rsid w:val="61123304"/>
    <w:rsid w:val="61A01E4A"/>
    <w:rsid w:val="636613F0"/>
    <w:rsid w:val="64282148"/>
    <w:rsid w:val="65391F09"/>
    <w:rsid w:val="65415A67"/>
    <w:rsid w:val="654964DA"/>
    <w:rsid w:val="65AE1C3D"/>
    <w:rsid w:val="65BA2773"/>
    <w:rsid w:val="65EC7721"/>
    <w:rsid w:val="65F543D3"/>
    <w:rsid w:val="66281E31"/>
    <w:rsid w:val="67FF5C0B"/>
    <w:rsid w:val="68017A1B"/>
    <w:rsid w:val="68A0218C"/>
    <w:rsid w:val="69881607"/>
    <w:rsid w:val="69F71B66"/>
    <w:rsid w:val="6B2E1C50"/>
    <w:rsid w:val="6B663431"/>
    <w:rsid w:val="6B794317"/>
    <w:rsid w:val="6B990ED7"/>
    <w:rsid w:val="6BAE566B"/>
    <w:rsid w:val="6BF2783B"/>
    <w:rsid w:val="6C010AD2"/>
    <w:rsid w:val="6C0C4C71"/>
    <w:rsid w:val="6C3D23DD"/>
    <w:rsid w:val="6C7D7F63"/>
    <w:rsid w:val="6C940498"/>
    <w:rsid w:val="6CA964B9"/>
    <w:rsid w:val="6DBF6E28"/>
    <w:rsid w:val="6DDB2657"/>
    <w:rsid w:val="6E2245C0"/>
    <w:rsid w:val="6E6B5988"/>
    <w:rsid w:val="6E765A7E"/>
    <w:rsid w:val="6EFC0924"/>
    <w:rsid w:val="6F5437DE"/>
    <w:rsid w:val="6FB74722"/>
    <w:rsid w:val="6FEF8B7E"/>
    <w:rsid w:val="700B1D61"/>
    <w:rsid w:val="71A6591B"/>
    <w:rsid w:val="71AC3749"/>
    <w:rsid w:val="71B7054B"/>
    <w:rsid w:val="722778B9"/>
    <w:rsid w:val="726C3C07"/>
    <w:rsid w:val="737D59BA"/>
    <w:rsid w:val="739B4FF5"/>
    <w:rsid w:val="73CC5011"/>
    <w:rsid w:val="73F52CBF"/>
    <w:rsid w:val="740135CA"/>
    <w:rsid w:val="74405A21"/>
    <w:rsid w:val="748F244F"/>
    <w:rsid w:val="74AE2004"/>
    <w:rsid w:val="74FC69EF"/>
    <w:rsid w:val="75A13C8B"/>
    <w:rsid w:val="762E10D7"/>
    <w:rsid w:val="778C4E61"/>
    <w:rsid w:val="77C37683"/>
    <w:rsid w:val="77F72A41"/>
    <w:rsid w:val="78114EA0"/>
    <w:rsid w:val="782F3AE6"/>
    <w:rsid w:val="7840314C"/>
    <w:rsid w:val="797B78DE"/>
    <w:rsid w:val="79D19834"/>
    <w:rsid w:val="79FF515B"/>
    <w:rsid w:val="7A71284C"/>
    <w:rsid w:val="7B0E6BCA"/>
    <w:rsid w:val="7B260AB7"/>
    <w:rsid w:val="7B40434D"/>
    <w:rsid w:val="7B443A67"/>
    <w:rsid w:val="7BFD6C42"/>
    <w:rsid w:val="7C5C4828"/>
    <w:rsid w:val="7DD0779C"/>
    <w:rsid w:val="7E101AA8"/>
    <w:rsid w:val="7E9E1962"/>
    <w:rsid w:val="7E9F11B4"/>
    <w:rsid w:val="7F37EC1E"/>
    <w:rsid w:val="7F7DCD9D"/>
    <w:rsid w:val="7F970A6F"/>
    <w:rsid w:val="7FC1FFF3"/>
    <w:rsid w:val="7FC69637"/>
    <w:rsid w:val="7FDF8620"/>
    <w:rsid w:val="7FE8C8F7"/>
    <w:rsid w:val="7FFB242F"/>
    <w:rsid w:val="7FFDB408"/>
    <w:rsid w:val="7FFE4EEB"/>
    <w:rsid w:val="95FB2B98"/>
    <w:rsid w:val="97CC4164"/>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jc w:val="left"/>
      <w:outlineLvl w:val="2"/>
    </w:pPr>
    <w:rPr>
      <w:rFonts w:ascii="宋体" w:hAnsi="宋体"/>
      <w:b/>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customStyle="1" w:styleId="12">
    <w:name w:val="列出段落1"/>
    <w:basedOn w:val="1"/>
    <w:qFormat/>
    <w:uiPriority w:val="0"/>
    <w:pPr>
      <w:widowControl/>
      <w:ind w:firstLine="420" w:firstLineChars="200"/>
      <w:jc w:val="left"/>
    </w:pPr>
    <w:rPr>
      <w:rFonts w:ascii="宋体" w:hAnsi="宋体" w:cs="宋体"/>
      <w:sz w:val="24"/>
      <w:szCs w:val="24"/>
    </w:rPr>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5"/>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7429</Words>
  <Characters>7893</Characters>
  <Lines>69</Lines>
  <Paragraphs>19</Paragraphs>
  <TotalTime>1</TotalTime>
  <ScaleCrop>false</ScaleCrop>
  <LinksUpToDate>false</LinksUpToDate>
  <CharactersWithSpaces>7939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2025-08-18T18:17:00Z</dcterms:created>
  <dc:creator>李航 null</dc:creator>
  <cp:lastModifiedBy>A梦</cp:lastModifiedBy>
  <cp:lastPrinted>2024-08-09T02:20:00Z</cp:lastPrinted>
  <dcterms:modified xsi:type="dcterms:W3CDTF">2026-10-12T15:31:09Z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189A94D5116C4D808CDFB08148565EFA_13</vt:lpwstr>
  </property>
  <property fmtid="{D5CDD505-2E9C-101B-9397-08002B2CF9AE}" pid="4" name="KSOSaveFontToCloudKey">
    <vt:lpwstr>630175869_btnclosed</vt:lpwstr>
  </property>
  <property fmtid="{D5CDD505-2E9C-101B-9397-08002B2CF9AE}" pid="5" name="KSOTemplateDocerSaveRecord">
    <vt:lpwstr>eyJoZGlkIjoiZTdlYjQyZjMzNWU1ZDE3ZmM2YmFmNjE3YTcyMWI0MTIiLCJ1c2VySWQiOiI2MzAxNzU4NjkifQ==</vt:lpwstr>
  </property>
</Properties>
</file>