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748C10">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8DB4FB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121496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294C3B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2025年度怀化市城乡建设档案馆部门</w:t>
      </w:r>
    </w:p>
    <w:p w14:paraId="2A1F78B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整体支出绩效自评报告</w:t>
      </w:r>
    </w:p>
    <w:p w14:paraId="082D003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3954F7F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default" w:ascii="方正小标宋_GBK" w:hAnsi="方正小标宋_GBK" w:eastAsia="方正小标宋_GBK" w:cs="方正小标宋_GBK"/>
          <w:i w:val="0"/>
          <w:iCs w:val="0"/>
          <w:caps w:val="0"/>
          <w:color w:val="000000"/>
          <w:spacing w:val="0"/>
          <w:sz w:val="40"/>
          <w:szCs w:val="40"/>
          <w:shd w:val="clear" w:fill="FFFFFF"/>
          <w:lang w:val="en-US" w:eastAsia="zh-CN"/>
        </w:rPr>
      </w:pPr>
    </w:p>
    <w:p w14:paraId="3FF7E5C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3B0D16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B7766C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C75660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96CF41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D50030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78C6D6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D1304B1">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7B4FA5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ED42A8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20B60C0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4147850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14:paraId="64393D9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892A63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7165D49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614DCFF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A705C4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3B721C0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757689C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7D323DD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怀化市城乡建设档案馆作为怀化市住房和城乡建设局的二级部门预算单位，为正科级公益一类事业单位，财政全额拨款事业单位，内设科室：怀化市城乡建设档案馆。</w:t>
      </w:r>
    </w:p>
    <w:p w14:paraId="156DA80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我单位2025年人员编制数为13人，年末在职在编人员11人。</w:t>
      </w:r>
    </w:p>
    <w:p w14:paraId="2884160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怀化市城乡建设档案馆的主要职责是负责怀化市城建档案的检查、指导、收集、保管等日常管理工作；负责接收普查和补测补绘形成的地下管线成果，利用各单位移交的地下管线档案，及时修改城市地下管线综合图，建立城市地下管线信息系统；负责收集、保管、利用怀化市本级城乡建设声像档案；负责对怀化市本级各类建设工程以及地下管线工程进行竣工档案专项验收，参与工程竣工综合验收备案；负责对已接收进馆的档案进行登记、加工整理、编制检索工具，开发档案信息资源，并向社会提供档案咨询服务；受市建设行政主管部门委托，负责开展档案执法检查；负责怀化市城建档案的信息化建设工作；负责区、县（市）城建档案工作业务指导，组织城建档案业务培训。</w:t>
      </w:r>
    </w:p>
    <w:p w14:paraId="483B5628">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（二）部门（单位）整体支出情况</w:t>
      </w:r>
    </w:p>
    <w:p w14:paraId="45CE28E9">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2025年决算支出数270.37万元，其中：一般公共服务支出8.8万元，社会保障和就业支出39.87万元，卫生健康支出7.8万元，城乡社区支出210.92万元，住房保障支出2.97万元。</w:t>
      </w:r>
    </w:p>
    <w:p w14:paraId="35E40A35">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0840754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3253895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年基本支出总计</w:t>
      </w:r>
      <w:r>
        <w:rPr>
          <w:rFonts w:hint="eastAsia" w:ascii="Times New Roman Regular" w:hAnsi="Times New Roman Regular" w:eastAsia="仿宋_GB2312" w:cs="Times New Roman Regular"/>
          <w:color w:val="auto"/>
          <w:sz w:val="32"/>
          <w:szCs w:val="32"/>
          <w:highlight w:val="none"/>
          <w:lang w:val="en-US" w:eastAsia="zh-CN"/>
        </w:rPr>
        <w:t>221.36</w:t>
      </w:r>
      <w:r>
        <w:rPr>
          <w:rFonts w:hint="default" w:ascii="Times New Roman Regular" w:hAnsi="Times New Roman Regular" w:eastAsia="仿宋_GB2312" w:cs="Times New Roman Regular"/>
          <w:color w:val="auto"/>
          <w:sz w:val="32"/>
          <w:szCs w:val="32"/>
          <w:highlight w:val="none"/>
          <w:lang w:val="en-US" w:eastAsia="zh-CN"/>
        </w:rPr>
        <w:t>万元，主要用于工资福利支出</w:t>
      </w:r>
      <w:r>
        <w:rPr>
          <w:rFonts w:hint="eastAsia" w:ascii="Times New Roman Regular" w:hAnsi="Times New Roman Regular" w:eastAsia="仿宋_GB2312" w:cs="Times New Roman Regular"/>
          <w:color w:val="auto"/>
          <w:sz w:val="32"/>
          <w:szCs w:val="32"/>
          <w:highlight w:val="none"/>
          <w:lang w:val="en-US" w:eastAsia="zh-CN"/>
        </w:rPr>
        <w:t>187.13</w:t>
      </w:r>
      <w:r>
        <w:rPr>
          <w:rFonts w:hint="default" w:ascii="Times New Roman Regular" w:hAnsi="Times New Roman Regular" w:eastAsia="仿宋_GB2312" w:cs="Times New Roman Regular"/>
          <w:color w:val="auto"/>
          <w:sz w:val="32"/>
          <w:szCs w:val="32"/>
          <w:highlight w:val="none"/>
          <w:lang w:val="en-US" w:eastAsia="zh-CN"/>
        </w:rPr>
        <w:t>万元，商品和服务支出</w:t>
      </w:r>
      <w:r>
        <w:rPr>
          <w:rFonts w:hint="eastAsia" w:ascii="Times New Roman Regular" w:hAnsi="Times New Roman Regular" w:eastAsia="仿宋_GB2312" w:cs="Times New Roman Regular"/>
          <w:color w:val="auto"/>
          <w:sz w:val="32"/>
          <w:szCs w:val="32"/>
          <w:highlight w:val="none"/>
          <w:lang w:val="en-US" w:eastAsia="zh-CN"/>
        </w:rPr>
        <w:t>13.77</w:t>
      </w:r>
      <w:r>
        <w:rPr>
          <w:rFonts w:hint="default" w:ascii="Times New Roman Regular" w:hAnsi="Times New Roman Regular" w:eastAsia="仿宋_GB2312" w:cs="Times New Roman Regular"/>
          <w:color w:val="auto"/>
          <w:sz w:val="32"/>
          <w:szCs w:val="32"/>
          <w:highlight w:val="none"/>
          <w:lang w:val="en-US" w:eastAsia="zh-CN"/>
        </w:rPr>
        <w:t>万元，对个人和家庭的补助</w:t>
      </w:r>
      <w:r>
        <w:rPr>
          <w:rFonts w:hint="eastAsia" w:ascii="Times New Roman Regular" w:hAnsi="Times New Roman Regular" w:eastAsia="仿宋_GB2312" w:cs="Times New Roman Regular"/>
          <w:color w:val="auto"/>
          <w:sz w:val="32"/>
          <w:szCs w:val="32"/>
          <w:highlight w:val="none"/>
          <w:lang w:val="en-US" w:eastAsia="zh-CN"/>
        </w:rPr>
        <w:t>20.46</w:t>
      </w:r>
      <w:r>
        <w:rPr>
          <w:rFonts w:hint="default" w:ascii="Times New Roman Regular" w:hAnsi="Times New Roman Regular" w:eastAsia="仿宋_GB2312" w:cs="Times New Roman Regular"/>
          <w:color w:val="auto"/>
          <w:sz w:val="32"/>
          <w:szCs w:val="32"/>
          <w:highlight w:val="none"/>
          <w:lang w:val="en-US" w:eastAsia="zh-CN"/>
        </w:rPr>
        <w:t>万元。“三公”经费预算数</w:t>
      </w:r>
      <w:r>
        <w:rPr>
          <w:rFonts w:hint="eastAsia" w:ascii="Times New Roman Regular" w:hAnsi="Times New Roman Regular" w:eastAsia="仿宋_GB2312" w:cs="Times New Roman Regular"/>
          <w:color w:val="auto"/>
          <w:sz w:val="32"/>
          <w:szCs w:val="32"/>
          <w:highlight w:val="none"/>
          <w:lang w:val="en-US" w:eastAsia="zh-CN"/>
        </w:rPr>
        <w:t>0</w:t>
      </w:r>
      <w:r>
        <w:rPr>
          <w:rFonts w:hint="default" w:ascii="Times New Roman Regular" w:hAnsi="Times New Roman Regular" w:eastAsia="仿宋_GB2312" w:cs="Times New Roman Regular"/>
          <w:color w:val="auto"/>
          <w:sz w:val="32"/>
          <w:szCs w:val="32"/>
          <w:highlight w:val="none"/>
          <w:lang w:val="en-US" w:eastAsia="zh-CN"/>
        </w:rPr>
        <w:t>万元，决算数</w:t>
      </w:r>
      <w:r>
        <w:rPr>
          <w:rFonts w:hint="eastAsia" w:ascii="Times New Roman Regular" w:hAnsi="Times New Roman Regular" w:eastAsia="仿宋_GB2312" w:cs="Times New Roman Regular"/>
          <w:color w:val="auto"/>
          <w:sz w:val="32"/>
          <w:szCs w:val="32"/>
          <w:highlight w:val="none"/>
          <w:lang w:val="en-US" w:eastAsia="zh-CN"/>
        </w:rPr>
        <w:t>0</w:t>
      </w:r>
      <w:r>
        <w:rPr>
          <w:rFonts w:hint="default" w:ascii="Times New Roman Regular" w:hAnsi="Times New Roman Regular" w:eastAsia="仿宋_GB2312" w:cs="Times New Roman Regular"/>
          <w:color w:val="auto"/>
          <w:sz w:val="32"/>
          <w:szCs w:val="32"/>
          <w:highlight w:val="none"/>
          <w:lang w:val="en-US" w:eastAsia="zh-CN"/>
        </w:rPr>
        <w:t>万元。其中公务接待费</w:t>
      </w:r>
      <w:r>
        <w:rPr>
          <w:rFonts w:hint="eastAsia" w:ascii="Times New Roman Regular" w:hAnsi="Times New Roman Regular" w:eastAsia="仿宋_GB2312" w:cs="Times New Roman Regular"/>
          <w:color w:val="auto"/>
          <w:sz w:val="32"/>
          <w:szCs w:val="32"/>
          <w:highlight w:val="none"/>
          <w:lang w:val="en-US" w:eastAsia="zh-CN"/>
        </w:rPr>
        <w:t>0</w:t>
      </w:r>
      <w:r>
        <w:rPr>
          <w:rFonts w:hint="default" w:ascii="Times New Roman Regular" w:hAnsi="Times New Roman Regular" w:eastAsia="仿宋_GB2312" w:cs="Times New Roman Regular"/>
          <w:color w:val="auto"/>
          <w:sz w:val="32"/>
          <w:szCs w:val="32"/>
          <w:highlight w:val="none"/>
          <w:lang w:val="en-US" w:eastAsia="zh-CN"/>
        </w:rPr>
        <w:t>万元、公务用车购置及运行维护费</w:t>
      </w:r>
      <w:r>
        <w:rPr>
          <w:rFonts w:hint="eastAsia" w:ascii="Times New Roman Regular" w:hAnsi="Times New Roman Regular" w:eastAsia="仿宋_GB2312" w:cs="Times New Roman Regular"/>
          <w:color w:val="auto"/>
          <w:sz w:val="32"/>
          <w:szCs w:val="32"/>
          <w:highlight w:val="none"/>
          <w:lang w:val="en-US" w:eastAsia="zh-CN"/>
        </w:rPr>
        <w:t>0</w:t>
      </w:r>
      <w:r>
        <w:rPr>
          <w:rFonts w:hint="default" w:ascii="Times New Roman Regular" w:hAnsi="Times New Roman Regular" w:eastAsia="仿宋_GB2312" w:cs="Times New Roman Regular"/>
          <w:color w:val="auto"/>
          <w:sz w:val="32"/>
          <w:szCs w:val="32"/>
          <w:highlight w:val="none"/>
          <w:lang w:val="en-US" w:eastAsia="zh-CN"/>
        </w:rPr>
        <w:t>万元、因公出国费用0.00万元，均在预算控制内。</w:t>
      </w:r>
    </w:p>
    <w:p w14:paraId="4B6D66D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678A40A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支出是在基本支出之外为完成其特定的工作任务而发生的支出。我单位的项目支出主要为城建档案管理工作经费、城市基础设施配套费征收经费、年度考核奖、养老保险缴费、全额单位医疗保险缴费、年度考核奖住房公积金财政配套、追加住房公积金。</w:t>
      </w:r>
    </w:p>
    <w:p w14:paraId="5B7C2D9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w:t>
      </w:r>
      <w:r>
        <w:rPr>
          <w:rFonts w:hint="eastAsia" w:ascii="Times New Roman Regular" w:hAnsi="Times New Roman Regular" w:eastAsia="仿宋_GB2312" w:cs="Times New Roman Regular"/>
          <w:b/>
          <w:bCs/>
          <w:color w:val="auto"/>
          <w:sz w:val="32"/>
          <w:szCs w:val="32"/>
          <w:highlight w:val="none"/>
          <w:lang w:val="en-US" w:eastAsia="zh-CN"/>
        </w:rPr>
        <w:t>市本级财政专项资金安排情况表        单位：万元</w:t>
      </w:r>
      <w:r>
        <w:rPr>
          <w:rFonts w:hint="eastAsia" w:ascii="Times New Roman Regular" w:hAnsi="Times New Roman Regular" w:eastAsia="仿宋_GB2312" w:cs="Times New Roman Regular"/>
          <w:color w:val="auto"/>
          <w:sz w:val="32"/>
          <w:szCs w:val="32"/>
          <w:highlight w:val="none"/>
          <w:lang w:val="en-US" w:eastAsia="zh-CN"/>
        </w:rPr>
        <w:t xml:space="preserve">                 </w:t>
      </w:r>
    </w:p>
    <w:tbl>
      <w:tblPr>
        <w:tblStyle w:val="10"/>
        <w:tblW w:w="9630" w:type="dxa"/>
        <w:tblInd w:w="-4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4125"/>
        <w:gridCol w:w="1605"/>
        <w:gridCol w:w="1560"/>
        <w:gridCol w:w="1485"/>
      </w:tblGrid>
      <w:tr w14:paraId="29A0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4ECFAFE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序号</w:t>
            </w:r>
          </w:p>
        </w:tc>
        <w:tc>
          <w:tcPr>
            <w:tcW w:w="4125" w:type="dxa"/>
            <w:vAlign w:val="center"/>
          </w:tcPr>
          <w:p w14:paraId="0DD7710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项目</w:t>
            </w:r>
          </w:p>
        </w:tc>
        <w:tc>
          <w:tcPr>
            <w:tcW w:w="1605" w:type="dxa"/>
            <w:vAlign w:val="center"/>
          </w:tcPr>
          <w:p w14:paraId="492E6BD0">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预算数</w:t>
            </w:r>
          </w:p>
        </w:tc>
        <w:tc>
          <w:tcPr>
            <w:tcW w:w="1560" w:type="dxa"/>
            <w:vAlign w:val="center"/>
          </w:tcPr>
          <w:p w14:paraId="0904E2B0">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决算数</w:t>
            </w:r>
          </w:p>
        </w:tc>
        <w:tc>
          <w:tcPr>
            <w:tcW w:w="1485" w:type="dxa"/>
            <w:vAlign w:val="center"/>
          </w:tcPr>
          <w:p w14:paraId="4B17A6E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备注</w:t>
            </w:r>
          </w:p>
        </w:tc>
      </w:tr>
      <w:tr w14:paraId="3E00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855" w:type="dxa"/>
            <w:vAlign w:val="center"/>
          </w:tcPr>
          <w:p w14:paraId="0CCE088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w:t>
            </w:r>
          </w:p>
        </w:tc>
        <w:tc>
          <w:tcPr>
            <w:tcW w:w="4125" w:type="dxa"/>
            <w:vAlign w:val="center"/>
          </w:tcPr>
          <w:p w14:paraId="0488E7FA">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城建档案管理工作经费</w:t>
            </w:r>
          </w:p>
        </w:tc>
        <w:tc>
          <w:tcPr>
            <w:tcW w:w="1605" w:type="dxa"/>
            <w:vAlign w:val="center"/>
          </w:tcPr>
          <w:p w14:paraId="5F8A72C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30</w:t>
            </w:r>
          </w:p>
        </w:tc>
        <w:tc>
          <w:tcPr>
            <w:tcW w:w="1560" w:type="dxa"/>
            <w:vAlign w:val="center"/>
          </w:tcPr>
          <w:p w14:paraId="3055BEF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30</w:t>
            </w:r>
          </w:p>
        </w:tc>
        <w:tc>
          <w:tcPr>
            <w:tcW w:w="1485" w:type="dxa"/>
            <w:vAlign w:val="center"/>
          </w:tcPr>
          <w:p w14:paraId="3AEC23F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5881D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855" w:type="dxa"/>
            <w:vAlign w:val="center"/>
          </w:tcPr>
          <w:p w14:paraId="0E28A90E">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w:t>
            </w:r>
          </w:p>
        </w:tc>
        <w:tc>
          <w:tcPr>
            <w:tcW w:w="4125" w:type="dxa"/>
            <w:vAlign w:val="center"/>
          </w:tcPr>
          <w:p w14:paraId="72708B0B">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城市基础设施配套费征收经费</w:t>
            </w:r>
          </w:p>
        </w:tc>
        <w:tc>
          <w:tcPr>
            <w:tcW w:w="1605" w:type="dxa"/>
            <w:vAlign w:val="center"/>
          </w:tcPr>
          <w:p w14:paraId="2A5B803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p>
        </w:tc>
        <w:tc>
          <w:tcPr>
            <w:tcW w:w="1560" w:type="dxa"/>
            <w:vAlign w:val="center"/>
          </w:tcPr>
          <w:p w14:paraId="38DE2F9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w:t>
            </w:r>
          </w:p>
        </w:tc>
        <w:tc>
          <w:tcPr>
            <w:tcW w:w="1485" w:type="dxa"/>
            <w:vAlign w:val="center"/>
          </w:tcPr>
          <w:p w14:paraId="60EEA72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127AA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855" w:type="dxa"/>
            <w:vAlign w:val="center"/>
          </w:tcPr>
          <w:p w14:paraId="40A69C8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w:t>
            </w:r>
          </w:p>
        </w:tc>
        <w:tc>
          <w:tcPr>
            <w:tcW w:w="4125" w:type="dxa"/>
            <w:vAlign w:val="center"/>
          </w:tcPr>
          <w:p w14:paraId="6EEBDE2B">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年度考核奖</w:t>
            </w:r>
          </w:p>
        </w:tc>
        <w:tc>
          <w:tcPr>
            <w:tcW w:w="1605" w:type="dxa"/>
            <w:vAlign w:val="center"/>
          </w:tcPr>
          <w:p w14:paraId="18BD297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p>
        </w:tc>
        <w:tc>
          <w:tcPr>
            <w:tcW w:w="1560" w:type="dxa"/>
            <w:vAlign w:val="center"/>
          </w:tcPr>
          <w:p w14:paraId="68E9581B">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8.8</w:t>
            </w:r>
          </w:p>
        </w:tc>
        <w:tc>
          <w:tcPr>
            <w:tcW w:w="1485" w:type="dxa"/>
            <w:vAlign w:val="center"/>
          </w:tcPr>
          <w:p w14:paraId="7305C9C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0EDD8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855" w:type="dxa"/>
            <w:vAlign w:val="center"/>
          </w:tcPr>
          <w:p w14:paraId="365B6C1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p>
        </w:tc>
        <w:tc>
          <w:tcPr>
            <w:tcW w:w="4125" w:type="dxa"/>
            <w:vAlign w:val="center"/>
          </w:tcPr>
          <w:p w14:paraId="195C41F7">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养老保险缴费</w:t>
            </w:r>
          </w:p>
        </w:tc>
        <w:tc>
          <w:tcPr>
            <w:tcW w:w="1605" w:type="dxa"/>
            <w:vAlign w:val="center"/>
          </w:tcPr>
          <w:p w14:paraId="7DA8BF9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p>
        </w:tc>
        <w:tc>
          <w:tcPr>
            <w:tcW w:w="1560" w:type="dxa"/>
            <w:vAlign w:val="center"/>
          </w:tcPr>
          <w:p w14:paraId="186D1296">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0.82</w:t>
            </w:r>
          </w:p>
        </w:tc>
        <w:tc>
          <w:tcPr>
            <w:tcW w:w="1485" w:type="dxa"/>
            <w:vAlign w:val="center"/>
          </w:tcPr>
          <w:p w14:paraId="24AAD89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63D6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55" w:type="dxa"/>
            <w:vAlign w:val="center"/>
          </w:tcPr>
          <w:p w14:paraId="0FE2F94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w:t>
            </w:r>
          </w:p>
        </w:tc>
        <w:tc>
          <w:tcPr>
            <w:tcW w:w="4125" w:type="dxa"/>
            <w:vAlign w:val="center"/>
          </w:tcPr>
          <w:p w14:paraId="4BFDFA85">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全额单位医疗保险缴费</w:t>
            </w:r>
          </w:p>
        </w:tc>
        <w:tc>
          <w:tcPr>
            <w:tcW w:w="1605" w:type="dxa"/>
            <w:vAlign w:val="center"/>
          </w:tcPr>
          <w:p w14:paraId="7B79C3E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p>
        </w:tc>
        <w:tc>
          <w:tcPr>
            <w:tcW w:w="1560" w:type="dxa"/>
            <w:vAlign w:val="center"/>
          </w:tcPr>
          <w:p w14:paraId="417EEBB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0.41</w:t>
            </w:r>
          </w:p>
        </w:tc>
        <w:tc>
          <w:tcPr>
            <w:tcW w:w="1485" w:type="dxa"/>
            <w:vAlign w:val="center"/>
          </w:tcPr>
          <w:p w14:paraId="63D0F3E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75784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48FB7FF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w:t>
            </w:r>
          </w:p>
        </w:tc>
        <w:tc>
          <w:tcPr>
            <w:tcW w:w="4125" w:type="dxa"/>
            <w:vAlign w:val="center"/>
          </w:tcPr>
          <w:p w14:paraId="5AE34E36">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年度考核奖住房公积金财政配套</w:t>
            </w:r>
          </w:p>
        </w:tc>
        <w:tc>
          <w:tcPr>
            <w:tcW w:w="1605" w:type="dxa"/>
            <w:vAlign w:val="center"/>
          </w:tcPr>
          <w:p w14:paraId="7085AAB6">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p>
        </w:tc>
        <w:tc>
          <w:tcPr>
            <w:tcW w:w="1560" w:type="dxa"/>
            <w:vAlign w:val="center"/>
          </w:tcPr>
          <w:p w14:paraId="5CA1DEE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0.23</w:t>
            </w:r>
          </w:p>
        </w:tc>
        <w:tc>
          <w:tcPr>
            <w:tcW w:w="1485" w:type="dxa"/>
            <w:vAlign w:val="center"/>
          </w:tcPr>
          <w:p w14:paraId="64491EB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17C82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vAlign w:val="center"/>
          </w:tcPr>
          <w:p w14:paraId="1E4FCA9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7</w:t>
            </w:r>
          </w:p>
        </w:tc>
        <w:tc>
          <w:tcPr>
            <w:tcW w:w="4125" w:type="dxa"/>
            <w:vAlign w:val="center"/>
          </w:tcPr>
          <w:p w14:paraId="358213FF">
            <w:pPr>
              <w:keepNext w:val="0"/>
              <w:keepLines w:val="0"/>
              <w:pageBreakBefore w:val="0"/>
              <w:widowControl w:val="0"/>
              <w:kinsoku/>
              <w:wordWrap/>
              <w:overflowPunct/>
              <w:topLinePunct w:val="0"/>
              <w:autoSpaceDE/>
              <w:autoSpaceDN/>
              <w:bidi w:val="0"/>
              <w:adjustRightInd/>
              <w:snapToGrid w:val="0"/>
              <w:spacing w:line="520" w:lineRule="exact"/>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追加住房公积金</w:t>
            </w:r>
          </w:p>
        </w:tc>
        <w:tc>
          <w:tcPr>
            <w:tcW w:w="1605" w:type="dxa"/>
            <w:vAlign w:val="center"/>
          </w:tcPr>
          <w:p w14:paraId="4352F6D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p>
        </w:tc>
        <w:tc>
          <w:tcPr>
            <w:tcW w:w="1560" w:type="dxa"/>
            <w:vAlign w:val="center"/>
          </w:tcPr>
          <w:p w14:paraId="58C41468">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2.74</w:t>
            </w:r>
          </w:p>
        </w:tc>
        <w:tc>
          <w:tcPr>
            <w:tcW w:w="1485" w:type="dxa"/>
            <w:vAlign w:val="center"/>
          </w:tcPr>
          <w:p w14:paraId="6FDFB8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r w14:paraId="1C8C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5" w:type="dxa"/>
            <w:vAlign w:val="center"/>
          </w:tcPr>
          <w:p w14:paraId="0DD3103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合计</w:t>
            </w:r>
          </w:p>
        </w:tc>
        <w:tc>
          <w:tcPr>
            <w:tcW w:w="4125" w:type="dxa"/>
            <w:vAlign w:val="center"/>
          </w:tcPr>
          <w:p w14:paraId="7DA46CD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c>
          <w:tcPr>
            <w:tcW w:w="1605" w:type="dxa"/>
            <w:vAlign w:val="center"/>
          </w:tcPr>
          <w:p w14:paraId="2B46FCB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30</w:t>
            </w:r>
          </w:p>
        </w:tc>
        <w:tc>
          <w:tcPr>
            <w:tcW w:w="1560" w:type="dxa"/>
            <w:vAlign w:val="center"/>
          </w:tcPr>
          <w:p w14:paraId="171C573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49.01</w:t>
            </w:r>
          </w:p>
        </w:tc>
        <w:tc>
          <w:tcPr>
            <w:tcW w:w="1485" w:type="dxa"/>
            <w:vAlign w:val="center"/>
          </w:tcPr>
          <w:p w14:paraId="30CFE1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eastAsia" w:ascii="Times New Roman Regular" w:hAnsi="Times New Roman Regular" w:eastAsia="仿宋_GB2312" w:cs="Times New Roman Regular"/>
                <w:color w:val="auto"/>
                <w:sz w:val="32"/>
                <w:szCs w:val="32"/>
                <w:highlight w:val="none"/>
                <w:lang w:val="en-US" w:eastAsia="zh-CN"/>
              </w:rPr>
            </w:pPr>
          </w:p>
        </w:tc>
      </w:tr>
    </w:tbl>
    <w:p w14:paraId="753B22B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项目资金实际使用情况。2025年项目支出年初预算为30万元，实际到位49.01万元，专项资金到位率100%。2025年项目支出决算金额为49.01万元，其中：办公费2.17万元、差旅费0.73万元、维修（护）费0.08万元、培训费0.14万元、劳务费1.7万元、委托业务费2.12万元、工会经费2.13万元、福利费15.19万元、其他交通费0.33万元、其他商品和服务支出3.92万元、办公设备购置1.73万元、工资福利支出15.9万元、对个人和家庭的补助2.85万元。</w:t>
      </w:r>
    </w:p>
    <w:p w14:paraId="32F7F9F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项目资金管理情况。我单位为加强专项资金管理，合理合规使用财政项目资金，提高资金的使用效率，严格按照财务管理要求，对批准的预算开支内容，做好账务设置和账务管理，实行专项核算。在资金的使用过程中，严格遵循财务制度，严把监督审核关，建立健全了内部审批制度；大额资金支出实行“三重一大”集体决策机制，项目招标、评审、结算按市国库集中支付核算，确保资金使用公开、公正、科学、高效。针对项目支出制定了《财务管理制度》等相关制度，对资金使用审批流程、资金监督、签字权限等方面做出了详细规定。</w:t>
      </w:r>
    </w:p>
    <w:p w14:paraId="08DC563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3F37960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w:t>
      </w:r>
    </w:p>
    <w:p w14:paraId="0D33289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我单位认真落实上级主管部门的决策部署，全面推进各项重点工作，较好的完成了各项目的目标任务。各项目由专人负责实施，实行事项前置审批及事后支付审批制度；采购事项均按照政府采购相关规定执行，属政府采购范围的一律通过政府采购平台，按照规定流程进行采购；费用支出严格按照《财务管理制度》等制度规定的开支范围、标准、审批权限、审批流程、报销要求等进行审核。</w:t>
      </w:r>
    </w:p>
    <w:p w14:paraId="2148D14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项目管理情况分析</w:t>
      </w:r>
    </w:p>
    <w:p w14:paraId="5C76512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 xml:space="preserve">    为加强项目资金管理，规范项目资金管理行为，提高项目管理水平及项目资金使用效率，我单位制定了财务管理制度、项目资金管理制度等业务管理制度，对项目管理职责、申报与组织实施、项目资金的管理、监督检查与验收等进行了规定，明确工作职责、项目实施细则、考核办法等。项目资金严格按照指定用途专款专用，并接受财政部门或上级部门的检查、验收。2025年本单位项目支出基本能够严格按照相关制度规定等进行。</w:t>
      </w:r>
    </w:p>
    <w:p w14:paraId="4BE1755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53C4285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根据《行政事业单位内部控制规范（试行）》、《事业单位国有资产管理暂行办法》及省、市有关规定，制定了《固定资产管理》等制度，对固定资产进行及时入账，定期盘点清查，按要求编报资产月报及年报。 截至202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年12月31日，我单位固定资产原值</w:t>
      </w:r>
      <w:r>
        <w:rPr>
          <w:rFonts w:hint="eastAsia" w:ascii="Times New Roman Regular" w:hAnsi="Times New Roman Regular" w:eastAsia="仿宋_GB2312" w:cs="Times New Roman Regular"/>
          <w:color w:val="auto"/>
          <w:sz w:val="32"/>
          <w:szCs w:val="32"/>
          <w:highlight w:val="none"/>
          <w:lang w:val="en-US" w:eastAsia="zh-CN"/>
        </w:rPr>
        <w:t>3397968.73</w:t>
      </w:r>
      <w:r>
        <w:rPr>
          <w:rFonts w:hint="default" w:ascii="Times New Roman Regular" w:hAnsi="Times New Roman Regular" w:eastAsia="仿宋_GB2312" w:cs="Times New Roman Regular"/>
          <w:color w:val="auto"/>
          <w:sz w:val="32"/>
          <w:szCs w:val="32"/>
          <w:highlight w:val="none"/>
          <w:lang w:val="en-US" w:eastAsia="zh-CN"/>
        </w:rPr>
        <w:t>元，累计折旧</w:t>
      </w:r>
      <w:r>
        <w:rPr>
          <w:rFonts w:hint="eastAsia" w:ascii="Times New Roman Regular" w:hAnsi="Times New Roman Regular" w:eastAsia="仿宋_GB2312" w:cs="Times New Roman Regular"/>
          <w:color w:val="auto"/>
          <w:sz w:val="32"/>
          <w:szCs w:val="32"/>
          <w:highlight w:val="none"/>
          <w:lang w:val="en-US" w:eastAsia="zh-CN"/>
        </w:rPr>
        <w:t>2345500.1</w:t>
      </w:r>
      <w:r>
        <w:rPr>
          <w:rFonts w:hint="default" w:ascii="Times New Roman Regular" w:hAnsi="Times New Roman Regular" w:eastAsia="仿宋_GB2312" w:cs="Times New Roman Regular"/>
          <w:color w:val="auto"/>
          <w:sz w:val="32"/>
          <w:szCs w:val="32"/>
          <w:highlight w:val="none"/>
          <w:lang w:val="en-US" w:eastAsia="zh-CN"/>
        </w:rPr>
        <w:t>元，账面净值</w:t>
      </w:r>
      <w:r>
        <w:rPr>
          <w:rFonts w:hint="eastAsia" w:ascii="Times New Roman Regular" w:hAnsi="Times New Roman Regular" w:eastAsia="仿宋_GB2312" w:cs="Times New Roman Regular"/>
          <w:color w:val="auto"/>
          <w:sz w:val="32"/>
          <w:szCs w:val="32"/>
          <w:highlight w:val="none"/>
          <w:lang w:val="en-US" w:eastAsia="zh-CN"/>
        </w:rPr>
        <w:t>1052468.63</w:t>
      </w:r>
      <w:r>
        <w:rPr>
          <w:rFonts w:hint="default" w:ascii="Times New Roman Regular" w:hAnsi="Times New Roman Regular" w:eastAsia="仿宋_GB2312" w:cs="Times New Roman Regular"/>
          <w:color w:val="auto"/>
          <w:sz w:val="32"/>
          <w:szCs w:val="32"/>
          <w:highlight w:val="none"/>
          <w:lang w:val="en-US" w:eastAsia="zh-CN"/>
        </w:rPr>
        <w:t>元，主要为房屋建筑物、</w:t>
      </w:r>
      <w:r>
        <w:rPr>
          <w:rFonts w:hint="eastAsia" w:ascii="Times New Roman Regular" w:hAnsi="Times New Roman Regular" w:eastAsia="仿宋_GB2312" w:cs="Times New Roman Regular"/>
          <w:color w:val="auto"/>
          <w:sz w:val="32"/>
          <w:szCs w:val="32"/>
          <w:highlight w:val="none"/>
          <w:lang w:val="en-US" w:eastAsia="zh-CN"/>
        </w:rPr>
        <w:t>设备</w:t>
      </w:r>
      <w:r>
        <w:rPr>
          <w:rFonts w:hint="default" w:ascii="Times New Roman Regular" w:hAnsi="Times New Roman Regular" w:eastAsia="仿宋_GB2312" w:cs="Times New Roman Regular"/>
          <w:color w:val="auto"/>
          <w:sz w:val="32"/>
          <w:szCs w:val="32"/>
          <w:highlight w:val="none"/>
          <w:lang w:val="en-US" w:eastAsia="zh-CN"/>
        </w:rPr>
        <w:t>等，全部为单位自用固定资产，无出租出借资产和对外投资资产，全年无处置资产，无资产收益。</w:t>
      </w:r>
    </w:p>
    <w:p w14:paraId="7AB91F3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w:t>
      </w:r>
      <w:r>
        <w:rPr>
          <w:rFonts w:hint="default" w:ascii="方正黑体_GBK" w:hAnsi="方正黑体_GBK" w:eastAsia="方正黑体_GBK" w:cs="方正黑体_GBK"/>
          <w:b/>
          <w:bCs/>
          <w:color w:val="auto"/>
          <w:sz w:val="32"/>
          <w:szCs w:val="32"/>
          <w:highlight w:val="none"/>
          <w:lang w:val="en-US" w:eastAsia="zh-CN"/>
        </w:rPr>
        <w:t>、部门整体支出绩效情况</w:t>
      </w:r>
    </w:p>
    <w:p w14:paraId="2F66334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（一）综合评价结论</w:t>
      </w:r>
    </w:p>
    <w:p w14:paraId="7F81951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我单位积极组织实施了202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年度专项资金管理，建立了专项资金和项目管理制度，规范了实施程序，较好的完成了202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年度工作目标，但仍存在预算调整率偏高等问题。根据《部门整体支出绩效评价指标表》，202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年度部门整体绩效自评综合评分为</w:t>
      </w:r>
      <w:r>
        <w:rPr>
          <w:rFonts w:hint="eastAsia" w:ascii="Times New Roman Regular" w:hAnsi="Times New Roman Regular" w:eastAsia="仿宋_GB2312" w:cs="Times New Roman Regular"/>
          <w:color w:val="auto"/>
          <w:sz w:val="32"/>
          <w:szCs w:val="32"/>
          <w:highlight w:val="none"/>
          <w:lang w:val="en-US" w:eastAsia="zh-CN"/>
        </w:rPr>
        <w:t>98.45</w:t>
      </w:r>
      <w:r>
        <w:rPr>
          <w:rFonts w:hint="default" w:ascii="Times New Roman Regular" w:hAnsi="Times New Roman Regular" w:eastAsia="仿宋_GB2312" w:cs="Times New Roman Regular"/>
          <w:color w:val="auto"/>
          <w:sz w:val="32"/>
          <w:szCs w:val="32"/>
          <w:highlight w:val="none"/>
          <w:lang w:val="en-US" w:eastAsia="zh-CN"/>
        </w:rPr>
        <w:t>分，评价等级为“优”。</w:t>
      </w:r>
    </w:p>
    <w:p w14:paraId="59F2B66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（二）评价指标分析</w:t>
      </w:r>
    </w:p>
    <w:p w14:paraId="765CC4C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w:t>
      </w:r>
      <w:r>
        <w:rPr>
          <w:rFonts w:hint="eastAsia" w:ascii="Times New Roman Regular" w:hAnsi="Times New Roman Regular" w:eastAsia="仿宋_GB2312" w:cs="Times New Roman Regular"/>
          <w:color w:val="auto"/>
          <w:sz w:val="32"/>
          <w:szCs w:val="32"/>
          <w:highlight w:val="none"/>
          <w:lang w:val="en-US" w:eastAsia="zh-CN"/>
        </w:rPr>
        <w:t>.</w:t>
      </w:r>
      <w:r>
        <w:rPr>
          <w:rFonts w:hint="default" w:ascii="Times New Roman Regular" w:hAnsi="Times New Roman Regular" w:eastAsia="仿宋_GB2312" w:cs="Times New Roman Regular"/>
          <w:color w:val="auto"/>
          <w:sz w:val="32"/>
          <w:szCs w:val="32"/>
          <w:highlight w:val="none"/>
          <w:lang w:val="en-US" w:eastAsia="zh-CN"/>
        </w:rPr>
        <w:t>经济性分析</w:t>
      </w:r>
    </w:p>
    <w:p w14:paraId="2715538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（1）预算配置控制较好。202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年度财政供养人员控制在预算编制以内，编制内在职人员控制率</w:t>
      </w:r>
      <w:r>
        <w:rPr>
          <w:rFonts w:hint="eastAsia" w:ascii="Times New Roman Regular" w:hAnsi="Times New Roman Regular" w:eastAsia="仿宋_GB2312" w:cs="Times New Roman Regular"/>
          <w:color w:val="auto"/>
          <w:sz w:val="32"/>
          <w:szCs w:val="32"/>
          <w:highlight w:val="none"/>
          <w:lang w:val="en-US" w:eastAsia="zh-CN"/>
        </w:rPr>
        <w:t>84.62</w:t>
      </w:r>
      <w:r>
        <w:rPr>
          <w:rFonts w:hint="default" w:ascii="Times New Roman Regular" w:hAnsi="Times New Roman Regular" w:eastAsia="仿宋_GB2312" w:cs="Times New Roman Regular"/>
          <w:color w:val="auto"/>
          <w:sz w:val="32"/>
          <w:szCs w:val="32"/>
          <w:highlight w:val="none"/>
          <w:lang w:val="en-US" w:eastAsia="zh-CN"/>
        </w:rPr>
        <w:t>%，未超过控制标准。</w:t>
      </w:r>
    </w:p>
    <w:p w14:paraId="45BE1AE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（2）预算执行与管理。202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年财政决算收入</w:t>
      </w:r>
      <w:r>
        <w:rPr>
          <w:rFonts w:hint="eastAsia" w:ascii="Times New Roman Regular" w:hAnsi="Times New Roman Regular" w:eastAsia="仿宋_GB2312" w:cs="Times New Roman Regular"/>
          <w:color w:val="auto"/>
          <w:sz w:val="32"/>
          <w:szCs w:val="32"/>
          <w:highlight w:val="none"/>
          <w:lang w:val="en-US" w:eastAsia="zh-CN"/>
        </w:rPr>
        <w:t>270.37</w:t>
      </w:r>
      <w:r>
        <w:rPr>
          <w:rFonts w:hint="default" w:ascii="Times New Roman Regular" w:hAnsi="Times New Roman Regular" w:eastAsia="仿宋_GB2312" w:cs="Times New Roman Regular"/>
          <w:color w:val="auto"/>
          <w:sz w:val="32"/>
          <w:szCs w:val="32"/>
          <w:highlight w:val="none"/>
          <w:lang w:val="en-US" w:eastAsia="zh-CN"/>
        </w:rPr>
        <w:t>万元，其中一般公共预算财政拨款收入</w:t>
      </w:r>
      <w:r>
        <w:rPr>
          <w:rFonts w:hint="eastAsia" w:ascii="Times New Roman Regular" w:hAnsi="Times New Roman Regular" w:eastAsia="仿宋_GB2312" w:cs="Times New Roman Regular"/>
          <w:color w:val="auto"/>
          <w:sz w:val="32"/>
          <w:szCs w:val="32"/>
          <w:highlight w:val="none"/>
          <w:lang w:val="en-US" w:eastAsia="zh-CN"/>
        </w:rPr>
        <w:t>264.37</w:t>
      </w:r>
      <w:r>
        <w:rPr>
          <w:rFonts w:hint="default" w:ascii="Times New Roman Regular" w:hAnsi="Times New Roman Regular" w:eastAsia="仿宋_GB2312" w:cs="Times New Roman Regular"/>
          <w:color w:val="auto"/>
          <w:sz w:val="32"/>
          <w:szCs w:val="32"/>
          <w:highlight w:val="none"/>
          <w:lang w:val="en-US" w:eastAsia="zh-CN"/>
        </w:rPr>
        <w:t>万元，</w:t>
      </w:r>
      <w:r>
        <w:rPr>
          <w:rFonts w:hint="eastAsia" w:ascii="Times New Roman Regular" w:hAnsi="Times New Roman Regular" w:eastAsia="仿宋_GB2312" w:cs="Times New Roman Regular"/>
          <w:color w:val="auto"/>
          <w:sz w:val="32"/>
          <w:szCs w:val="32"/>
          <w:highlight w:val="none"/>
          <w:lang w:val="en-US" w:eastAsia="zh-CN"/>
        </w:rPr>
        <w:t>政府性基金预算财政拨款收入6万元，</w:t>
      </w:r>
      <w:r>
        <w:rPr>
          <w:rFonts w:hint="default" w:ascii="Times New Roman Regular" w:hAnsi="Times New Roman Regular" w:eastAsia="仿宋_GB2312" w:cs="Times New Roman Regular"/>
          <w:color w:val="auto"/>
          <w:sz w:val="32"/>
          <w:szCs w:val="32"/>
          <w:highlight w:val="none"/>
          <w:lang w:val="en-US" w:eastAsia="zh-CN"/>
        </w:rPr>
        <w:t>上年结转0.00万元；决算支出为</w:t>
      </w:r>
      <w:r>
        <w:rPr>
          <w:rFonts w:hint="eastAsia" w:ascii="Times New Roman Regular" w:hAnsi="Times New Roman Regular" w:eastAsia="仿宋_GB2312" w:cs="Times New Roman Regular"/>
          <w:color w:val="auto"/>
          <w:sz w:val="32"/>
          <w:szCs w:val="32"/>
          <w:highlight w:val="none"/>
          <w:lang w:val="en-US" w:eastAsia="zh-CN"/>
        </w:rPr>
        <w:t>270.37</w:t>
      </w:r>
      <w:r>
        <w:rPr>
          <w:rFonts w:hint="default" w:ascii="Times New Roman Regular" w:hAnsi="Times New Roman Regular" w:eastAsia="仿宋_GB2312" w:cs="Times New Roman Regular"/>
          <w:color w:val="auto"/>
          <w:sz w:val="32"/>
          <w:szCs w:val="32"/>
          <w:highlight w:val="none"/>
          <w:lang w:val="en-US" w:eastAsia="zh-CN"/>
        </w:rPr>
        <w:t>万元，其中基本支出</w:t>
      </w:r>
      <w:r>
        <w:rPr>
          <w:rFonts w:hint="eastAsia" w:ascii="Times New Roman Regular" w:hAnsi="Times New Roman Regular" w:eastAsia="仿宋_GB2312" w:cs="Times New Roman Regular"/>
          <w:color w:val="auto"/>
          <w:sz w:val="32"/>
          <w:szCs w:val="32"/>
          <w:highlight w:val="none"/>
          <w:lang w:val="en-US" w:eastAsia="zh-CN"/>
        </w:rPr>
        <w:t>221.36</w:t>
      </w:r>
      <w:r>
        <w:rPr>
          <w:rFonts w:hint="default" w:ascii="Times New Roman Regular" w:hAnsi="Times New Roman Regular" w:eastAsia="仿宋_GB2312" w:cs="Times New Roman Regular"/>
          <w:color w:val="auto"/>
          <w:sz w:val="32"/>
          <w:szCs w:val="32"/>
          <w:highlight w:val="none"/>
          <w:lang w:val="en-US" w:eastAsia="zh-CN"/>
        </w:rPr>
        <w:t>万元、项目支出</w:t>
      </w:r>
      <w:r>
        <w:rPr>
          <w:rFonts w:hint="eastAsia" w:ascii="Times New Roman Regular" w:hAnsi="Times New Roman Regular" w:eastAsia="仿宋_GB2312" w:cs="Times New Roman Regular"/>
          <w:color w:val="auto"/>
          <w:sz w:val="32"/>
          <w:szCs w:val="32"/>
          <w:highlight w:val="none"/>
          <w:lang w:val="en-US" w:eastAsia="zh-CN"/>
        </w:rPr>
        <w:t>49.01</w:t>
      </w:r>
      <w:r>
        <w:rPr>
          <w:rFonts w:hint="default" w:ascii="Times New Roman Regular" w:hAnsi="Times New Roman Regular" w:eastAsia="仿宋_GB2312" w:cs="Times New Roman Regular"/>
          <w:color w:val="auto"/>
          <w:sz w:val="32"/>
          <w:szCs w:val="32"/>
          <w:highlight w:val="none"/>
          <w:lang w:val="en-US" w:eastAsia="zh-CN"/>
        </w:rPr>
        <w:t>万元， “三公经费”等相关支出均未超过控制标准。</w:t>
      </w:r>
    </w:p>
    <w:p w14:paraId="75E66BA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 xml:space="preserve"> 2.有效性和效率性分析。通过对202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年全年工作进行梳理和总结，我单位202</w:t>
      </w: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年主要产出和效益如下：</w:t>
      </w:r>
    </w:p>
    <w:p w14:paraId="5150C11A">
      <w:pPr>
        <w:numPr>
          <w:ilvl w:val="0"/>
          <w:numId w:val="0"/>
        </w:numPr>
        <w:snapToGrid w:val="0"/>
        <w:spacing w:line="520" w:lineRule="exact"/>
        <w:ind w:firstLine="640" w:firstLineChars="200"/>
        <w:rPr>
          <w:rFonts w:hint="eastAsia" w:ascii="仿宋_GB2312" w:hAnsi="Times New Roman" w:eastAsia="仿宋_GB2312" w:cs="Times New Roman"/>
          <w:sz w:val="32"/>
          <w:szCs w:val="32"/>
        </w:rPr>
      </w:pPr>
      <w:r>
        <w:rPr>
          <w:rFonts w:hint="eastAsia" w:ascii="Times New Roman Regular" w:hAnsi="Times New Roman Regular" w:eastAsia="仿宋_GB2312" w:cs="Times New Roman Regular"/>
          <w:color w:val="auto"/>
          <w:sz w:val="32"/>
          <w:szCs w:val="32"/>
          <w:highlight w:val="none"/>
          <w:lang w:val="en-US" w:eastAsia="zh-CN"/>
        </w:rPr>
        <w:t>（1）</w:t>
      </w:r>
      <w:r>
        <w:rPr>
          <w:rFonts w:hint="eastAsia" w:ascii="仿宋_GB2312" w:hAnsi="仿宋_GB2312" w:eastAsia="仿宋_GB2312" w:cs="仿宋_GB2312"/>
          <w:b/>
          <w:bCs/>
          <w:color w:val="auto"/>
          <w:kern w:val="2"/>
          <w:sz w:val="32"/>
          <w:szCs w:val="32"/>
          <w:lang w:val="en-US" w:eastAsia="zh-CN" w:bidi="ar-SA"/>
        </w:rPr>
        <w:t>聚焦资源提质，档案“家底”更厚更实。</w:t>
      </w:r>
      <w:r>
        <w:rPr>
          <w:rFonts w:hint="eastAsia" w:ascii="仿宋_GB2312" w:hAnsi="Times New Roman" w:eastAsia="仿宋_GB2312" w:cs="Times New Roman"/>
          <w:sz w:val="32"/>
          <w:szCs w:val="32"/>
        </w:rPr>
        <w:t xml:space="preserve">始终把档案资源归集作为基础工程，以“应接尽接、应收尽收”为目标，推动资源总量与质量双提升。截至2025年11月，馆藏档案总量达12.03万卷，系统记录了怀化从“榆树湾小镇”到现代化都市的变迁轨迹，覆盖城市规划、重大工程、市政设施、房地产项目等全领域城建信息，成为城市发展的“活档案”。  </w:t>
      </w:r>
    </w:p>
    <w:p w14:paraId="4147F7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Times New Roman" w:eastAsia="仿宋_GB2312" w:cs="Times New Roman"/>
          <w:sz w:val="32"/>
          <w:szCs w:val="32"/>
        </w:rPr>
        <w:t>一是重大项目档案“全纳入”。全年累计接收722栋楼的工程竣工备案档案，重点攻坚7个房地产历史遗留问题项目、50余项房屋市政工程档案规范接收，通过提前介入指导、现场蹲点服务等方式，破解群众产权办理、项目推进堵点20余个，切实将档案工作嵌入城市建设“最后一公里”。二是特色资源征集“有突破”。围绕老旧小区改造、交通基础设施建设等民生重点，主动对接相关部门同步跟进档案收集，新增地方特色城建资料300余件（如老城区街巷变迁照片、传统建筑工艺记录等），资源覆盖广度与精准度显著提升。三是年度增量任务“超额完成”。2025年新增入馆档案5500余卷，同比增长12%，为后续服务利用奠定了坚实基础。</w:t>
      </w:r>
    </w:p>
    <w:p w14:paraId="07AA7822">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Times New Roman Regular" w:hAnsi="Times New Roman Regular" w:eastAsia="仿宋_GB2312" w:cs="Times New Roman Regular"/>
          <w:color w:val="auto"/>
          <w:sz w:val="32"/>
          <w:szCs w:val="32"/>
          <w:highlight w:val="none"/>
          <w:lang w:val="en-US" w:eastAsia="zh-CN"/>
        </w:rPr>
        <w:t>（2）</w:t>
      </w:r>
      <w:r>
        <w:rPr>
          <w:rFonts w:hint="eastAsia" w:ascii="仿宋_GB2312" w:hAnsi="仿宋_GB2312" w:eastAsia="仿宋_GB2312" w:cs="仿宋_GB2312"/>
          <w:b/>
          <w:bCs/>
          <w:color w:val="auto"/>
          <w:kern w:val="2"/>
          <w:sz w:val="32"/>
          <w:szCs w:val="32"/>
          <w:lang w:val="en-US" w:eastAsia="zh-CN" w:bidi="ar-SA"/>
        </w:rPr>
        <w:t>聚焦服务提效，营商环境更优更暖。</w:t>
      </w:r>
      <w:r>
        <w:rPr>
          <w:rFonts w:hint="eastAsia" w:ascii="仿宋_GB2312" w:hAnsi="仿宋_GB2312" w:eastAsia="仿宋_GB2312" w:cs="仿宋_GB2312"/>
          <w:b w:val="0"/>
          <w:bCs w:val="0"/>
          <w:kern w:val="2"/>
          <w:sz w:val="32"/>
          <w:szCs w:val="32"/>
          <w:lang w:val="en-US" w:eastAsia="zh-CN" w:bidi="ar-SA"/>
        </w:rPr>
        <w:t xml:space="preserve">坚持以群众需求为导向，深化“放管服”改革，创新服务模式，推动城建档案服务从“被动响应”向“主动赋能”转变。  </w:t>
      </w:r>
    </w:p>
    <w:p w14:paraId="13C2514C">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 xml:space="preserve">一方面，企业服务“精准发力”。推行“极简验收”模式，优化工程档案审批流程，将办理时限压缩30%以上；组建专业服务专班，深入20余家重点企业及项目一线，提供“档案指导、验收、整理”全流程上门服务，变“企业跑”为“干部跑”，累计为企业节省时间成本超500小时。落实“告知承诺制”，针对“保交楼”等民生项目，实行“急事急办、特事特办”，高效完成历史遗留项目档案处置12项，助力企业化解产权登记难题，获企业书面感谢6次。  </w:t>
      </w:r>
    </w:p>
    <w:p w14:paraId="34B8CB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b w:val="0"/>
          <w:bCs w:val="0"/>
          <w:kern w:val="2"/>
          <w:sz w:val="32"/>
          <w:szCs w:val="32"/>
          <w:lang w:val="en-US" w:eastAsia="zh-CN" w:bidi="ar-SA"/>
        </w:rPr>
        <w:t>另一方面，群众服务“贴心便民”。优化查档流程，简化办事材料，依托馆藏资源为群众提供产权查询、工程溯源等服务，1-11月累计服务查档群众193人次，调阅档案1878卷，复印档案资料5.76万页（主要为房产证明、工程原始记录等），群众满意度达98%以上。通过“档案解民忧”，帮助12户居民解决产权纠纷、3家企业完成工程验收资料核验，让“沉睡档案”转化为服务民生的“实用资源”。</w:t>
      </w:r>
    </w:p>
    <w:p w14:paraId="732EC42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Times New Roman Regular" w:hAnsi="Times New Roman Regular" w:eastAsia="仿宋_GB2312" w:cs="Times New Roman Regular"/>
          <w:color w:val="auto"/>
          <w:sz w:val="32"/>
          <w:szCs w:val="32"/>
          <w:highlight w:val="none"/>
          <w:lang w:val="en-US" w:eastAsia="zh-CN"/>
        </w:rPr>
        <w:t>（3）</w:t>
      </w:r>
      <w:r>
        <w:rPr>
          <w:rFonts w:hint="eastAsia" w:ascii="仿宋_GB2312" w:hAnsi="仿宋_GB2312" w:eastAsia="仿宋_GB2312" w:cs="仿宋_GB2312"/>
          <w:b/>
          <w:bCs/>
          <w:color w:val="auto"/>
          <w:kern w:val="2"/>
          <w:sz w:val="32"/>
          <w:szCs w:val="32"/>
          <w:lang w:val="en-US" w:eastAsia="zh-CN" w:bidi="ar-SA"/>
        </w:rPr>
        <w:t>聚焦数字转型，管理效能更智更强。</w:t>
      </w:r>
      <w:r>
        <w:rPr>
          <w:rFonts w:hint="eastAsia" w:ascii="仿宋_GB2312" w:hAnsi="仿宋_GB2312" w:eastAsia="仿宋_GB2312" w:cs="仿宋_GB2312"/>
          <w:sz w:val="32"/>
          <w:szCs w:val="32"/>
          <w:highlight w:val="none"/>
        </w:rPr>
        <w:t xml:space="preserve">紧跟信息化趋势，以“数字赋能”推动档案管理从“实体为主”向“数字融合”升级，管理智能化水平显著提升。  </w:t>
      </w:r>
    </w:p>
    <w:p w14:paraId="3EDFEB7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一是数字档案“增量扩面”。率先搭建智能档案管理平台，整合存储、查询、利用等功能，实现全流程信息化管控；2025年起全面推行“即收即数字化”机制，对新增档案同步完成扫描、录入，全年完成新增档案数字化率100%；同步推进存量档案数字化转化，已完成60%存量档案（约7万卷）的数字化处理，力争年底前突破80%。  </w:t>
      </w:r>
    </w:p>
    <w:p w14:paraId="6B10237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sz w:val="32"/>
          <w:szCs w:val="32"/>
          <w:highlight w:val="none"/>
        </w:rPr>
        <w:t>二是安全保障“筑牢底线”。完善数字档案安全管理体系，规范存储、备份流程，定期开展数据安全排查（全年开展4次专项检查），采用“双备份+异地存储”模式，确保数字档案真实、完整、可用。同步加强实体档案安全管理，严格落实库房“十防”要求（防火、防盗、防潮等），对57个密集架库房及6个临时库房开展常态化隐患排查，整改问题15项；科学配置灭火器、防霉驱虫药包等防护设备，对年代久远档案加密保护，结合温湿度监测系统实时调控库房环境，全年未发生档案安全事故。</w:t>
      </w:r>
    </w:p>
    <w:p w14:paraId="0A37E36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Times New Roman Regular" w:hAnsi="Times New Roman Regular" w:eastAsia="仿宋_GB2312" w:cs="Times New Roman Regular"/>
          <w:color w:val="auto"/>
          <w:sz w:val="32"/>
          <w:szCs w:val="32"/>
          <w:highlight w:val="none"/>
          <w:lang w:val="en-US" w:eastAsia="zh-CN"/>
        </w:rPr>
        <w:t>（4）</w:t>
      </w:r>
      <w:r>
        <w:rPr>
          <w:rFonts w:hint="eastAsia" w:ascii="仿宋_GB2312" w:hAnsi="仿宋_GB2312" w:eastAsia="仿宋_GB2312" w:cs="仿宋_GB2312"/>
          <w:b/>
          <w:bCs/>
          <w:color w:val="auto"/>
          <w:kern w:val="2"/>
          <w:sz w:val="32"/>
          <w:szCs w:val="32"/>
          <w:lang w:val="en-US" w:eastAsia="zh-CN" w:bidi="ar-SA"/>
        </w:rPr>
        <w:t>聚焦文化赋能，档案价值更显更亮。</w:t>
      </w:r>
      <w:r>
        <w:rPr>
          <w:rFonts w:hint="eastAsia" w:ascii="仿宋_GB2312" w:hAnsi="仿宋_GB2312" w:eastAsia="仿宋_GB2312" w:cs="仿宋_GB2312"/>
          <w:sz w:val="32"/>
          <w:szCs w:val="32"/>
          <w:highlight w:val="none"/>
        </w:rPr>
        <w:t xml:space="preserve">以“国际档案日”“建党节”等重要节点为契机，创新宣传形式，推动城建档案从“幕后”走向“台前”，社会影响力持续扩大。  </w:t>
      </w:r>
    </w:p>
    <w:p w14:paraId="5EF37C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一方面，主题宣传“有声有色”。围绕“请听档案说”“珍藏城建档案·守护城市记忆”等主题，举办专题图片展，以“时空年代轴”为主线，精选近百张珍贵历史图片（涵盖老怀化火车站、第一座跨江大桥等标志性建筑），串联城市发展关键节点，直观展现城市建设成就，吸引市民参观超2000人次，增强群众对城市的认同感与归属感。  </w:t>
      </w:r>
    </w:p>
    <w:p w14:paraId="309AE32F">
      <w:pPr>
        <w:keepNext w:val="0"/>
        <w:keepLines w:val="0"/>
        <w:pageBreakBefore w:val="0"/>
        <w:widowControl w:val="0"/>
        <w:numPr>
          <w:ilvl w:val="0"/>
          <w:numId w:val="0"/>
        </w:numPr>
        <w:kinsoku/>
        <w:wordWrap/>
        <w:overflowPunct w:val="0"/>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sz w:val="32"/>
          <w:szCs w:val="32"/>
          <w:highlight w:val="none"/>
        </w:rPr>
        <w:t>另一方面，文化传承“走深走实”。依托政府官网、新闻媒体等平台，发布档案工作动态、服务举措及法律法规解读20余篇，普及档案收集、保管、利用知识；联合本地媒体推出“档案里的怀化故事”专栏，讲述老街区改造、重点工程背后的历史细节，推动档案文化融入城市精神，让“城市记忆”活起来、传下去。</w:t>
      </w:r>
    </w:p>
    <w:p w14:paraId="3B6C6AF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Times New Roman Regular" w:hAnsi="Times New Roman Regular" w:eastAsia="仿宋_GB2312" w:cs="Times New Roman Regular"/>
          <w:color w:val="auto"/>
          <w:sz w:val="32"/>
          <w:szCs w:val="32"/>
          <w:highlight w:val="none"/>
          <w:lang w:val="en-US" w:eastAsia="zh-CN"/>
        </w:rPr>
        <w:t>（5）</w:t>
      </w:r>
      <w:r>
        <w:rPr>
          <w:rFonts w:hint="eastAsia" w:ascii="仿宋_GB2312" w:hAnsi="仿宋_GB2312" w:eastAsia="仿宋_GB2312" w:cs="仿宋_GB2312"/>
          <w:b/>
          <w:bCs/>
          <w:color w:val="auto"/>
          <w:kern w:val="2"/>
          <w:sz w:val="32"/>
          <w:szCs w:val="32"/>
          <w:lang w:val="en-US" w:eastAsia="zh-CN" w:bidi="ar-SA"/>
        </w:rPr>
        <w:t>聚焦队伍提能，履职基础更牢更稳。</w:t>
      </w:r>
      <w:r>
        <w:rPr>
          <w:rFonts w:hint="eastAsia" w:ascii="仿宋_GB2312" w:hAnsi="仿宋_GB2312" w:eastAsia="仿宋_GB2312" w:cs="仿宋_GB2312"/>
          <w:sz w:val="32"/>
          <w:szCs w:val="32"/>
          <w:highlight w:val="none"/>
        </w:rPr>
        <w:t xml:space="preserve">坚持党建引领，以“政治过硬、业务精湛”为目标，打造高素质档案工作队伍。  </w:t>
      </w:r>
    </w:p>
    <w:p w14:paraId="3B0A4C1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一是政治建设“铸魂”。深入学习贯彻党的二十大及二十届三中全会精神，常态化开展主题教育，通过专题党课、红色教育基地实践等活动，提升干部职工政治判断力、领悟力、执行力，全年开展集中学习12次、专题研讨4次。  </w:t>
      </w:r>
    </w:p>
    <w:p w14:paraId="79637D3E">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eastAsia" w:ascii="仿宋_GB2312" w:hAnsi="仿宋_GB2312" w:eastAsia="仿宋_GB2312" w:cs="仿宋_GB2312"/>
          <w:sz w:val="32"/>
          <w:szCs w:val="32"/>
          <w:highlight w:val="none"/>
        </w:rPr>
        <w:t>二是专业能力“强基”。围绕档案整理、数字化技术、安全防护等核心业务，组织专题培训6场（邀请省档案局专家授课3次）、岗位练兵4次，选派业务骨干赴长沙、株洲等地交流学习，队伍“一专多能”水平显著提升；健全考核激励机制，将工作实绩与绩效挂钩，激发干事热情，形成“比学赶超”良好氛围。</w:t>
      </w:r>
      <w:r>
        <w:rPr>
          <w:rFonts w:hint="eastAsia" w:ascii="仿宋_GB2312" w:hAnsi="仿宋_GB2312" w:eastAsia="仿宋_GB2312" w:cs="仿宋_GB2312"/>
          <w:b w:val="0"/>
          <w:bCs w:val="0"/>
          <w:color w:val="auto"/>
          <w:kern w:val="2"/>
          <w:sz w:val="32"/>
          <w:szCs w:val="32"/>
          <w:lang w:val="en-US" w:eastAsia="zh-CN" w:bidi="ar-SA"/>
        </w:rPr>
        <w:t xml:space="preserve">      </w:t>
      </w:r>
    </w:p>
    <w:p w14:paraId="2CAEF8B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w:t>
      </w:r>
      <w:r>
        <w:rPr>
          <w:rFonts w:hint="default" w:ascii="方正黑体_GBK" w:hAnsi="方正黑体_GBK" w:eastAsia="方正黑体_GBK" w:cs="方正黑体_GBK"/>
          <w:b/>
          <w:bCs/>
          <w:color w:val="auto"/>
          <w:sz w:val="32"/>
          <w:szCs w:val="32"/>
          <w:highlight w:val="none"/>
          <w:lang w:val="en-US" w:eastAsia="zh-CN"/>
        </w:rPr>
        <w:t>、存在的问题及原因分析</w:t>
      </w:r>
    </w:p>
    <w:p w14:paraId="51D7978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w:t>
      </w:r>
      <w:r>
        <w:rPr>
          <w:rFonts w:hint="default" w:ascii="Times New Roman Regular" w:hAnsi="Times New Roman Regular" w:eastAsia="仿宋_GB2312" w:cs="Times New Roman Regular"/>
          <w:color w:val="auto"/>
          <w:sz w:val="32"/>
          <w:szCs w:val="32"/>
          <w:highlight w:val="none"/>
          <w:lang w:val="en-US" w:eastAsia="zh-CN"/>
        </w:rPr>
        <w:t>全面预算绩效管理工作经验不太丰富，绩效管理专业人员匮乏，规范管理有盲点。绩效管理</w:t>
      </w:r>
      <w:r>
        <w:rPr>
          <w:rFonts w:hint="eastAsia" w:ascii="Times New Roman Regular" w:hAnsi="Times New Roman Regular" w:eastAsia="仿宋_GB2312" w:cs="Times New Roman Regular"/>
          <w:color w:val="auto"/>
          <w:sz w:val="32"/>
          <w:szCs w:val="32"/>
          <w:highlight w:val="none"/>
          <w:lang w:val="en-US" w:eastAsia="zh-CN"/>
        </w:rPr>
        <w:t>理</w:t>
      </w:r>
      <w:bookmarkStart w:id="0" w:name="_GoBack"/>
      <w:bookmarkEnd w:id="0"/>
      <w:r>
        <w:rPr>
          <w:rFonts w:hint="default" w:ascii="Times New Roman Regular" w:hAnsi="Times New Roman Regular" w:eastAsia="仿宋_GB2312" w:cs="Times New Roman Regular"/>
          <w:color w:val="auto"/>
          <w:sz w:val="32"/>
          <w:szCs w:val="32"/>
          <w:highlight w:val="none"/>
          <w:lang w:val="en-US" w:eastAsia="zh-CN"/>
        </w:rPr>
        <w:t>念待加强。</w:t>
      </w:r>
    </w:p>
    <w:p w14:paraId="168EC76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部门预算编制的科学化、精细化有待提高。目前，预算编制要求经济科目细化到款级，但在实际编制过程中，由于有的预算支出项目具有预测性和不确定性等特点，造成实际支出与预算编制不符。</w:t>
      </w:r>
    </w:p>
    <w:p w14:paraId="532FCFE4">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0DCB3C6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w:t>
      </w:r>
      <w:r>
        <w:rPr>
          <w:rFonts w:hint="default" w:ascii="Times New Roman Regular" w:hAnsi="Times New Roman Regular" w:eastAsia="仿宋_GB2312" w:cs="Times New Roman Regular"/>
          <w:color w:val="auto"/>
          <w:sz w:val="32"/>
          <w:szCs w:val="32"/>
          <w:highlight w:val="none"/>
          <w:lang w:val="en-US" w:eastAsia="zh-CN"/>
        </w:rPr>
        <w:t>我们将更加全面、细致地制定绩效目标，进一步严肃财经纪律，在实施过程中遵循“实事求是、尊重客观、力求精准”的原则，努力使项目资金落到实处。</w:t>
      </w:r>
    </w:p>
    <w:p w14:paraId="43E6754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我们将落实内控制度，严肃执行“三重一大”的原则，深入开展政府购买社会化服务，切实引进社会化竞争机制，引进相关专业人才，保障项目在公开、公平、公正的监督环境中实施，有效节约项目资金，把有限的资金用在刀刃上。</w:t>
      </w:r>
    </w:p>
    <w:p w14:paraId="79A7929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（三）</w:t>
      </w:r>
      <w:r>
        <w:rPr>
          <w:rFonts w:hint="default" w:ascii="Times New Roman Regular" w:hAnsi="Times New Roman Regular" w:eastAsia="仿宋_GB2312" w:cs="Times New Roman Regular"/>
          <w:color w:val="auto"/>
          <w:sz w:val="32"/>
          <w:szCs w:val="32"/>
          <w:highlight w:val="none"/>
          <w:lang w:val="en-US" w:eastAsia="zh-CN"/>
        </w:rPr>
        <w:t>加强对财政资金的拨付和使用管理，加强对财务干部职工的业务培训，强化预算管理意识，严格执行预算，做到专账核算，确保专款专用。</w:t>
      </w:r>
    </w:p>
    <w:p w14:paraId="4CB2F8D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八</w:t>
      </w: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3D6B5967">
      <w:pPr>
        <w:keepNext w:val="0"/>
        <w:keepLines w:val="0"/>
        <w:pageBreakBefore w:val="0"/>
        <w:widowControl w:val="0"/>
        <w:kinsoku/>
        <w:wordWrap/>
        <w:overflowPunct/>
        <w:topLinePunct w:val="0"/>
        <w:autoSpaceDE/>
        <w:autoSpaceDN/>
        <w:bidi w:val="0"/>
        <w:adjustRightInd/>
        <w:snapToGrid w:val="0"/>
        <w:spacing w:line="520" w:lineRule="exact"/>
        <w:ind w:firstLine="642"/>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我单位将通过绩效自评工作进一步完善预算管理机制，规范资金使用，强化监督检查，强化财政资金管理水平，提高财政资金使用效益，预算资金使用效益的提高提供基础保障。</w:t>
      </w:r>
    </w:p>
    <w:p w14:paraId="534B6F10">
      <w:pPr>
        <w:keepNext w:val="0"/>
        <w:keepLines w:val="0"/>
        <w:pageBreakBefore w:val="0"/>
        <w:widowControl w:val="0"/>
        <w:kinsoku/>
        <w:wordWrap/>
        <w:overflowPunct/>
        <w:topLinePunct w:val="0"/>
        <w:autoSpaceDE/>
        <w:autoSpaceDN/>
        <w:bidi w:val="0"/>
        <w:adjustRightInd/>
        <w:snapToGrid w:val="0"/>
        <w:spacing w:line="520" w:lineRule="exact"/>
        <w:ind w:firstLine="642"/>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绩效自评工作完成后将通过单位官网向全社会公开。</w:t>
      </w:r>
    </w:p>
    <w:p w14:paraId="4A3DD6C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九</w:t>
      </w:r>
      <w:r>
        <w:rPr>
          <w:rFonts w:hint="default" w:ascii="方正黑体_GBK" w:hAnsi="方正黑体_GBK" w:eastAsia="方正黑体_GBK" w:cs="方正黑体_GBK"/>
          <w:b/>
          <w:bCs/>
          <w:color w:val="auto"/>
          <w:sz w:val="32"/>
          <w:szCs w:val="32"/>
          <w:highlight w:val="none"/>
          <w:lang w:val="en-US" w:eastAsia="zh-CN"/>
        </w:rPr>
        <w:t>、其他需要说明的情况</w:t>
      </w:r>
    </w:p>
    <w:p w14:paraId="28AFA74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457F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166B19">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1166B19">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32E73"/>
    <w:multiLevelType w:val="singleLevel"/>
    <w:tmpl w:val="5BB32E73"/>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FD5360"/>
    <w:rsid w:val="019B05CD"/>
    <w:rsid w:val="01BB05A0"/>
    <w:rsid w:val="030B5285"/>
    <w:rsid w:val="036B7869"/>
    <w:rsid w:val="036E3954"/>
    <w:rsid w:val="049C64DE"/>
    <w:rsid w:val="051B69F7"/>
    <w:rsid w:val="054874D3"/>
    <w:rsid w:val="05E95AA6"/>
    <w:rsid w:val="068762FC"/>
    <w:rsid w:val="0B955AE5"/>
    <w:rsid w:val="0C180A78"/>
    <w:rsid w:val="0D276746"/>
    <w:rsid w:val="0D464D9C"/>
    <w:rsid w:val="0D493F3E"/>
    <w:rsid w:val="0DD52794"/>
    <w:rsid w:val="0DDF7D36"/>
    <w:rsid w:val="0E1D3DDA"/>
    <w:rsid w:val="0E541962"/>
    <w:rsid w:val="0E956870"/>
    <w:rsid w:val="0FDB7F05"/>
    <w:rsid w:val="10C666A5"/>
    <w:rsid w:val="10F17609"/>
    <w:rsid w:val="1223366A"/>
    <w:rsid w:val="12B3207B"/>
    <w:rsid w:val="12F9115E"/>
    <w:rsid w:val="143877FD"/>
    <w:rsid w:val="14BB37E8"/>
    <w:rsid w:val="17B1216C"/>
    <w:rsid w:val="17FCFFF6"/>
    <w:rsid w:val="19E805B2"/>
    <w:rsid w:val="1CBF872E"/>
    <w:rsid w:val="1CE6072D"/>
    <w:rsid w:val="1F022712"/>
    <w:rsid w:val="22FE234B"/>
    <w:rsid w:val="231C669E"/>
    <w:rsid w:val="237E069E"/>
    <w:rsid w:val="258001A0"/>
    <w:rsid w:val="277E6F02"/>
    <w:rsid w:val="29990575"/>
    <w:rsid w:val="2AE634C4"/>
    <w:rsid w:val="2AF6742D"/>
    <w:rsid w:val="2CE24349"/>
    <w:rsid w:val="2FAC5C18"/>
    <w:rsid w:val="3068504E"/>
    <w:rsid w:val="312A2265"/>
    <w:rsid w:val="333F3E43"/>
    <w:rsid w:val="342D368C"/>
    <w:rsid w:val="34ED4F7A"/>
    <w:rsid w:val="362A7C4F"/>
    <w:rsid w:val="36FC0F5D"/>
    <w:rsid w:val="375773F8"/>
    <w:rsid w:val="393E32BB"/>
    <w:rsid w:val="3A8179F0"/>
    <w:rsid w:val="3EA74B88"/>
    <w:rsid w:val="3EFDDE87"/>
    <w:rsid w:val="3FCB30AA"/>
    <w:rsid w:val="3FE41BC2"/>
    <w:rsid w:val="40996DC3"/>
    <w:rsid w:val="418C5A9B"/>
    <w:rsid w:val="419B2857"/>
    <w:rsid w:val="41D71DA8"/>
    <w:rsid w:val="41E00002"/>
    <w:rsid w:val="42D6529C"/>
    <w:rsid w:val="43091C7F"/>
    <w:rsid w:val="43283371"/>
    <w:rsid w:val="447C4B87"/>
    <w:rsid w:val="471A4D0A"/>
    <w:rsid w:val="4A3F72B6"/>
    <w:rsid w:val="4A524112"/>
    <w:rsid w:val="4AB05D1B"/>
    <w:rsid w:val="4AC66CF3"/>
    <w:rsid w:val="4AE82544"/>
    <w:rsid w:val="4B110493"/>
    <w:rsid w:val="4C6611ED"/>
    <w:rsid w:val="4C673DD1"/>
    <w:rsid w:val="4D115001"/>
    <w:rsid w:val="4D5D3BD3"/>
    <w:rsid w:val="4D9268EA"/>
    <w:rsid w:val="4E085AA6"/>
    <w:rsid w:val="4EB7F892"/>
    <w:rsid w:val="4FCA7C5D"/>
    <w:rsid w:val="50B60D15"/>
    <w:rsid w:val="53A97048"/>
    <w:rsid w:val="53E812D0"/>
    <w:rsid w:val="552A0475"/>
    <w:rsid w:val="55E30D13"/>
    <w:rsid w:val="578D10CB"/>
    <w:rsid w:val="57AD37CC"/>
    <w:rsid w:val="59C16315"/>
    <w:rsid w:val="59E224E1"/>
    <w:rsid w:val="5A5915AC"/>
    <w:rsid w:val="5A902199"/>
    <w:rsid w:val="5ABBC979"/>
    <w:rsid w:val="5B0E70A5"/>
    <w:rsid w:val="5B305B59"/>
    <w:rsid w:val="5B37158E"/>
    <w:rsid w:val="5BFC7B3B"/>
    <w:rsid w:val="5E77C7C6"/>
    <w:rsid w:val="5EB774B9"/>
    <w:rsid w:val="5EC603AF"/>
    <w:rsid w:val="5ECB06CA"/>
    <w:rsid w:val="5F497739"/>
    <w:rsid w:val="5FB52CAF"/>
    <w:rsid w:val="5FB80691"/>
    <w:rsid w:val="5FFB62B7"/>
    <w:rsid w:val="5FFFAAE0"/>
    <w:rsid w:val="63133EF0"/>
    <w:rsid w:val="637772AF"/>
    <w:rsid w:val="6457455E"/>
    <w:rsid w:val="66347B2F"/>
    <w:rsid w:val="667FD72C"/>
    <w:rsid w:val="66BC066D"/>
    <w:rsid w:val="68586653"/>
    <w:rsid w:val="68E31F3D"/>
    <w:rsid w:val="69C121A7"/>
    <w:rsid w:val="69FA3FC2"/>
    <w:rsid w:val="6A12486A"/>
    <w:rsid w:val="6ABE64BE"/>
    <w:rsid w:val="6B5F16C5"/>
    <w:rsid w:val="6CCF6F35"/>
    <w:rsid w:val="6CF3EA5A"/>
    <w:rsid w:val="6F7013B2"/>
    <w:rsid w:val="71576FFB"/>
    <w:rsid w:val="72D326AB"/>
    <w:rsid w:val="737931AC"/>
    <w:rsid w:val="753C4E9B"/>
    <w:rsid w:val="769B7804"/>
    <w:rsid w:val="779FCBF0"/>
    <w:rsid w:val="77D80611"/>
    <w:rsid w:val="77F7E21B"/>
    <w:rsid w:val="781113A7"/>
    <w:rsid w:val="788F5065"/>
    <w:rsid w:val="791E6510"/>
    <w:rsid w:val="79E2F975"/>
    <w:rsid w:val="7B3BDBF2"/>
    <w:rsid w:val="7BE84E61"/>
    <w:rsid w:val="7C8D4A41"/>
    <w:rsid w:val="7D4C06B6"/>
    <w:rsid w:val="7DDF0DF3"/>
    <w:rsid w:val="7E812066"/>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paragraph" w:styleId="2">
    <w:name w:val="heading 3"/>
    <w:basedOn w:val="1"/>
    <w:next w:val="1"/>
    <w:qFormat/>
    <w:uiPriority w:val="0"/>
    <w:pPr>
      <w:jc w:val="left"/>
      <w:outlineLvl w:val="2"/>
    </w:pPr>
    <w:rPr>
      <w:rFonts w:ascii="宋体" w:hAnsi="宋体"/>
      <w:b/>
      <w:kern w:val="0"/>
      <w:sz w:val="27"/>
      <w:szCs w:val="27"/>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Indent"/>
    <w:basedOn w:val="1"/>
    <w:unhideWhenUsed/>
    <w:qFormat/>
    <w:uiPriority w:val="0"/>
    <w:pPr>
      <w:spacing w:beforeLines="0" w:afterLines="0"/>
      <w:ind w:firstLine="640" w:firstLineChars="200"/>
    </w:pPr>
    <w:rPr>
      <w:rFonts w:hint="default"/>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unhideWhenUsed/>
    <w:qFormat/>
    <w:uiPriority w:val="99"/>
    <w:pPr>
      <w:spacing w:beforeLines="0" w:afterLines="0"/>
      <w:ind w:firstLine="420"/>
    </w:pPr>
    <w:rPr>
      <w:rFonts w:hint="default"/>
      <w:sz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标题1"/>
    <w:basedOn w:val="3"/>
    <w:qFormat/>
    <w:uiPriority w:val="0"/>
    <w:rPr>
      <w:rFonts w:eastAsia="黑体"/>
    </w:rPr>
  </w:style>
  <w:style w:type="paragraph" w:customStyle="1" w:styleId="13">
    <w:name w:val="首行缩进"/>
    <w:basedOn w:val="1"/>
    <w:qFormat/>
    <w:uiPriority w:val="0"/>
    <w:pPr>
      <w:ind w:firstLine="480" w:firstLineChars="200"/>
    </w:pPr>
    <w:rPr>
      <w:lang w:val="zh-CN"/>
    </w:rPr>
  </w:style>
  <w:style w:type="paragraph" w:customStyle="1" w:styleId="14">
    <w:name w:val="4正文"/>
    <w:basedOn w:val="1"/>
    <w:qFormat/>
    <w:uiPriority w:val="0"/>
    <w:pPr>
      <w:snapToGrid w:val="0"/>
      <w:spacing w:line="440" w:lineRule="exact"/>
      <w:ind w:firstLine="200" w:firstLineChars="200"/>
    </w:pPr>
    <w:rPr>
      <w:rFonts w:ascii="Times New Roman" w:hAnsi="Times New Roman" w:eastAsia="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3200</Words>
  <Characters>3310</Characters>
  <Lines>0</Lines>
  <Paragraphs>0</Paragraphs>
  <TotalTime>2</TotalTime>
  <ScaleCrop>false</ScaleCrop>
  <LinksUpToDate>false</LinksUpToDate>
  <CharactersWithSpaces>3749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2025-04-10T18:25:00Z</cp:lastPrinted>
  <dcterms:modified xsi:type="dcterms:W3CDTF">2026-10-12T15:32:47Z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A933736FA1C742F1B8D110A471F475E4</vt:lpwstr>
  </property>
  <property fmtid="{D5CDD505-2E9C-101B-9397-08002B2CF9AE}" pid="4" name="KSOTemplateDocerSaveRecord">
    <vt:lpwstr>eyJoZGlkIjoiMDE2ZDUwMjk0Njk1OGNhMTIwMjQ2Y2Q5NDBhYjY2NmQiLCJ1c2VySWQiOiI1MjY0MDU5NjkifQ==</vt:lpwstr>
  </property>
  <property fmtid="{D5CDD505-2E9C-101B-9397-08002B2CF9AE}" pid="5" name="KSOSaveFontToCloudKey">
    <vt:lpwstr>0_btnclosed</vt:lpwstr>
  </property>
</Properties>
</file>