
<file path=[Content_Types].xml><?xml version="1.0" encoding="utf-8"?>
<Types xmlns="http://schemas.openxmlformats.org/package/2006/content-types">
  <Default Extension="xml" ContentType="application/xml"/>
  <Default Extension="emf" ContentType="image/x-emf"/>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57481">
      <w:pPr>
        <w:pStyle w:val="16"/>
        <w:jc w:val="both"/>
        <w:rPr>
          <w:rFonts w:hAnsi="黑体"/>
          <w:sz w:val="36"/>
          <w:szCs w:val="36"/>
        </w:rPr>
      </w:pPr>
      <w:r>
        <w:rPr>
          <w:rFonts w:hint="eastAsia" w:hAnsi="黑体"/>
          <w:sz w:val="36"/>
          <w:szCs w:val="36"/>
        </w:rPr>
        <w:t>附件1</w:t>
      </w:r>
    </w:p>
    <w:p w14:paraId="11FAB457">
      <w:pPr>
        <w:pStyle w:val="16"/>
        <w:jc w:val="center"/>
        <w:rPr>
          <w:rFonts w:ascii="Times New Roman" w:hAnsi="Times New Roman" w:cs="Times New Roman"/>
          <w:sz w:val="56"/>
          <w:szCs w:val="56"/>
        </w:rPr>
      </w:pPr>
    </w:p>
    <w:p w14:paraId="26C654E6">
      <w:pPr>
        <w:pStyle w:val="16"/>
        <w:jc w:val="center"/>
        <w:rPr>
          <w:rFonts w:ascii="Times New Roman" w:hAnsi="Times New Roman" w:cs="Times New Roman"/>
          <w:sz w:val="84"/>
          <w:szCs w:val="84"/>
        </w:rPr>
      </w:pPr>
    </w:p>
    <w:p w14:paraId="4358CCCF">
      <w:pPr>
        <w:pStyle w:val="16"/>
        <w:jc w:val="center"/>
        <w:rPr>
          <w:rFonts w:ascii="Times New Roman" w:hAnsi="Times New Roman" w:cs="Times New Roman"/>
          <w:sz w:val="84"/>
          <w:szCs w:val="84"/>
        </w:rPr>
      </w:pPr>
    </w:p>
    <w:p w14:paraId="454FD4DF">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怀化市</w:t>
      </w:r>
      <w:r>
        <w:rPr>
          <w:rFonts w:hint="eastAsia" w:ascii="Times New Roman" w:hAnsi="Times New Roman" w:eastAsia="方正小标宋简体" w:cs="Times New Roman"/>
          <w:sz w:val="72"/>
          <w:szCs w:val="72"/>
          <w:lang w:eastAsia="zh-CN"/>
        </w:rPr>
        <w:t>城乡建设事务中心</w:t>
      </w:r>
      <w:r>
        <w:rPr>
          <w:rFonts w:ascii="Times New Roman" w:hAnsi="Times New Roman" w:eastAsia="方正小标宋简体" w:cs="Times New Roman"/>
          <w:sz w:val="72"/>
          <w:szCs w:val="72"/>
        </w:rPr>
        <w:t>部门（单位）</w:t>
      </w:r>
    </w:p>
    <w:p w14:paraId="18C9840B">
      <w:pPr>
        <w:pStyle w:val="16"/>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72"/>
          <w:szCs w:val="72"/>
        </w:rPr>
        <w:t>部门决算</w:t>
      </w:r>
    </w:p>
    <w:p w14:paraId="7591E6F0">
      <w:pPr>
        <w:pStyle w:val="16"/>
        <w:spacing w:line="600" w:lineRule="exact"/>
        <w:jc w:val="both"/>
        <w:rPr>
          <w:rFonts w:ascii="Times New Roman" w:hAnsi="Times New Roman" w:cs="Times New Roman"/>
          <w:b/>
          <w:sz w:val="36"/>
          <w:szCs w:val="28"/>
        </w:rPr>
      </w:pPr>
    </w:p>
    <w:p w14:paraId="43379403">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9816EBF">
      <w:pPr>
        <w:pStyle w:val="16"/>
        <w:spacing w:line="600" w:lineRule="exact"/>
        <w:jc w:val="center"/>
        <w:rPr>
          <w:rFonts w:ascii="Times New Roman" w:hAnsi="Times New Roman" w:cs="Times New Roman"/>
          <w:b/>
          <w:sz w:val="36"/>
          <w:szCs w:val="28"/>
        </w:rPr>
      </w:pPr>
    </w:p>
    <w:p w14:paraId="17C102B1">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w:t>
      </w:r>
      <w:r>
        <w:rPr>
          <w:rFonts w:hint="eastAsia" w:ascii="Times New Roman" w:hAnsi="Times New Roman" w:cs="Times New Roman"/>
          <w:bCs/>
          <w:sz w:val="32"/>
          <w:szCs w:val="32"/>
          <w:lang w:eastAsia="zh-CN"/>
        </w:rPr>
        <w:t>城乡建设事务中心</w:t>
      </w:r>
      <w:r>
        <w:rPr>
          <w:rFonts w:ascii="Times New Roman" w:hAnsi="Times New Roman" w:cs="Times New Roman"/>
          <w:bCs/>
          <w:sz w:val="32"/>
          <w:szCs w:val="32"/>
        </w:rPr>
        <w:t>部门（单位）概况</w:t>
      </w:r>
    </w:p>
    <w:p w14:paraId="491683E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6DF02C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99A5E7D">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8070DF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F6C4CE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02E2D1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41F820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5A5D93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EA79B0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D2E6F7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FFEB52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4AAC24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C742B00">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92601A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251366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587B2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3F435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389789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B0D431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93EEC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79D29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E0C3A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D9395C0">
      <w:pPr>
        <w:autoSpaceDE w:val="0"/>
        <w:autoSpaceDN w:val="0"/>
        <w:adjustRightInd w:val="0"/>
        <w:spacing w:line="600" w:lineRule="exact"/>
        <w:jc w:val="left"/>
      </w:pPr>
      <w:r>
        <w:rPr>
          <w:rFonts w:hint="eastAsia" w:ascii="仿宋_GB2312" w:hAnsi="仿宋_GB2312" w:eastAsia="仿宋_GB2312" w:cs="仿宋_GB2312"/>
          <w:b w:val="0"/>
          <w:bCs w:val="0"/>
          <w:color w:val="auto"/>
          <w:sz w:val="32"/>
          <w:szCs w:val="32"/>
          <w:highlight w:val="none"/>
          <w:lang w:val="en-US" w:eastAsia="zh-CN"/>
        </w:rPr>
        <w:t>九、国有资本经营预算财政拨款支出</w:t>
      </w:r>
      <w:r>
        <w:rPr>
          <w:rFonts w:hint="eastAsia" w:ascii="仿宋_GB2312" w:hAnsi="仿宋_GB2312" w:eastAsia="仿宋_GB2312" w:cs="仿宋_GB2312"/>
          <w:b w:val="0"/>
          <w:bCs w:val="0"/>
          <w:color w:val="auto"/>
          <w:sz w:val="32"/>
          <w:szCs w:val="32"/>
          <w:highlight w:val="none"/>
        </w:rPr>
        <w:t>决算情况</w:t>
      </w:r>
    </w:p>
    <w:p w14:paraId="719FA12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2823169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1B1A11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3F6C8D3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72E98DF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D0509CB">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71FEC2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0F23E4A">
      <w:pPr>
        <w:pStyle w:val="16"/>
        <w:spacing w:line="600" w:lineRule="exact"/>
        <w:rPr>
          <w:rFonts w:ascii="Times New Roman" w:hAnsi="Times New Roman" w:cs="Times New Roman"/>
          <w:bCs/>
          <w:sz w:val="28"/>
          <w:szCs w:val="28"/>
        </w:rPr>
      </w:pPr>
    </w:p>
    <w:p w14:paraId="4071FDAC">
      <w:pPr>
        <w:jc w:val="center"/>
        <w:rPr>
          <w:rFonts w:ascii="Times New Roman" w:hAnsi="Times New Roman" w:cs="Times New Roman"/>
          <w:sz w:val="72"/>
          <w:szCs w:val="72"/>
        </w:rPr>
      </w:pPr>
    </w:p>
    <w:p w14:paraId="2A349FAC">
      <w:pPr>
        <w:jc w:val="center"/>
        <w:rPr>
          <w:rFonts w:ascii="Times New Roman" w:hAnsi="Times New Roman" w:cs="Times New Roman"/>
          <w:sz w:val="72"/>
          <w:szCs w:val="72"/>
        </w:rPr>
      </w:pPr>
    </w:p>
    <w:p w14:paraId="49B2E1D3">
      <w:pPr>
        <w:jc w:val="center"/>
        <w:rPr>
          <w:rFonts w:ascii="Times New Roman" w:hAnsi="Times New Roman" w:cs="Times New Roman"/>
          <w:sz w:val="72"/>
          <w:szCs w:val="72"/>
        </w:rPr>
      </w:pPr>
    </w:p>
    <w:p w14:paraId="6BEE1C65">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0E5F573">
      <w:pPr>
        <w:rPr>
          <w:rFonts w:ascii="Times New Roman" w:hAnsi="Times New Roman" w:eastAsia="方正小标宋_GBK" w:cs="Times New Roman"/>
          <w:sz w:val="72"/>
          <w:szCs w:val="72"/>
        </w:rPr>
      </w:pPr>
    </w:p>
    <w:p w14:paraId="11B25C38">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539AE8B">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w:t>
      </w:r>
      <w:r>
        <w:rPr>
          <w:rFonts w:hint="eastAsia" w:ascii="Times New Roman" w:hAnsi="Times New Roman" w:eastAsia="方正小标宋_GBK" w:cs="Times New Roman"/>
          <w:sz w:val="52"/>
          <w:szCs w:val="52"/>
          <w:lang w:eastAsia="zh-CN"/>
        </w:rPr>
        <w:t>城乡建设事务中心</w:t>
      </w:r>
      <w:r>
        <w:rPr>
          <w:rFonts w:ascii="Times New Roman" w:hAnsi="Times New Roman" w:eastAsia="方正小标宋_GBK" w:cs="Times New Roman"/>
          <w:sz w:val="52"/>
          <w:szCs w:val="52"/>
        </w:rPr>
        <w:t>部门（单位）概况</w:t>
      </w:r>
    </w:p>
    <w:p w14:paraId="0AB50CE4">
      <w:pPr>
        <w:pStyle w:val="5"/>
        <w:ind w:left="0" w:leftChars="0" w:firstLine="0" w:firstLineChars="0"/>
        <w:rPr>
          <w:rFonts w:ascii="Times New Roman" w:hAnsi="Times New Roman" w:cs="Times New Roman"/>
        </w:rPr>
      </w:pPr>
    </w:p>
    <w:p w14:paraId="20924F42">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62FB17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（一）</w:t>
      </w:r>
      <w:r>
        <w:rPr>
          <w:rFonts w:hint="eastAsia" w:ascii="Times New Roman" w:hAnsi="Times New Roman" w:eastAsia="仿宋_GB2312" w:cs="Times New Roman"/>
          <w:bCs/>
          <w:kern w:val="0"/>
          <w:sz w:val="32"/>
          <w:szCs w:val="32"/>
        </w:rPr>
        <w:t>负责市本级城市规划区内（含鹤城区）和指导县（市、区）燃气管理工作；</w:t>
      </w:r>
    </w:p>
    <w:p w14:paraId="0B2A6080">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（二）</w:t>
      </w:r>
      <w:r>
        <w:rPr>
          <w:rFonts w:hint="eastAsia" w:ascii="Times New Roman" w:hAnsi="Times New Roman" w:eastAsia="仿宋_GB2312" w:cs="Times New Roman"/>
          <w:bCs/>
          <w:kern w:val="0"/>
          <w:sz w:val="32"/>
          <w:szCs w:val="32"/>
        </w:rPr>
        <w:t>负责宣传贯彻国家、省、市燃气管理的法规、标准、政策；</w:t>
      </w:r>
    </w:p>
    <w:p w14:paraId="2B79B12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（三）</w:t>
      </w:r>
      <w:r>
        <w:rPr>
          <w:rFonts w:hint="eastAsia" w:ascii="Times New Roman" w:hAnsi="Times New Roman" w:eastAsia="仿宋_GB2312" w:cs="Times New Roman"/>
          <w:bCs/>
          <w:kern w:val="0"/>
          <w:sz w:val="32"/>
          <w:szCs w:val="32"/>
        </w:rPr>
        <w:t>负责城镇燃气规划、计划的制定、修订及组织实施；</w:t>
      </w:r>
    </w:p>
    <w:p w14:paraId="0EBB3E73">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（四）</w:t>
      </w:r>
      <w:r>
        <w:rPr>
          <w:rFonts w:hint="eastAsia" w:ascii="Times New Roman" w:hAnsi="Times New Roman" w:eastAsia="仿宋_GB2312" w:cs="Times New Roman"/>
          <w:bCs/>
          <w:kern w:val="0"/>
          <w:sz w:val="32"/>
          <w:szCs w:val="32"/>
        </w:rPr>
        <w:t>负责燃气企业、燃气燃烧器具安装维修企业及燃气设施改动行政审批的审核及管理工作；</w:t>
      </w:r>
    </w:p>
    <w:p w14:paraId="7216D963">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（五）</w:t>
      </w:r>
      <w:r>
        <w:rPr>
          <w:rFonts w:hint="eastAsia" w:ascii="Times New Roman" w:hAnsi="Times New Roman" w:eastAsia="仿宋_GB2312" w:cs="Times New Roman"/>
          <w:bCs/>
          <w:kern w:val="0"/>
          <w:sz w:val="32"/>
          <w:szCs w:val="32"/>
        </w:rPr>
        <w:t>负责对燃气企业经营单位及燃气燃烧器具安装维修企业的监督；</w:t>
      </w:r>
    </w:p>
    <w:p w14:paraId="053F8873">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（六）</w:t>
      </w:r>
      <w:r>
        <w:rPr>
          <w:rFonts w:hint="eastAsia" w:ascii="Times New Roman" w:hAnsi="Times New Roman" w:eastAsia="仿宋_GB2312" w:cs="Times New Roman"/>
          <w:bCs/>
          <w:kern w:val="0"/>
          <w:sz w:val="32"/>
          <w:szCs w:val="32"/>
        </w:rPr>
        <w:t>负责燃气经营单位及燃气燃烧器具安装维修企业从业人员的职业技能资格培训工作；</w:t>
      </w:r>
    </w:p>
    <w:p w14:paraId="011F9A6A">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（七）</w:t>
      </w:r>
      <w:r>
        <w:rPr>
          <w:rFonts w:hint="eastAsia" w:ascii="Times New Roman" w:hAnsi="Times New Roman" w:eastAsia="仿宋_GB2312" w:cs="Times New Roman"/>
          <w:bCs/>
          <w:kern w:val="0"/>
          <w:sz w:val="32"/>
          <w:szCs w:val="32"/>
        </w:rPr>
        <w:t>负责供气事故应急预案的制定、修订及组织实施；</w:t>
      </w:r>
    </w:p>
    <w:p w14:paraId="5EBE410C">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（八）</w:t>
      </w:r>
      <w:r>
        <w:rPr>
          <w:rFonts w:hint="eastAsia" w:ascii="Times New Roman" w:hAnsi="Times New Roman" w:eastAsia="仿宋_GB2312" w:cs="Times New Roman"/>
          <w:bCs/>
          <w:kern w:val="0"/>
          <w:sz w:val="32"/>
          <w:szCs w:val="32"/>
        </w:rPr>
        <w:t>为建设工程提供造价管理服务；</w:t>
      </w:r>
    </w:p>
    <w:p w14:paraId="60057439">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（九）</w:t>
      </w:r>
      <w:r>
        <w:rPr>
          <w:rFonts w:hint="eastAsia" w:ascii="Times New Roman" w:hAnsi="Times New Roman" w:eastAsia="仿宋_GB2312" w:cs="Times New Roman"/>
          <w:bCs/>
          <w:kern w:val="0"/>
          <w:sz w:val="32"/>
          <w:szCs w:val="32"/>
        </w:rPr>
        <w:t>贯彻执行有关工程造价法律、政策，按时准确发布建安材料价格信息。实行动态管理，对造价从业人员、造价咨询机构进行统一管理、监督、检查，做好定额解释、仲裁服务工作；</w:t>
      </w:r>
    </w:p>
    <w:p w14:paraId="003BEF2B">
      <w:pPr>
        <w:ind w:firstLine="640" w:firstLineChars="200"/>
        <w:jc w:val="left"/>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（十）</w:t>
      </w:r>
      <w:r>
        <w:rPr>
          <w:rFonts w:hint="eastAsia" w:ascii="Times New Roman" w:hAnsi="Times New Roman" w:eastAsia="仿宋_GB2312" w:cs="Times New Roman"/>
          <w:bCs/>
          <w:kern w:val="0"/>
          <w:sz w:val="32"/>
          <w:szCs w:val="32"/>
        </w:rPr>
        <w:t>配合生态环境部门积极做好入河排污口排查整治工作</w:t>
      </w:r>
      <w:r>
        <w:rPr>
          <w:rFonts w:hint="eastAsia" w:ascii="Times New Roman" w:hAnsi="Times New Roman" w:eastAsia="仿宋_GB2312" w:cs="Times New Roman"/>
          <w:bCs/>
          <w:kern w:val="0"/>
          <w:sz w:val="32"/>
          <w:szCs w:val="32"/>
          <w:lang w:eastAsia="zh-CN"/>
        </w:rPr>
        <w:t>；</w:t>
      </w:r>
    </w:p>
    <w:p w14:paraId="30FD99AC">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（十一）</w:t>
      </w:r>
      <w:r>
        <w:rPr>
          <w:rFonts w:hint="eastAsia" w:ascii="Times New Roman" w:hAnsi="Times New Roman" w:eastAsia="仿宋_GB2312" w:cs="Times New Roman"/>
          <w:bCs/>
          <w:kern w:val="0"/>
          <w:sz w:val="32"/>
          <w:szCs w:val="32"/>
        </w:rPr>
        <w:t>加强对污水主干管网维护单位的日常监管，督促指导维护单位建立应急预案，完善应急管理机制；</w:t>
      </w:r>
    </w:p>
    <w:p w14:paraId="533DF0C8">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（十二）</w:t>
      </w:r>
      <w:r>
        <w:rPr>
          <w:rFonts w:hint="eastAsia" w:ascii="Times New Roman" w:hAnsi="Times New Roman" w:eastAsia="仿宋_GB2312" w:cs="Times New Roman"/>
          <w:bCs/>
          <w:kern w:val="0"/>
          <w:sz w:val="32"/>
          <w:szCs w:val="32"/>
        </w:rPr>
        <w:t>有序推进太平溪污染问题整改工作；</w:t>
      </w:r>
    </w:p>
    <w:p w14:paraId="00433CCC">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（十三）</w:t>
      </w:r>
      <w:r>
        <w:rPr>
          <w:rFonts w:hint="eastAsia" w:ascii="Times New Roman" w:hAnsi="Times New Roman" w:eastAsia="仿宋_GB2312" w:cs="Times New Roman"/>
          <w:bCs/>
          <w:kern w:val="0"/>
          <w:sz w:val="32"/>
          <w:szCs w:val="32"/>
        </w:rPr>
        <w:t>宣传和贯彻执行国家、省有关建设工程招标投标的方针政策和法律、规章；</w:t>
      </w:r>
    </w:p>
    <w:p w14:paraId="348625C3">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（十四）</w:t>
      </w:r>
      <w:r>
        <w:rPr>
          <w:rFonts w:hint="eastAsia" w:ascii="Times New Roman" w:hAnsi="Times New Roman" w:eastAsia="仿宋_GB2312" w:cs="Times New Roman"/>
          <w:bCs/>
          <w:kern w:val="0"/>
          <w:sz w:val="32"/>
          <w:szCs w:val="32"/>
        </w:rPr>
        <w:t>承担对市住房城乡建设局指定区域范围内房屋建筑和市政工程招标投标活动实施监督管理的事务性工作；</w:t>
      </w:r>
    </w:p>
    <w:p w14:paraId="4A92AE66">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（十五）</w:t>
      </w:r>
      <w:r>
        <w:rPr>
          <w:rFonts w:hint="eastAsia" w:ascii="Times New Roman" w:hAnsi="Times New Roman" w:eastAsia="仿宋_GB2312" w:cs="Times New Roman"/>
          <w:bCs/>
          <w:kern w:val="0"/>
          <w:sz w:val="32"/>
          <w:szCs w:val="32"/>
        </w:rPr>
        <w:t>承担规范招标代理机构市场行为的事务性工作,负责招标代理机构的业务培训、不良行为的记录等工作；</w:t>
      </w:r>
    </w:p>
    <w:p w14:paraId="5BC79943">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（十六）</w:t>
      </w:r>
      <w:r>
        <w:rPr>
          <w:rFonts w:hint="eastAsia" w:ascii="Times New Roman" w:hAnsi="Times New Roman" w:eastAsia="仿宋_GB2312" w:cs="Times New Roman"/>
          <w:bCs/>
          <w:kern w:val="0"/>
          <w:sz w:val="32"/>
          <w:szCs w:val="32"/>
        </w:rPr>
        <w:t>承担招标投标活动中违法违规行为查处的事务性工作；</w:t>
      </w:r>
    </w:p>
    <w:p w14:paraId="17AE24EB">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（十七）</w:t>
      </w:r>
      <w:r>
        <w:rPr>
          <w:rFonts w:hint="eastAsia" w:ascii="Times New Roman" w:hAnsi="Times New Roman" w:eastAsia="仿宋_GB2312" w:cs="Times New Roman"/>
          <w:bCs/>
          <w:kern w:val="0"/>
          <w:sz w:val="32"/>
          <w:szCs w:val="32"/>
        </w:rPr>
        <w:t>承担评标专家履职情况检查的事务性工作；</w:t>
      </w:r>
    </w:p>
    <w:p w14:paraId="2ECEEE77">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（十八）</w:t>
      </w:r>
      <w:r>
        <w:rPr>
          <w:rFonts w:hint="eastAsia" w:ascii="Times New Roman" w:hAnsi="Times New Roman" w:eastAsia="仿宋_GB2312" w:cs="Times New Roman"/>
          <w:bCs/>
          <w:kern w:val="0"/>
          <w:sz w:val="32"/>
          <w:szCs w:val="32"/>
        </w:rPr>
        <w:t>协助处理招标投标活动的投诉举报工作；</w:t>
      </w:r>
    </w:p>
    <w:p w14:paraId="3BF45B6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（十九）</w:t>
      </w:r>
      <w:r>
        <w:rPr>
          <w:rFonts w:hint="eastAsia" w:ascii="Times New Roman" w:hAnsi="Times New Roman" w:eastAsia="仿宋_GB2312" w:cs="Times New Roman"/>
          <w:bCs/>
          <w:kern w:val="0"/>
          <w:sz w:val="32"/>
          <w:szCs w:val="32"/>
        </w:rPr>
        <w:t>负责对区县（市)建设工程招标投标工作的业务指导；</w:t>
      </w:r>
    </w:p>
    <w:p w14:paraId="6F6A4FD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35BFBEC">
      <w:pPr>
        <w:ind w:firstLine="640" w:firstLineChars="200"/>
        <w:jc w:val="left"/>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怀化市城乡建设</w:t>
      </w:r>
      <w:r>
        <w:rPr>
          <w:rFonts w:hint="eastAsia" w:ascii="Times New Roman" w:hAnsi="Times New Roman" w:eastAsia="仿宋_GB2312" w:cs="Times New Roman"/>
          <w:bCs/>
          <w:kern w:val="0"/>
          <w:sz w:val="32"/>
          <w:szCs w:val="32"/>
          <w:lang w:eastAsia="zh-CN"/>
        </w:rPr>
        <w:t>事务中心系财政全额拨款事业单位，属于</w:t>
      </w:r>
      <w:r>
        <w:rPr>
          <w:rFonts w:hint="eastAsia" w:ascii="Times New Roman" w:hAnsi="Times New Roman" w:eastAsia="仿宋_GB2312" w:cs="Times New Roman"/>
          <w:bCs/>
          <w:kern w:val="0"/>
          <w:sz w:val="32"/>
          <w:szCs w:val="32"/>
        </w:rPr>
        <w:t>怀化市住房和城乡建设局二级</w:t>
      </w:r>
      <w:r>
        <w:rPr>
          <w:rFonts w:hint="eastAsia" w:ascii="Times New Roman" w:hAnsi="Times New Roman" w:eastAsia="仿宋_GB2312" w:cs="Times New Roman"/>
          <w:bCs/>
          <w:kern w:val="0"/>
          <w:sz w:val="32"/>
          <w:szCs w:val="32"/>
          <w:lang w:eastAsia="zh-CN"/>
        </w:rPr>
        <w:t>机构</w:t>
      </w:r>
      <w:r>
        <w:rPr>
          <w:rFonts w:hint="eastAsia" w:ascii="Times New Roman" w:hAnsi="Times New Roman" w:eastAsia="仿宋_GB2312" w:cs="Times New Roman"/>
          <w:bCs/>
          <w:kern w:val="0"/>
          <w:sz w:val="32"/>
          <w:szCs w:val="32"/>
        </w:rPr>
        <w:t>，内设科室为：怀化市城乡建设</w:t>
      </w:r>
      <w:r>
        <w:rPr>
          <w:rFonts w:hint="eastAsia" w:ascii="Times New Roman" w:hAnsi="Times New Roman" w:eastAsia="仿宋_GB2312" w:cs="Times New Roman"/>
          <w:bCs/>
          <w:kern w:val="0"/>
          <w:sz w:val="32"/>
          <w:szCs w:val="32"/>
          <w:lang w:eastAsia="zh-CN"/>
        </w:rPr>
        <w:t>事务中心</w:t>
      </w:r>
      <w:r>
        <w:rPr>
          <w:rFonts w:hint="eastAsia" w:ascii="Times New Roman" w:hAnsi="Times New Roman" w:eastAsia="仿宋_GB2312" w:cs="Times New Roman"/>
          <w:bCs/>
          <w:kern w:val="0"/>
          <w:sz w:val="32"/>
          <w:szCs w:val="32"/>
        </w:rPr>
        <w:t>。</w:t>
      </w:r>
    </w:p>
    <w:p w14:paraId="5BB2974F">
      <w:pPr>
        <w:ind w:firstLine="640" w:firstLineChars="200"/>
        <w:jc w:val="lef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怀化市城乡建设</w:t>
      </w:r>
      <w:r>
        <w:rPr>
          <w:rFonts w:hint="eastAsia" w:ascii="Times New Roman" w:hAnsi="Times New Roman" w:eastAsia="仿宋_GB2312" w:cs="Times New Roman"/>
          <w:bCs/>
          <w:kern w:val="0"/>
          <w:sz w:val="32"/>
          <w:szCs w:val="32"/>
          <w:lang w:eastAsia="zh-CN"/>
        </w:rPr>
        <w:t>事务中心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怀化市城乡建设</w:t>
      </w:r>
      <w:r>
        <w:rPr>
          <w:rFonts w:hint="eastAsia" w:ascii="Times New Roman" w:hAnsi="Times New Roman" w:eastAsia="仿宋_GB2312" w:cs="Times New Roman"/>
          <w:bCs/>
          <w:kern w:val="0"/>
          <w:sz w:val="32"/>
          <w:szCs w:val="32"/>
          <w:lang w:eastAsia="zh-CN"/>
        </w:rPr>
        <w:t>事务中心</w:t>
      </w:r>
      <w:r>
        <w:rPr>
          <w:rFonts w:hint="eastAsia" w:ascii="Times New Roman" w:hAnsi="Times New Roman" w:eastAsia="仿宋_GB2312" w:cs="Times New Roman"/>
          <w:bCs/>
          <w:kern w:val="0"/>
          <w:sz w:val="32"/>
          <w:szCs w:val="32"/>
        </w:rPr>
        <w:t>单位本级。</w:t>
      </w:r>
    </w:p>
    <w:p w14:paraId="795F80E4">
      <w:pPr>
        <w:jc w:val="both"/>
        <w:rPr>
          <w:rFonts w:ascii="Times New Roman" w:hAnsi="Times New Roman" w:eastAsia="黑体" w:cs="Times New Roman"/>
          <w:sz w:val="28"/>
          <w:szCs w:val="28"/>
        </w:rPr>
      </w:pPr>
    </w:p>
    <w:p w14:paraId="4D09D16F">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2B828F3">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CE14C87">
      <w:pPr>
        <w:widowControl/>
        <w:spacing w:after="156" w:afterLines="50"/>
        <w:jc w:val="center"/>
        <w:textAlignment w:val="center"/>
        <w:rPr>
          <w:rFonts w:hint="eastAsia" w:ascii="Times New Roman" w:hAnsi="Times New Roman" w:eastAsia="黑体" w:cs="Times New Roman"/>
          <w:color w:val="000000"/>
          <w:kern w:val="0"/>
          <w:sz w:val="36"/>
          <w:szCs w:val="36"/>
          <w:lang w:eastAsia="zh-CN" w:bidi="ar"/>
        </w:rPr>
      </w:pPr>
    </w:p>
    <w:p w14:paraId="20498536">
      <w:pPr>
        <w:ind w:firstLine="640" w:firstLineChars="200"/>
        <w:jc w:val="left"/>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见附件</w:t>
      </w:r>
    </w:p>
    <w:p w14:paraId="58898BB8">
      <w:pPr>
        <w:widowControl/>
        <w:spacing w:after="156" w:afterLines="50"/>
        <w:jc w:val="center"/>
        <w:textAlignment w:val="center"/>
        <w:rPr>
          <w:rFonts w:hint="eastAsia" w:ascii="Times New Roman" w:hAnsi="Times New Roman" w:eastAsia="黑体" w:cs="Times New Roman"/>
          <w:color w:val="000000"/>
          <w:sz w:val="36"/>
          <w:szCs w:val="36"/>
          <w:lang w:eastAsia="zh-CN"/>
        </w:rPr>
      </w:pPr>
    </w:p>
    <w:p w14:paraId="6F27A22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p w14:paraId="4F1BF6B2">
      <w:pPr>
        <w:rPr>
          <w:rFonts w:ascii="Times New Roman" w:hAnsi="Times New Roman" w:eastAsia="华文中宋" w:cs="Times New Roman"/>
          <w:color w:val="000000"/>
          <w:sz w:val="32"/>
          <w:szCs w:val="32"/>
        </w:rPr>
      </w:pPr>
    </w:p>
    <w:p w14:paraId="1CF5CE8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C8F7558">
      <w:pPr>
        <w:autoSpaceDE w:val="0"/>
        <w:autoSpaceDN w:val="0"/>
        <w:adjustRightInd w:val="0"/>
        <w:ind w:left="315" w:leftChars="150"/>
        <w:jc w:val="left"/>
        <w:rPr>
          <w:rFonts w:ascii="Times New Roman" w:hAnsi="Times New Roman" w:eastAsia="宋体" w:cs="Times New Roman"/>
          <w:kern w:val="0"/>
          <w:sz w:val="24"/>
          <w:szCs w:val="24"/>
        </w:rPr>
      </w:pPr>
    </w:p>
    <w:p w14:paraId="36C7D739">
      <w:pPr>
        <w:autoSpaceDE w:val="0"/>
        <w:autoSpaceDN w:val="0"/>
        <w:adjustRightInd w:val="0"/>
        <w:ind w:left="315" w:leftChars="150"/>
        <w:jc w:val="left"/>
        <w:rPr>
          <w:rFonts w:ascii="Times New Roman" w:hAnsi="Times New Roman" w:eastAsia="宋体" w:cs="Times New Roman"/>
          <w:kern w:val="0"/>
          <w:sz w:val="24"/>
          <w:szCs w:val="24"/>
        </w:rPr>
      </w:pPr>
    </w:p>
    <w:p w14:paraId="06C3EDAA">
      <w:pPr>
        <w:autoSpaceDE w:val="0"/>
        <w:autoSpaceDN w:val="0"/>
        <w:adjustRightInd w:val="0"/>
        <w:ind w:left="315" w:leftChars="150"/>
        <w:jc w:val="left"/>
        <w:rPr>
          <w:rFonts w:ascii="Times New Roman" w:hAnsi="Times New Roman" w:eastAsia="宋体" w:cs="Times New Roman"/>
          <w:kern w:val="0"/>
          <w:sz w:val="24"/>
          <w:szCs w:val="24"/>
        </w:rPr>
      </w:pPr>
    </w:p>
    <w:p w14:paraId="7B260AF8">
      <w:pPr>
        <w:autoSpaceDE w:val="0"/>
        <w:autoSpaceDN w:val="0"/>
        <w:adjustRightInd w:val="0"/>
        <w:ind w:left="315" w:leftChars="150"/>
        <w:jc w:val="left"/>
        <w:rPr>
          <w:rFonts w:ascii="Times New Roman" w:hAnsi="Times New Roman" w:eastAsia="宋体" w:cs="Times New Roman"/>
          <w:kern w:val="0"/>
          <w:sz w:val="24"/>
          <w:szCs w:val="24"/>
        </w:rPr>
      </w:pPr>
    </w:p>
    <w:p w14:paraId="0AA121DE">
      <w:pPr>
        <w:autoSpaceDE w:val="0"/>
        <w:autoSpaceDN w:val="0"/>
        <w:adjustRightInd w:val="0"/>
        <w:ind w:left="315" w:leftChars="150"/>
        <w:jc w:val="left"/>
        <w:rPr>
          <w:rFonts w:ascii="Times New Roman" w:hAnsi="Times New Roman" w:eastAsia="宋体" w:cs="Times New Roman"/>
          <w:kern w:val="0"/>
          <w:sz w:val="24"/>
          <w:szCs w:val="24"/>
        </w:rPr>
      </w:pPr>
    </w:p>
    <w:p w14:paraId="1EA6CD3C">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67177E69">
      <w:pPr>
        <w:pStyle w:val="16"/>
        <w:rPr>
          <w:rFonts w:ascii="Times New Roman" w:hAnsi="Times New Roman" w:cs="Times New Roman"/>
          <w:sz w:val="72"/>
          <w:szCs w:val="72"/>
        </w:rPr>
      </w:pPr>
    </w:p>
    <w:p w14:paraId="3C578861">
      <w:pPr>
        <w:pStyle w:val="16"/>
        <w:rPr>
          <w:rFonts w:ascii="Times New Roman" w:hAnsi="Times New Roman" w:cs="Times New Roman"/>
          <w:sz w:val="72"/>
          <w:szCs w:val="72"/>
        </w:rPr>
      </w:pPr>
    </w:p>
    <w:p w14:paraId="74220370">
      <w:pPr>
        <w:pStyle w:val="16"/>
        <w:rPr>
          <w:rFonts w:ascii="Times New Roman" w:hAnsi="Times New Roman" w:cs="Times New Roman"/>
          <w:sz w:val="72"/>
          <w:szCs w:val="72"/>
        </w:rPr>
      </w:pPr>
    </w:p>
    <w:p w14:paraId="22909BEE">
      <w:pPr>
        <w:pStyle w:val="16"/>
        <w:jc w:val="center"/>
        <w:rPr>
          <w:rFonts w:ascii="Times New Roman" w:hAnsi="Times New Roman" w:cs="Times New Roman"/>
          <w:sz w:val="72"/>
          <w:szCs w:val="72"/>
        </w:rPr>
      </w:pPr>
    </w:p>
    <w:p w14:paraId="588C6AD5">
      <w:pPr>
        <w:pStyle w:val="16"/>
        <w:jc w:val="center"/>
        <w:rPr>
          <w:rFonts w:ascii="Times New Roman" w:hAnsi="Times New Roman" w:eastAsia="方正小标宋_GBK" w:cs="Times New Roman"/>
          <w:sz w:val="72"/>
          <w:szCs w:val="72"/>
        </w:rPr>
      </w:pPr>
    </w:p>
    <w:p w14:paraId="1262E21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3B2103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807ACA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0E44F8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5D02D9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3258.29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1788.5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121.68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增加了基建项目资金</w:t>
      </w:r>
      <w:r>
        <w:rPr>
          <w:rFonts w:hint="eastAsia" w:ascii="Times New Roman" w:hAnsi="Times New Roman" w:eastAsia="仿宋_GB2312" w:cs="Times New Roman"/>
          <w:sz w:val="32"/>
          <w:szCs w:val="32"/>
          <w:lang w:eastAsia="zh-CN"/>
        </w:rPr>
        <w:t>。</w:t>
      </w:r>
    </w:p>
    <w:p w14:paraId="746A893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26C5C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3258.29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3258.29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39B03B7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7696BF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3258.29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673.56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20.67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2584.73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79.33</w:t>
      </w:r>
      <w:r>
        <w:rPr>
          <w:rFonts w:ascii="Times New Roman" w:hAnsi="Times New Roman" w:eastAsia="仿宋_GB2312" w:cs="Times New Roman"/>
          <w:sz w:val="32"/>
          <w:szCs w:val="32"/>
        </w:rPr>
        <w:t>%。</w:t>
      </w:r>
    </w:p>
    <w:p w14:paraId="6E3BC45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AA889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3258.29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1788.5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121.68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增加了基建项目资金</w:t>
      </w:r>
      <w:r>
        <w:rPr>
          <w:rFonts w:hint="eastAsia" w:ascii="Times New Roman" w:hAnsi="Times New Roman" w:eastAsia="仿宋_GB2312" w:cs="Times New Roman"/>
          <w:sz w:val="32"/>
          <w:szCs w:val="32"/>
          <w:lang w:eastAsia="zh-CN"/>
        </w:rPr>
        <w:t>。</w:t>
      </w:r>
    </w:p>
    <w:p w14:paraId="45E6AE2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3CE7DE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0137EAE">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3173.29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97.39</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2274.13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252.92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增加了基建项目资金</w:t>
      </w:r>
      <w:r>
        <w:rPr>
          <w:rFonts w:hint="eastAsia" w:ascii="Times New Roman" w:hAnsi="Times New Roman" w:eastAsia="仿宋_GB2312" w:cs="Times New Roman"/>
          <w:sz w:val="32"/>
          <w:szCs w:val="32"/>
          <w:lang w:eastAsia="zh-CN"/>
        </w:rPr>
        <w:t>。</w:t>
      </w:r>
    </w:p>
    <w:p w14:paraId="6AD9501D">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E9B526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3173.29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30.4万元，占0.96%；</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84.58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881.82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；交通运输支出（类）</w:t>
      </w:r>
      <w:r>
        <w:rPr>
          <w:rFonts w:hint="eastAsia" w:ascii="Times New Roman" w:hAnsi="Times New Roman" w:eastAsia="仿宋_GB2312" w:cs="Times New Roman"/>
          <w:sz w:val="32"/>
          <w:szCs w:val="32"/>
          <w:lang w:val="en-US" w:eastAsia="zh-CN"/>
        </w:rPr>
        <w:t>2170.2万元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68.39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157AC4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8B5003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1954.86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3173.29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162.33</w:t>
      </w:r>
      <w:r>
        <w:rPr>
          <w:rFonts w:ascii="Times New Roman" w:hAnsi="Times New Roman" w:eastAsia="仿宋_GB2312" w:cs="Times New Roman"/>
          <w:sz w:val="32"/>
          <w:szCs w:val="32"/>
        </w:rPr>
        <w:t>%，其中：</w:t>
      </w:r>
    </w:p>
    <w:p w14:paraId="61C6E9BB">
      <w:pPr>
        <w:pStyle w:val="16"/>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一般公共服务支出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3D01139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30.4</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3CF1EF6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335C023E">
      <w:pPr>
        <w:pStyle w:val="16"/>
        <w:numPr>
          <w:ilvl w:val="0"/>
          <w:numId w:val="0"/>
        </w:numPr>
        <w:overflowPunct w:val="0"/>
        <w:autoSpaceDE/>
        <w:autoSpaceDN/>
        <w:spacing w:line="600" w:lineRule="exact"/>
        <w:ind w:firstLine="64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我单位严格按照预算支出。</w:t>
      </w:r>
    </w:p>
    <w:p w14:paraId="652A0B5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6983B4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100.28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年中调整预算。</w:t>
      </w:r>
    </w:p>
    <w:p w14:paraId="53EE533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2803527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hint="eastAsia" w:ascii="Times New Roman" w:hAnsi="Times New Roman" w:eastAsia="仿宋_GB2312" w:cs="Times New Roman"/>
          <w:sz w:val="32"/>
          <w:szCs w:val="32"/>
          <w:lang w:eastAsia="zh-CN"/>
        </w:rPr>
        <w:t>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我单位严格按照预算支出。</w:t>
      </w:r>
    </w:p>
    <w:p w14:paraId="1DCAFB2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6AE9BE0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6B1B6FE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C1D0CC3">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552.24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591.24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107.06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年中调整预算。</w:t>
      </w:r>
    </w:p>
    <w:p w14:paraId="2ABEFA7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（项）。</w:t>
      </w:r>
    </w:p>
    <w:p w14:paraId="5F265C77">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red"/>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6.37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项目资金因故未及时结算。</w:t>
      </w:r>
    </w:p>
    <w:p w14:paraId="02642F2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（项）。</w:t>
      </w:r>
    </w:p>
    <w:p w14:paraId="3002CB4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159.84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266.4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年中调整预算。</w:t>
      </w:r>
    </w:p>
    <w:p w14:paraId="7D0FC03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公路建设</w:t>
      </w:r>
      <w:r>
        <w:rPr>
          <w:rFonts w:ascii="Times New Roman" w:hAnsi="Times New Roman" w:eastAsia="仿宋_GB2312" w:cs="Times New Roman"/>
          <w:sz w:val="32"/>
          <w:szCs w:val="32"/>
        </w:rPr>
        <w:t>（项）。</w:t>
      </w:r>
    </w:p>
    <w:p w14:paraId="7C2B7CB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2170.2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28963DA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41C17FD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0BD1945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2448E6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673.55</w:t>
      </w:r>
      <w:r>
        <w:rPr>
          <w:rFonts w:ascii="Times New Roman" w:hAnsi="Times New Roman" w:eastAsia="仿宋_GB2312" w:cs="Times New Roman"/>
          <w:sz w:val="32"/>
          <w:szCs w:val="32"/>
        </w:rPr>
        <w:t>万元，其中：</w:t>
      </w:r>
    </w:p>
    <w:p w14:paraId="6EE6FB4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622.76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92.46</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w:t>
      </w:r>
      <w:r>
        <w:rPr>
          <w:rFonts w:hint="eastAsia" w:ascii="Times New Roman" w:hAnsi="Times New Roman" w:eastAsia="仿宋_GB2312" w:cs="Times New Roman"/>
          <w:sz w:val="32"/>
          <w:szCs w:val="32"/>
          <w:lang w:val="en-US" w:eastAsia="zh-CN"/>
        </w:rPr>
        <w:t>抚恤金、</w:t>
      </w:r>
      <w:r>
        <w:rPr>
          <w:rFonts w:hint="eastAsia" w:ascii="Times New Roman" w:hAnsi="Times New Roman" w:eastAsia="仿宋_GB2312" w:cs="Times New Roman"/>
          <w:sz w:val="32"/>
          <w:szCs w:val="32"/>
          <w:lang w:eastAsia="zh-CN"/>
        </w:rPr>
        <w:t>生活补助、</w:t>
      </w:r>
      <w:r>
        <w:rPr>
          <w:rFonts w:hint="eastAsia" w:ascii="Times New Roman" w:hAnsi="Times New Roman" w:eastAsia="仿宋_GB2312" w:cs="Times New Roman"/>
          <w:sz w:val="32"/>
          <w:szCs w:val="32"/>
          <w:lang w:val="en-US" w:eastAsia="zh-CN"/>
        </w:rPr>
        <w:t>奖励金</w:t>
      </w:r>
      <w:r>
        <w:rPr>
          <w:rFonts w:ascii="Times New Roman" w:hAnsi="Times New Roman" w:eastAsia="仿宋_GB2312" w:cs="Times New Roman"/>
          <w:sz w:val="32"/>
          <w:szCs w:val="32"/>
        </w:rPr>
        <w:t>。</w:t>
      </w:r>
    </w:p>
    <w:p w14:paraId="3F8BFBC1">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50.79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7.54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邮电费、</w:t>
      </w:r>
      <w:r>
        <w:rPr>
          <w:rFonts w:hint="eastAsia" w:ascii="Times New Roman" w:hAnsi="Times New Roman" w:eastAsia="仿宋_GB2312" w:cs="Times New Roman"/>
          <w:sz w:val="32"/>
          <w:szCs w:val="32"/>
          <w:lang w:val="en-US" w:eastAsia="zh-CN"/>
        </w:rPr>
        <w:t>差旅费、</w:t>
      </w:r>
      <w:r>
        <w:rPr>
          <w:rFonts w:hint="eastAsia" w:ascii="Times New Roman" w:hAnsi="Times New Roman" w:eastAsia="仿宋_GB2312" w:cs="Times New Roman"/>
          <w:sz w:val="32"/>
          <w:szCs w:val="32"/>
          <w:lang w:eastAsia="zh-CN"/>
        </w:rPr>
        <w:t>工会经费、福利费、公务用车运行维护费、其他商品和服务支出</w:t>
      </w:r>
      <w:r>
        <w:rPr>
          <w:rFonts w:ascii="Times New Roman" w:hAnsi="Times New Roman" w:eastAsia="仿宋_GB2312" w:cs="Times New Roman"/>
          <w:sz w:val="32"/>
          <w:szCs w:val="32"/>
        </w:rPr>
        <w:t>。</w:t>
      </w:r>
    </w:p>
    <w:p w14:paraId="10588052">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6675DE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F2B53B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减少1.04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降低51.23%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我单位严格遵守“三公”经费管理制度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厉行节约</w:t>
      </w:r>
      <w:r>
        <w:rPr>
          <w:rFonts w:hint="eastAsia" w:ascii="Times New Roman" w:hAnsi="Times New Roman" w:eastAsia="仿宋_GB2312" w:cs="Times New Roman"/>
          <w:sz w:val="32"/>
          <w:szCs w:val="32"/>
          <w:lang w:eastAsia="zh-CN"/>
        </w:rPr>
        <w:t>。</w:t>
      </w:r>
    </w:p>
    <w:p w14:paraId="364C7C3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41A09C1">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8F93BD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减少1.04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降低51.23%；</w:t>
      </w:r>
      <w:r>
        <w:rPr>
          <w:rFonts w:ascii="Times New Roman" w:hAnsi="Times New Roman" w:eastAsia="仿宋_GB2312" w:cs="Times New Roman"/>
          <w:sz w:val="32"/>
          <w:szCs w:val="32"/>
        </w:rPr>
        <w:t>其中：</w:t>
      </w:r>
    </w:p>
    <w:p w14:paraId="1878B05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w:t>
      </w:r>
    </w:p>
    <w:p w14:paraId="072F5A4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车辆油料费、车辆维修费、车辆保险费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减少1.04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降低51.23%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val="en-US" w:eastAsia="zh-CN"/>
        </w:rPr>
        <w:t>公车老化，维修费用增加，</w:t>
      </w:r>
      <w:r>
        <w:rPr>
          <w:rFonts w:hint="eastAsia" w:ascii="Times New Roman" w:hAnsi="Times New Roman" w:eastAsia="仿宋_GB2312" w:cs="Times New Roman"/>
          <w:sz w:val="32"/>
          <w:szCs w:val="32"/>
          <w:lang w:eastAsia="zh-CN"/>
        </w:rPr>
        <w:t>年中调整预算</w:t>
      </w:r>
      <w:r>
        <w:rPr>
          <w:rFonts w:hint="eastAsia" w:ascii="Times New Roman" w:hAnsi="Times New Roman" w:eastAsia="仿宋_GB2312" w:cs="Times New Roman"/>
          <w:sz w:val="32"/>
          <w:szCs w:val="32"/>
          <w:lang w:val="en-US" w:eastAsia="zh-CN"/>
        </w:rPr>
        <w:t>将公务接待费调整至公务用车运行维护费</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7AFE74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我单位严格遵守“三公”经费管理制度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我单位本年无公务接待</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FDDF47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C382C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6F3B8E9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6301F25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1C6FC9DF">
      <w:pPr>
        <w:pStyle w:val="16"/>
        <w:numPr>
          <w:ilvl w:val="0"/>
          <w:numId w:val="2"/>
        </w:numPr>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rPr>
        <w:t>国有资本经营预算财政拨款支出决算情况</w:t>
      </w:r>
    </w:p>
    <w:p w14:paraId="4385DAD6">
      <w:pPr>
        <w:pStyle w:val="16"/>
        <w:keepNext w:val="0"/>
        <w:keepLines w:val="0"/>
        <w:pageBreakBefore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cs="Times New Roman"/>
          <w:bCs/>
          <w:sz w:val="32"/>
          <w:szCs w:val="32"/>
          <w:lang w:val="en-US" w:eastAsia="zh-CN"/>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w:t>
      </w:r>
      <w:r>
        <w:rPr>
          <w:rFonts w:hint="eastAsia" w:ascii="Times New Roman" w:hAnsi="Times New Roman" w:eastAsia="仿宋_GB2312" w:cs="Times New Roman"/>
          <w:sz w:val="32"/>
          <w:szCs w:val="32"/>
        </w:rPr>
        <w:t>本单位无国有资本经营预算财政拨款支出。</w:t>
      </w:r>
    </w:p>
    <w:p w14:paraId="1CF97D4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4C9D81F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，本单位为非参公事业单位，无机关运行经费支出</w:t>
      </w:r>
      <w:r>
        <w:rPr>
          <w:rFonts w:ascii="Times New Roman" w:hAnsi="Times New Roman" w:eastAsia="仿宋_GB2312" w:cs="Times New Roman"/>
          <w:sz w:val="32"/>
          <w:szCs w:val="32"/>
        </w:rPr>
        <w:t>。</w:t>
      </w:r>
    </w:p>
    <w:p w14:paraId="221D6FB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6AE5825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万元；开支培训费</w:t>
      </w:r>
      <w:r>
        <w:rPr>
          <w:rFonts w:hint="eastAsia" w:ascii="Times New Roman" w:hAnsi="Times New Roman" w:eastAsia="仿宋_GB2312" w:cs="Times New Roman"/>
          <w:sz w:val="32"/>
          <w:szCs w:val="32"/>
          <w:highlight w:val="none"/>
          <w:lang w:val="en-US" w:eastAsia="zh-CN"/>
        </w:rPr>
        <w:t>0.99</w:t>
      </w:r>
      <w:r>
        <w:rPr>
          <w:rFonts w:ascii="Times New Roman" w:hAnsi="Times New Roman" w:eastAsia="仿宋_GB2312" w:cs="Times New Roman"/>
          <w:sz w:val="32"/>
          <w:szCs w:val="32"/>
          <w:highlight w:val="none"/>
        </w:rPr>
        <w:t>万元，用于</w:t>
      </w:r>
      <w:r>
        <w:rPr>
          <w:rFonts w:hint="eastAsia" w:ascii="Times New Roman" w:hAnsi="Times New Roman" w:eastAsia="仿宋_GB2312" w:cs="Times New Roman"/>
          <w:sz w:val="32"/>
          <w:szCs w:val="32"/>
          <w:highlight w:val="none"/>
        </w:rPr>
        <w:t>我</w:t>
      </w:r>
      <w:r>
        <w:rPr>
          <w:rFonts w:hint="eastAsia" w:ascii="Times New Roman" w:hAnsi="Times New Roman" w:eastAsia="仿宋_GB2312" w:cs="Times New Roman"/>
          <w:sz w:val="32"/>
          <w:szCs w:val="32"/>
          <w:highlight w:val="none"/>
          <w:lang w:val="en-US" w:eastAsia="zh-CN"/>
        </w:rPr>
        <w:t>中心组织开展工程清单计价标准</w:t>
      </w:r>
      <w:r>
        <w:rPr>
          <w:rFonts w:hint="eastAsia" w:ascii="Times New Roman" w:hAnsi="Times New Roman" w:eastAsia="仿宋_GB2312" w:cs="Times New Roman"/>
          <w:sz w:val="32"/>
          <w:szCs w:val="32"/>
          <w:highlight w:val="none"/>
        </w:rPr>
        <w:t>培训</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未</w:t>
      </w:r>
      <w:r>
        <w:rPr>
          <w:rFonts w:ascii="Times New Roman" w:hAnsi="Times New Roman" w:eastAsia="仿宋_GB2312" w:cs="Times New Roman"/>
          <w:sz w:val="32"/>
          <w:szCs w:val="32"/>
          <w:highlight w:val="none"/>
        </w:rPr>
        <w:t>举办节庆、晚会、论坛、赛事活动，开支</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14:paraId="25DC60BF">
      <w:pPr>
        <w:pStyle w:val="16"/>
        <w:overflowPunct w:val="0"/>
        <w:autoSpaceDE/>
        <w:autoSpaceDN/>
        <w:spacing w:line="600" w:lineRule="exact"/>
        <w:ind w:firstLine="640" w:firstLineChars="200"/>
        <w:jc w:val="both"/>
        <w:rPr>
          <w:rFonts w:ascii="Times New Roman" w:hAnsi="Times New Roman" w:cs="Times New Roman"/>
          <w:bCs/>
          <w:sz w:val="32"/>
          <w:szCs w:val="32"/>
          <w:highlight w:val="yellow"/>
        </w:rPr>
      </w:pPr>
      <w:r>
        <w:rPr>
          <w:rFonts w:ascii="Times New Roman" w:hAnsi="Times New Roman" w:cs="Times New Roman"/>
          <w:bCs/>
          <w:sz w:val="32"/>
          <w:szCs w:val="32"/>
          <w:highlight w:val="none"/>
        </w:rPr>
        <w:t>十</w:t>
      </w:r>
      <w:r>
        <w:rPr>
          <w:rFonts w:hint="eastAsia" w:ascii="Times New Roman" w:hAnsi="Times New Roman" w:cs="Times New Roman"/>
          <w:bCs/>
          <w:sz w:val="32"/>
          <w:szCs w:val="32"/>
          <w:highlight w:val="none"/>
          <w:lang w:eastAsia="zh-CN"/>
        </w:rPr>
        <w:t>二</w:t>
      </w:r>
      <w:r>
        <w:rPr>
          <w:rFonts w:ascii="Times New Roman" w:hAnsi="Times New Roman" w:cs="Times New Roman"/>
          <w:bCs/>
          <w:sz w:val="32"/>
          <w:szCs w:val="32"/>
          <w:highlight w:val="none"/>
        </w:rPr>
        <w:t>、关于政府采购支出说明</w:t>
      </w:r>
    </w:p>
    <w:p w14:paraId="1A1AB98E">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highlight w:val="yellow"/>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130</w:t>
      </w:r>
      <w:r>
        <w:rPr>
          <w:rFonts w:ascii="Times New Roman" w:hAnsi="Times New Roman" w:eastAsia="仿宋_GB2312" w:cs="Times New Roman"/>
          <w:sz w:val="32"/>
          <w:szCs w:val="32"/>
          <w:highlight w:val="none"/>
        </w:rPr>
        <w:t>万元，其中</w:t>
      </w:r>
      <w:r>
        <w:rPr>
          <w:rFonts w:ascii="Times New Roman" w:hAnsi="Times New Roman" w:eastAsia="仿宋_GB2312" w:cs="Times New Roman"/>
          <w:sz w:val="32"/>
          <w:szCs w:val="32"/>
        </w:rPr>
        <w:t>：政府采购货物支出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highlight w:val="none"/>
          <w:lang w:val="en-US" w:eastAsia="zh-CN"/>
        </w:rPr>
        <w:t>643.59</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highlight w:val="none"/>
          <w:lang w:val="en-US" w:eastAsia="zh-CN"/>
        </w:rPr>
        <w:t>130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highlight w:val="none"/>
          <w:lang w:val="en-US" w:eastAsia="zh-CN"/>
        </w:rPr>
        <w:t>130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552E1F5C">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417B2B01">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其他用车主要是</w:t>
      </w:r>
      <w:r>
        <w:rPr>
          <w:rFonts w:hint="eastAsia" w:ascii="Times New Roman" w:hAnsi="Times New Roman" w:eastAsia="仿宋_GB2312" w:cs="Times New Roman"/>
          <w:color w:val="auto"/>
          <w:sz w:val="32"/>
          <w:szCs w:val="32"/>
          <w:lang w:eastAsia="zh-CN"/>
        </w:rPr>
        <w:t>单位公务用车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F0A7F8F">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0778767">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2584.73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2499.73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78.77</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85</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79BA89AE">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5ADDFDF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3323.2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3258.29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98.05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default" w:ascii="Times New Roman Regular" w:hAnsi="Times New Roman Regular" w:eastAsia="仿宋_GB2312" w:cs="Times New Roman Regular"/>
          <w:color w:val="auto"/>
          <w:sz w:val="32"/>
          <w:szCs w:val="32"/>
          <w:highlight w:val="none"/>
          <w:lang w:val="en-US" w:eastAsia="zh-CN"/>
        </w:rPr>
        <w:t>9</w:t>
      </w:r>
      <w:r>
        <w:rPr>
          <w:rFonts w:hint="eastAsia" w:ascii="Times New Roman Regular" w:hAnsi="Times New Roman Regular" w:eastAsia="仿宋_GB2312" w:cs="Times New Roman Regular"/>
          <w:color w:val="auto"/>
          <w:sz w:val="32"/>
          <w:szCs w:val="32"/>
          <w:highlight w:val="none"/>
          <w:lang w:val="en-US" w:eastAsia="zh-CN"/>
        </w:rPr>
        <w:t>3.31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p>
    <w:p w14:paraId="3DB26034">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p>
    <w:p w14:paraId="60B936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经济性分析</w:t>
      </w:r>
    </w:p>
    <w:p w14:paraId="4544597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（1）预算配置控制较好。202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年度财政供养人员控制在预算编制以内，编制内在职人员控制率</w:t>
      </w:r>
      <w:r>
        <w:rPr>
          <w:rFonts w:hint="eastAsia" w:ascii="Times New Roman Regular" w:hAnsi="Times New Roman Regular" w:eastAsia="仿宋_GB2312" w:cs="Times New Roman Regular"/>
          <w:color w:val="auto"/>
          <w:sz w:val="32"/>
          <w:szCs w:val="32"/>
          <w:highlight w:val="none"/>
          <w:lang w:val="en-US" w:eastAsia="zh-CN"/>
        </w:rPr>
        <w:t>100</w:t>
      </w:r>
      <w:r>
        <w:rPr>
          <w:rFonts w:hint="default" w:ascii="Times New Roman Regular" w:hAnsi="Times New Roman Regular" w:eastAsia="仿宋_GB2312" w:cs="Times New Roman Regular"/>
          <w:color w:val="auto"/>
          <w:sz w:val="32"/>
          <w:szCs w:val="32"/>
          <w:highlight w:val="none"/>
          <w:lang w:val="en-US" w:eastAsia="zh-CN"/>
        </w:rPr>
        <w:t>%，未超过控制标准。</w:t>
      </w:r>
    </w:p>
    <w:p w14:paraId="7F64F1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（2）预算执行与管理。202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年财政决算收入</w:t>
      </w:r>
      <w:r>
        <w:rPr>
          <w:rFonts w:hint="eastAsia" w:ascii="Times New Roman Regular" w:hAnsi="Times New Roman Regular" w:eastAsia="仿宋_GB2312" w:cs="Times New Roman Regular"/>
          <w:color w:val="auto"/>
          <w:sz w:val="32"/>
          <w:szCs w:val="32"/>
          <w:highlight w:val="none"/>
          <w:lang w:val="en-US" w:eastAsia="zh-CN"/>
        </w:rPr>
        <w:t>3258.29</w:t>
      </w:r>
      <w:r>
        <w:rPr>
          <w:rFonts w:hint="default" w:ascii="Times New Roman Regular" w:hAnsi="Times New Roman Regular" w:eastAsia="仿宋_GB2312" w:cs="Times New Roman Regular"/>
          <w:color w:val="auto"/>
          <w:sz w:val="32"/>
          <w:szCs w:val="32"/>
          <w:highlight w:val="none"/>
          <w:lang w:val="en-US" w:eastAsia="zh-CN"/>
        </w:rPr>
        <w:t>万元，其中一般公共预算财政拨款收入</w:t>
      </w:r>
      <w:r>
        <w:rPr>
          <w:rFonts w:hint="eastAsia" w:ascii="Times New Roman Regular" w:hAnsi="Times New Roman Regular" w:eastAsia="仿宋_GB2312" w:cs="Times New Roman Regular"/>
          <w:color w:val="auto"/>
          <w:sz w:val="32"/>
          <w:szCs w:val="32"/>
          <w:highlight w:val="none"/>
          <w:lang w:val="en-US" w:eastAsia="zh-CN"/>
        </w:rPr>
        <w:t>3173.29</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政府性基金预算财政拨款收入85万元，</w:t>
      </w:r>
      <w:r>
        <w:rPr>
          <w:rFonts w:hint="default" w:ascii="Times New Roman Regular" w:hAnsi="Times New Roman Regular" w:eastAsia="仿宋_GB2312" w:cs="Times New Roman Regular"/>
          <w:color w:val="auto"/>
          <w:sz w:val="32"/>
          <w:szCs w:val="32"/>
          <w:highlight w:val="none"/>
          <w:lang w:val="en-US" w:eastAsia="zh-CN"/>
        </w:rPr>
        <w:t>上年结转0.00万元；决算支出为</w:t>
      </w:r>
      <w:r>
        <w:rPr>
          <w:rFonts w:hint="eastAsia" w:ascii="Times New Roman Regular" w:hAnsi="Times New Roman Regular" w:eastAsia="仿宋_GB2312" w:cs="Times New Roman Regular"/>
          <w:color w:val="auto"/>
          <w:sz w:val="32"/>
          <w:szCs w:val="32"/>
          <w:highlight w:val="none"/>
          <w:lang w:val="en-US" w:eastAsia="zh-CN"/>
        </w:rPr>
        <w:t>3258.29</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673.55</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2584.73</w:t>
      </w:r>
      <w:r>
        <w:rPr>
          <w:rFonts w:hint="default" w:ascii="Times New Roman Regular" w:hAnsi="Times New Roman Regular" w:eastAsia="仿宋_GB2312" w:cs="Times New Roman Regular"/>
          <w:color w:val="auto"/>
          <w:sz w:val="32"/>
          <w:szCs w:val="32"/>
          <w:highlight w:val="none"/>
          <w:lang w:val="en-US" w:eastAsia="zh-CN"/>
        </w:rPr>
        <w:t>万元， “三公经费”等相关支出均未超过控制标准。</w:t>
      </w:r>
    </w:p>
    <w:p w14:paraId="5961C98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 2.有效性和效率性分析。通过对202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年全年工作进行梳理和总结，我单位202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年主要产出和效益如下：</w:t>
      </w:r>
    </w:p>
    <w:p w14:paraId="5122CF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eastAsia" w:ascii="方正仿宋_GB18030" w:hAnsi="方正仿宋_GB18030" w:eastAsia="方正仿宋_GB18030" w:cs="方正仿宋_GB18030"/>
          <w:b/>
          <w:bCs/>
          <w:sz w:val="32"/>
          <w:szCs w:val="32"/>
        </w:rPr>
        <w:t>聚焦主责主业，工程造价管理服务精准高效</w:t>
      </w:r>
      <w:r>
        <w:rPr>
          <w:rFonts w:hint="eastAsia" w:ascii="方正仿宋_GB18030" w:hAnsi="方正仿宋_GB18030" w:eastAsia="方正仿宋_GB18030" w:cs="方正仿宋_GB18030"/>
          <w:b/>
          <w:bCs/>
          <w:sz w:val="32"/>
          <w:szCs w:val="32"/>
          <w:lang w:eastAsia="zh-CN"/>
        </w:rPr>
        <w:t>。</w:t>
      </w:r>
      <w:r>
        <w:rPr>
          <w:rFonts w:hint="eastAsia" w:ascii="方正仿宋_GB18030" w:hAnsi="方正仿宋_GB18030" w:eastAsia="方正仿宋_GB18030" w:cs="方正仿宋_GB18030"/>
          <w:sz w:val="32"/>
          <w:szCs w:val="32"/>
        </w:rPr>
        <w:t>中心坚持以提升工程造价管理水平为核心，充分发挥技术支撑作用。</w:t>
      </w:r>
      <w:r>
        <w:rPr>
          <w:rFonts w:hint="eastAsia" w:ascii="方正仿宋_GB18030" w:hAnsi="方正仿宋_GB18030" w:eastAsia="方正仿宋_GB18030" w:cs="方正仿宋_GB18030"/>
          <w:b/>
          <w:bCs/>
          <w:sz w:val="32"/>
          <w:szCs w:val="32"/>
        </w:rPr>
        <w:t>一是</w:t>
      </w:r>
      <w:r>
        <w:rPr>
          <w:rFonts w:hint="eastAsia" w:ascii="方正仿宋_GB18030" w:hAnsi="方正仿宋_GB18030" w:eastAsia="方正仿宋_GB18030" w:cs="方正仿宋_GB18030"/>
          <w:sz w:val="32"/>
          <w:szCs w:val="32"/>
        </w:rPr>
        <w:t>强化计价依据宣贯，成功举办2024版《建设工程工程量清单计价标准》全市宣贯培训，覆盖相关单位及企业人员220余人，有效推动新标准落地。</w:t>
      </w:r>
      <w:r>
        <w:rPr>
          <w:rFonts w:hint="eastAsia" w:ascii="方正仿宋_GB18030" w:hAnsi="方正仿宋_GB18030" w:eastAsia="方正仿宋_GB18030" w:cs="方正仿宋_GB18030"/>
          <w:b/>
          <w:bCs/>
          <w:sz w:val="32"/>
          <w:szCs w:val="32"/>
        </w:rPr>
        <w:t>二是</w:t>
      </w:r>
      <w:r>
        <w:rPr>
          <w:rFonts w:hint="eastAsia" w:ascii="方正仿宋_GB18030" w:hAnsi="方正仿宋_GB18030" w:eastAsia="方正仿宋_GB18030" w:cs="方正仿宋_GB18030"/>
          <w:sz w:val="32"/>
          <w:szCs w:val="32"/>
        </w:rPr>
        <w:t>完善计价依据体系，积极参与省、市多项计价依据文件的意见征集与反馈，完成多项费用测算及典型案例上报，为政策制定提供坚实基础。</w:t>
      </w:r>
      <w:r>
        <w:rPr>
          <w:rFonts w:hint="eastAsia" w:ascii="方正仿宋_GB18030" w:hAnsi="方正仿宋_GB18030" w:eastAsia="方正仿宋_GB18030" w:cs="方正仿宋_GB18030"/>
          <w:b/>
          <w:bCs/>
          <w:sz w:val="32"/>
          <w:szCs w:val="32"/>
        </w:rPr>
        <w:t>三是</w:t>
      </w:r>
      <w:r>
        <w:rPr>
          <w:rFonts w:hint="eastAsia" w:ascii="方正仿宋_GB18030" w:hAnsi="方正仿宋_GB18030" w:eastAsia="方正仿宋_GB18030" w:cs="方正仿宋_GB18030"/>
          <w:sz w:val="32"/>
          <w:szCs w:val="32"/>
        </w:rPr>
        <w:t>优化咨询服务，全年处理造价纠纷协调、电话及口头答疑50余次，召开现场协调会8次，保障了建设市场各方合法权益。</w:t>
      </w:r>
      <w:r>
        <w:rPr>
          <w:rFonts w:hint="eastAsia" w:ascii="方正仿宋_GB18030" w:hAnsi="方正仿宋_GB18030" w:eastAsia="方正仿宋_GB18030" w:cs="方正仿宋_GB18030"/>
          <w:b/>
          <w:bCs/>
          <w:sz w:val="32"/>
          <w:szCs w:val="32"/>
        </w:rPr>
        <w:t>四是</w:t>
      </w:r>
      <w:r>
        <w:rPr>
          <w:rFonts w:hint="eastAsia" w:ascii="方正仿宋_GB18030" w:hAnsi="方正仿宋_GB18030" w:eastAsia="方正仿宋_GB18030" w:cs="方正仿宋_GB18030"/>
          <w:sz w:val="32"/>
          <w:szCs w:val="32"/>
        </w:rPr>
        <w:t>提升信息服务质量，加强建材价格监测预警，上报主材监测表23次，发布10期材料价格信息及5期《怀化市工程造价》；拓展信息发布范围，推进装配式建筑、绿色建材等创新材料价格信息发布；完成园林绿化苗木花卉、房地产开发项目建安经济指标等测算上报工作，服务建筑市场决策。</w:t>
      </w:r>
    </w:p>
    <w:p w14:paraId="2BC680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eastAsia" w:ascii="方正仿宋_GB18030" w:hAnsi="方正仿宋_GB18030" w:eastAsia="方正仿宋_GB18030" w:cs="方正仿宋_GB18030"/>
          <w:b/>
          <w:bCs/>
          <w:sz w:val="32"/>
          <w:szCs w:val="32"/>
        </w:rPr>
        <w:t>严守安全底线，城镇燃气专项整治成效显著</w:t>
      </w:r>
      <w:r>
        <w:rPr>
          <w:rFonts w:hint="eastAsia" w:ascii="方正仿宋_GB18030" w:hAnsi="方正仿宋_GB18030" w:eastAsia="方正仿宋_GB18030" w:cs="方正仿宋_GB18030"/>
          <w:b/>
          <w:bCs/>
          <w:sz w:val="32"/>
          <w:szCs w:val="32"/>
          <w:lang w:eastAsia="zh-CN"/>
        </w:rPr>
        <w:t>。</w:t>
      </w:r>
      <w:r>
        <w:rPr>
          <w:rFonts w:hint="eastAsia" w:ascii="方正仿宋_GB18030" w:hAnsi="方正仿宋_GB18030" w:eastAsia="方正仿宋_GB18030" w:cs="方正仿宋_GB18030"/>
          <w:b/>
          <w:bCs/>
          <w:sz w:val="32"/>
          <w:szCs w:val="32"/>
        </w:rPr>
        <w:t>一</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lang w:val="en-US" w:eastAsia="zh-CN"/>
        </w:rPr>
        <w:t>强化组织领导，压实安全责任体系，</w:t>
      </w:r>
      <w:r>
        <w:rPr>
          <w:rFonts w:hint="eastAsia" w:ascii="方正仿宋_GB18030" w:hAnsi="方正仿宋_GB18030" w:eastAsia="方正仿宋_GB18030" w:cs="方正仿宋_GB18030"/>
          <w:sz w:val="32"/>
          <w:szCs w:val="32"/>
        </w:rPr>
        <w:t>高度重视燃气安全工作，坚持高位统筹部署。</w:t>
      </w:r>
      <w:r>
        <w:rPr>
          <w:rFonts w:hint="eastAsia" w:ascii="方正仿宋_GB18030" w:hAnsi="方正仿宋_GB18030" w:eastAsia="方正仿宋_GB18030" w:cs="方正仿宋_GB18030"/>
          <w:sz w:val="32"/>
          <w:szCs w:val="32"/>
          <w:lang w:val="en-US" w:eastAsia="zh-CN"/>
        </w:rPr>
        <w:t>今年</w:t>
      </w:r>
      <w:r>
        <w:rPr>
          <w:rFonts w:hint="eastAsia" w:ascii="方正仿宋_GB18030" w:hAnsi="方正仿宋_GB18030" w:eastAsia="方正仿宋_GB18030" w:cs="方正仿宋_GB18030"/>
          <w:sz w:val="32"/>
          <w:szCs w:val="32"/>
        </w:rPr>
        <w:t>印发</w:t>
      </w:r>
      <w:r>
        <w:rPr>
          <w:rFonts w:hint="eastAsia" w:ascii="仿宋" w:hAnsi="仿宋" w:eastAsia="仿宋"/>
          <w:sz w:val="32"/>
          <w:szCs w:val="32"/>
        </w:rPr>
        <w:t>《怀化市住房城乡建设系统“整治城镇燃气安全问题”具体实事工作方案》《全市瓶装燃气“黑燃气”“黑窝点”大排查大整治工作通知》</w:t>
      </w:r>
      <w:r>
        <w:rPr>
          <w:rFonts w:hint="eastAsia" w:ascii="仿宋" w:hAnsi="仿宋" w:eastAsia="仿宋"/>
          <w:sz w:val="32"/>
          <w:szCs w:val="32"/>
          <w:lang w:val="en-US" w:eastAsia="zh-CN"/>
        </w:rPr>
        <w:t>等</w:t>
      </w:r>
      <w:r>
        <w:rPr>
          <w:rFonts w:hint="eastAsia" w:ascii="方正仿宋_GB18030" w:hAnsi="方正仿宋_GB18030" w:eastAsia="方正仿宋_GB18030" w:cs="方正仿宋_GB18030"/>
          <w:sz w:val="32"/>
          <w:szCs w:val="32"/>
        </w:rPr>
        <w:t>专项文件7份，构建起覆盖全域、管控全程、责任全员的制度框架，并明确了燃气安全管理的“六化”落实路径及管道改造销号标准。调度层面，通过召开全市专项整治工作会议、组织专题培训等方式，及时传达省专班精神，分解年度重点任务，全年累计开展专项调度与培训6次，实现了对监管人员及企业负责人的全覆盖，确保了责任链条紧密衔接。</w:t>
      </w:r>
      <w:r>
        <w:rPr>
          <w:rFonts w:hint="eastAsia" w:ascii="方正仿宋_GB18030" w:hAnsi="方正仿宋_GB18030" w:eastAsia="方正仿宋_GB18030" w:cs="方正仿宋_GB18030"/>
          <w:b/>
          <w:bCs/>
          <w:sz w:val="32"/>
          <w:szCs w:val="32"/>
        </w:rPr>
        <w:t>二</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rPr>
        <w:t>聚焦关键环节，筑牢安全生产防线。专项整治行动精准发力，成效显著</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隐患排查实现动态清零。采取企业自查与部门明查暗访相结合方式，聚焦人员密集场所及乡镇用户，累计排查并整改隐患921处（含重大隐患10处），整改率100%，并推动企业建立内部隐患报告奖励机制。“打非治违”保持高压态势</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联合多部门开展“黑窝点”“黑气瓶”全链条整治，严格执行“五个坚决”要求，全年执法处罚17次，罚款50万元，查处“黑气瓶”631个，有效净化市场环境。圆满完成节假日及湖南（怀化）</w:t>
      </w:r>
      <w:r>
        <w:rPr>
          <w:rFonts w:hint="eastAsia" w:ascii="方正仿宋_GB18030" w:hAnsi="方正仿宋_GB18030" w:eastAsia="方正仿宋_GB18030" w:cs="方正仿宋_GB18030"/>
          <w:sz w:val="32"/>
          <w:szCs w:val="32"/>
          <w:lang w:val="en-US" w:eastAsia="zh-CN"/>
        </w:rPr>
        <w:t>旅发大会</w:t>
      </w:r>
      <w:r>
        <w:rPr>
          <w:rFonts w:hint="eastAsia" w:ascii="方正仿宋_GB18030" w:hAnsi="方正仿宋_GB18030" w:eastAsia="方正仿宋_GB18030" w:cs="方正仿宋_GB18030"/>
          <w:sz w:val="32"/>
          <w:szCs w:val="32"/>
        </w:rPr>
        <w:t>等重大活动燃气保供任务，供应充足，并开展专项排查与应急演练，实现重大活动“零事故”。为133户特困、低保用户建档并提供费用减免与帮扶，办结燃气类信访50件，用户满意度回访达100%。同时广泛开展安全宣传，发放资料5万余份，发送短信40余万条，提升公众安全意识。</w:t>
      </w:r>
      <w:r>
        <w:rPr>
          <w:rFonts w:hint="eastAsia" w:ascii="方正仿宋_GB18030" w:hAnsi="方正仿宋_GB18030" w:eastAsia="方正仿宋_GB18030" w:cs="方正仿宋_GB18030"/>
          <w:b/>
          <w:bCs/>
          <w:sz w:val="32"/>
          <w:szCs w:val="32"/>
        </w:rPr>
        <w:t>三</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rPr>
        <w:t>夯实基础设施，提升本质安全水平</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紧盯硬件短板，全力推进更新改造。年度计划改造老旧管网25公里，实际完成45.58公里，完成率达182%，彻底消除“带病运行”隐患，并申请省级销号。信息化建设达标落地。管道燃气企业全面建成GIS与SCADA系统，实现管网数字化管理；瓶装燃气企业搭建全流程平台，推广“一瓶一码”，录入气瓶信息160万只，实现全流程可追溯。</w:t>
      </w:r>
      <w:r>
        <w:rPr>
          <w:rFonts w:hint="eastAsia" w:ascii="方正仿宋_GB18030" w:hAnsi="方正仿宋_GB18030" w:eastAsia="方正仿宋_GB18030" w:cs="方正仿宋_GB18030"/>
          <w:b/>
          <w:bCs/>
          <w:sz w:val="32"/>
          <w:szCs w:val="32"/>
        </w:rPr>
        <w:t>四</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rPr>
        <w:t>保障资金投入，支撑行业持续发展。全年燃气企业上缴税金1256万元，完成老旧管网改造投资2608万元，并争取上级资金5364万元用于管网设施建设，为燃气安全可持续发展提供了坚实的资金保障。</w:t>
      </w:r>
    </w:p>
    <w:p w14:paraId="094E4C6C">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eastAsia" w:ascii="方正仿宋_GB18030" w:hAnsi="方正仿宋_GB18030" w:eastAsia="方正仿宋_GB18030" w:cs="方正仿宋_GB18030"/>
          <w:b/>
          <w:bCs/>
          <w:sz w:val="32"/>
          <w:szCs w:val="32"/>
        </w:rPr>
        <w:t>聚力项目建设，城市基础设施功能持续完善</w:t>
      </w:r>
      <w:r>
        <w:rPr>
          <w:rFonts w:hint="eastAsia" w:ascii="方正仿宋_GB18030" w:hAnsi="方正仿宋_GB18030" w:eastAsia="方正仿宋_GB18030" w:cs="方正仿宋_GB18030"/>
          <w:b/>
          <w:bCs/>
          <w:sz w:val="32"/>
          <w:szCs w:val="32"/>
          <w:lang w:eastAsia="zh-CN"/>
        </w:rPr>
        <w:t>。</w:t>
      </w:r>
      <w:r>
        <w:rPr>
          <w:rFonts w:hint="eastAsia" w:ascii="方正仿宋_GB18030" w:hAnsi="方正仿宋_GB18030" w:eastAsia="方正仿宋_GB18030" w:cs="方正仿宋_GB18030"/>
          <w:sz w:val="32"/>
          <w:szCs w:val="32"/>
        </w:rPr>
        <w:t>中心作为多项重点市政工程的项目业主单位，全力推进城市路网优化和功能提升。</w:t>
      </w:r>
      <w:r>
        <w:rPr>
          <w:rFonts w:hint="eastAsia" w:ascii="方正仿宋_GB18030" w:hAnsi="方正仿宋_GB18030" w:eastAsia="方正仿宋_GB18030" w:cs="方正仿宋_GB18030"/>
          <w:b/>
          <w:bCs/>
          <w:sz w:val="32"/>
          <w:szCs w:val="32"/>
        </w:rPr>
        <w:t>一是</w:t>
      </w:r>
      <w:r>
        <w:rPr>
          <w:rFonts w:hint="eastAsia" w:ascii="方正仿宋_GB18030" w:hAnsi="方正仿宋_GB18030" w:eastAsia="方正仿宋_GB18030" w:cs="方正仿宋_GB18030"/>
          <w:sz w:val="32"/>
          <w:szCs w:val="32"/>
        </w:rPr>
        <w:t>一批项目建成投用。人民西路（人民南路至鹤洲路）、香洲南路（刘塘路至会展路）已于9月竣工通车，有效完善了周边出行条件；隆平植物园跨铁路人行天桥、怀铁二中及宏宇小学等4座人行过街天桥均已完工或投入使用，极大便利了市民出行，消除了安全隐患。</w:t>
      </w:r>
      <w:r>
        <w:rPr>
          <w:rFonts w:hint="eastAsia" w:ascii="方正仿宋_GB18030" w:hAnsi="方正仿宋_GB18030" w:eastAsia="方正仿宋_GB18030" w:cs="方正仿宋_GB18030"/>
          <w:b/>
          <w:bCs/>
          <w:sz w:val="32"/>
          <w:szCs w:val="32"/>
        </w:rPr>
        <w:t>二是</w:t>
      </w:r>
      <w:r>
        <w:rPr>
          <w:rFonts w:hint="eastAsia" w:ascii="方正仿宋_GB18030" w:hAnsi="方正仿宋_GB18030" w:eastAsia="方正仿宋_GB18030" w:cs="方正仿宋_GB18030"/>
          <w:sz w:val="32"/>
          <w:szCs w:val="32"/>
        </w:rPr>
        <w:t>一批项目有序推进。坨院路（军民南路至屈原大道段）已完成部分工程量，正协调解决征拆问题；锦园路（环城南路至东盟大道）、公园北路（雪峰大道至顺天大道）等项目正按程序开展土地报批、设计优化等前期工作。</w:t>
      </w:r>
    </w:p>
    <w:p w14:paraId="2CC65C63">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全面预算绩效管理工作经验不太丰富，绩效管理专业人员匮乏，规范管理有盲点。绩效管理</w:t>
      </w:r>
      <w:r>
        <w:rPr>
          <w:rFonts w:hint="eastAsia" w:ascii="Times New Roman Regular" w:hAnsi="Times New Roman Regular" w:eastAsia="仿宋_GB2312" w:cs="Times New Roman Regular"/>
          <w:color w:val="auto"/>
          <w:sz w:val="32"/>
          <w:szCs w:val="32"/>
          <w:highlight w:val="none"/>
          <w:lang w:val="en-US" w:eastAsia="zh-CN"/>
        </w:rPr>
        <w:t>理</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念待加强</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部门预算编制的科学化、精细化有待提高。目前，预算编制要求经济科目细化到款级，但在实际编制过程中，由于有的预算支出项目具有预测性和不确定性等特点，造成实际支出与预算编制不符。</w:t>
      </w:r>
    </w:p>
    <w:p w14:paraId="5AB88F73">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仿宋_GB2312" w:cs="Times New Roman"/>
          <w:sz w:val="32"/>
          <w:szCs w:val="32"/>
        </w:rPr>
        <w:t>下一步改进措施：一</w:t>
      </w:r>
      <w:r>
        <w:rPr>
          <w:rFonts w:hint="eastAsia" w:ascii="Times New Roman" w:hAnsi="Times New Roman" w:eastAsia="仿宋_GB2312" w:cs="Times New Roman"/>
          <w:sz w:val="32"/>
          <w:szCs w:val="32"/>
          <w:lang w:eastAsia="zh-CN"/>
        </w:rPr>
        <w:t>是</w:t>
      </w:r>
      <w:r>
        <w:rPr>
          <w:rFonts w:hint="default" w:ascii="Times New Roman Regular" w:hAnsi="Times New Roman Regular" w:eastAsia="仿宋_GB2312" w:cs="Times New Roman Regular"/>
          <w:color w:val="auto"/>
          <w:sz w:val="32"/>
          <w:szCs w:val="32"/>
          <w:highlight w:val="none"/>
          <w:lang w:val="en-US" w:eastAsia="zh-CN"/>
        </w:rPr>
        <w:t>更加全面、细致地制定绩效目标，进一步严肃财经纪律，在实施过程中遵循“实事求是、尊重客观、力求精准”的原则，努力使项目资金落到实处</w:t>
      </w:r>
      <w:r>
        <w:rPr>
          <w:rFonts w:ascii="Times New Roman" w:hAnsi="Times New Roman" w:eastAsia="仿宋_GB2312" w:cs="Times New Roman"/>
          <w:sz w:val="32"/>
          <w:szCs w:val="32"/>
        </w:rPr>
        <w:t>；二是</w:t>
      </w:r>
      <w:r>
        <w:rPr>
          <w:rFonts w:hint="default" w:ascii="Times New Roman Regular" w:hAnsi="Times New Roman Regular" w:eastAsia="仿宋_GB2312" w:cs="Times New Roman Regular"/>
          <w:color w:val="auto"/>
          <w:sz w:val="32"/>
          <w:szCs w:val="32"/>
          <w:highlight w:val="none"/>
          <w:lang w:val="en-US" w:eastAsia="zh-CN"/>
        </w:rPr>
        <w:t>落实内控制度，严肃执行“三重一大”的原则，深入开展政府购买社会化服务，切实引进社会化竞争机制，引进相关专业人才，保障项目在公开、公平、公正的监督环境中实施，有效节约项目资金，把有限的资金用在刀刃上</w:t>
      </w:r>
      <w:r>
        <w:rPr>
          <w:rFonts w:hint="eastAsia" w:ascii="Times New Roman" w:hAnsi="Times New Roman" w:eastAsia="仿宋_GB2312" w:cs="Times New Roman"/>
          <w:sz w:val="32"/>
          <w:szCs w:val="32"/>
          <w:lang w:eastAsia="zh-CN"/>
        </w:rPr>
        <w:t>；三是</w:t>
      </w:r>
      <w:r>
        <w:rPr>
          <w:rFonts w:hint="default" w:ascii="Times New Roman Regular" w:hAnsi="Times New Roman Regular" w:eastAsia="仿宋_GB2312" w:cs="Times New Roman Regular"/>
          <w:color w:val="auto"/>
          <w:sz w:val="32"/>
          <w:szCs w:val="32"/>
          <w:highlight w:val="none"/>
          <w:lang w:val="en-US" w:eastAsia="zh-CN"/>
        </w:rPr>
        <w:t>加强对财政资金的拨付和使用管理，加强对财务干部职工的业务培训，强化预算管理意识，严格执行预算，做到专账核算，确保专款专用</w:t>
      </w:r>
      <w:r>
        <w:rPr>
          <w:rFonts w:ascii="Times New Roman" w:hAnsi="Times New Roman" w:eastAsia="仿宋_GB2312" w:cs="Times New Roman"/>
          <w:kern w:val="0"/>
          <w:sz w:val="32"/>
          <w:szCs w:val="32"/>
        </w:rPr>
        <w:t>。</w:t>
      </w:r>
    </w:p>
    <w:p w14:paraId="6A94F035">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0" w:firstLineChars="200"/>
        <w:textAlignment w:val="auto"/>
        <w:rPr>
          <w:rFonts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2"/>
          <w:sz w:val="32"/>
          <w:szCs w:val="32"/>
          <w:lang w:val="en-US" w:eastAsia="zh-CN" w:bidi="ar-SA"/>
        </w:rPr>
        <w:t>我单位将通过绩效自评工作进一步完善预算管理机制，规范资金使用，强化监督检查，强化财政资金管理水平，提高财政资金使用效益，预算资金使用效益的提高提供基础保障。</w:t>
      </w:r>
    </w:p>
    <w:p w14:paraId="7A3B9827">
      <w:pPr>
        <w:pStyle w:val="16"/>
        <w:jc w:val="center"/>
        <w:rPr>
          <w:rFonts w:ascii="Times New Roman" w:hAnsi="Times New Roman" w:cs="Times New Roman"/>
          <w:sz w:val="72"/>
          <w:szCs w:val="72"/>
        </w:rPr>
      </w:pPr>
    </w:p>
    <w:p w14:paraId="101FCCFF">
      <w:pPr>
        <w:pStyle w:val="16"/>
        <w:jc w:val="center"/>
        <w:rPr>
          <w:rFonts w:ascii="Times New Roman" w:hAnsi="Times New Roman" w:cs="Times New Roman"/>
          <w:sz w:val="72"/>
          <w:szCs w:val="72"/>
        </w:rPr>
      </w:pPr>
    </w:p>
    <w:p w14:paraId="389AC259">
      <w:pPr>
        <w:pStyle w:val="16"/>
        <w:jc w:val="center"/>
        <w:rPr>
          <w:rFonts w:ascii="Times New Roman" w:hAnsi="Times New Roman" w:cs="Times New Roman"/>
          <w:sz w:val="72"/>
          <w:szCs w:val="72"/>
        </w:rPr>
      </w:pPr>
    </w:p>
    <w:p w14:paraId="0690D2AE">
      <w:pPr>
        <w:pStyle w:val="16"/>
        <w:jc w:val="both"/>
        <w:rPr>
          <w:rFonts w:ascii="Times New Roman" w:hAnsi="Times New Roman" w:cs="Times New Roman"/>
          <w:sz w:val="72"/>
          <w:szCs w:val="72"/>
        </w:rPr>
      </w:pPr>
    </w:p>
    <w:p w14:paraId="3BDB1064">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873D991">
      <w:pPr>
        <w:widowControl/>
        <w:jc w:val="left"/>
        <w:rPr>
          <w:rFonts w:ascii="Times New Roman" w:hAnsi="Times New Roman" w:cs="Times New Roman"/>
          <w:color w:val="000000"/>
          <w:kern w:val="0"/>
          <w:sz w:val="32"/>
          <w:szCs w:val="32"/>
        </w:rPr>
      </w:pPr>
    </w:p>
    <w:p w14:paraId="62B77DC7">
      <w:pPr>
        <w:widowControl/>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财政拨款收入：指财政当年拨付的资金。包括一般公共预算财政拨款和政府性基金财政拨款。</w:t>
      </w:r>
    </w:p>
    <w:p w14:paraId="4D6855D1">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上级补助收入：指事业单位从主管部门和上级单位取得的非财政补助收入。</w:t>
      </w:r>
    </w:p>
    <w:p w14:paraId="5AD0DEC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三、</w:t>
      </w:r>
      <w:r>
        <w:rPr>
          <w:rFonts w:hint="eastAsia" w:ascii="Times New Roman" w:hAnsi="Times New Roman" w:eastAsia="仿宋_GB2312" w:cs="Times New Roman"/>
          <w:color w:val="000000"/>
          <w:kern w:val="0"/>
          <w:sz w:val="32"/>
          <w:szCs w:val="32"/>
        </w:rPr>
        <w:t>事业收入：指事业单位开展专业业务活动及辅助活动所取得的收入。</w:t>
      </w:r>
    </w:p>
    <w:p w14:paraId="4176DAE4">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四、</w:t>
      </w:r>
      <w:r>
        <w:rPr>
          <w:rFonts w:hint="eastAsia" w:ascii="Times New Roman" w:hAnsi="Times New Roman" w:eastAsia="仿宋_GB2312" w:cs="Times New Roman"/>
          <w:color w:val="000000"/>
          <w:kern w:val="0"/>
          <w:sz w:val="32"/>
          <w:szCs w:val="32"/>
        </w:rPr>
        <w:t>经营收入：指事业单位在专业业务活动及其辅助活动之外开展非独立核算经营活动取得的收入。</w:t>
      </w:r>
    </w:p>
    <w:p w14:paraId="467B002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五、</w:t>
      </w:r>
      <w:r>
        <w:rPr>
          <w:rFonts w:hint="eastAsia" w:ascii="Times New Roman" w:hAnsi="Times New Roman" w:eastAsia="仿宋_GB2312" w:cs="Times New Roman"/>
          <w:color w:val="000000"/>
          <w:kern w:val="0"/>
          <w:sz w:val="32"/>
          <w:szCs w:val="32"/>
        </w:rPr>
        <w:t>附属单位上缴收入：指事业单位附属独立核算单位按照有关规定上缴的收入。</w:t>
      </w:r>
    </w:p>
    <w:p w14:paraId="216A9C17">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六、</w:t>
      </w:r>
      <w:r>
        <w:rPr>
          <w:rFonts w:hint="eastAsia" w:ascii="Times New Roman" w:hAnsi="Times New Roman" w:eastAsia="仿宋_GB2312" w:cs="Times New Roman"/>
          <w:color w:val="000000"/>
          <w:kern w:val="0"/>
          <w:sz w:val="32"/>
          <w:szCs w:val="32"/>
        </w:rPr>
        <w:t>其他收入：指除上述“财政拨款收入”、“事业收入”、“经营收入”等以外的收入。</w:t>
      </w:r>
    </w:p>
    <w:p w14:paraId="123A6AE0">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七、</w:t>
      </w:r>
      <w:r>
        <w:rPr>
          <w:rFonts w:hint="eastAsia" w:ascii="Times New Roman" w:hAnsi="Times New Roman" w:eastAsia="仿宋_GB2312" w:cs="Times New Roman"/>
          <w:color w:val="000000"/>
          <w:kern w:val="0"/>
          <w:sz w:val="32"/>
          <w:szCs w:val="32"/>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0E97B0C5">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八、</w:t>
      </w:r>
      <w:r>
        <w:rPr>
          <w:rFonts w:hint="eastAsia" w:ascii="Times New Roman" w:hAnsi="Times New Roman" w:eastAsia="仿宋_GB2312" w:cs="Times New Roman"/>
          <w:color w:val="000000"/>
          <w:kern w:val="0"/>
          <w:sz w:val="32"/>
          <w:szCs w:val="32"/>
        </w:rPr>
        <w:t>年初结转和结余：指以前年度尚未完成、结转到本年按有关规定继续使用的资金。</w:t>
      </w:r>
    </w:p>
    <w:p w14:paraId="71B8FA8B">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w:t>
      </w:r>
      <w:r>
        <w:rPr>
          <w:rFonts w:hint="eastAsia" w:ascii="Times New Roman" w:hAnsi="Times New Roman" w:eastAsia="仿宋_GB2312" w:cs="Times New Roman"/>
          <w:color w:val="000000"/>
          <w:kern w:val="0"/>
          <w:sz w:val="32"/>
          <w:szCs w:val="32"/>
        </w:rPr>
        <w:t>结余分配：指事业单位按规定从非财政补助结余中分配的事业基金和职工福利基金等。</w:t>
      </w:r>
    </w:p>
    <w:p w14:paraId="19529B41">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hint="eastAsia" w:ascii="Times New Roman" w:hAnsi="Times New Roman" w:eastAsia="仿宋_GB2312" w:cs="Times New Roman"/>
          <w:color w:val="000000"/>
          <w:kern w:val="0"/>
          <w:sz w:val="32"/>
          <w:szCs w:val="32"/>
        </w:rPr>
        <w:t>年末结转和结余：指本年度或以前年度预算安排、因客观条件发生变化无法按原计划实施，需要延迟到以后年度按有关规定继续使用的资金。</w:t>
      </w:r>
    </w:p>
    <w:p w14:paraId="3A6D7BB8">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十一、</w:t>
      </w:r>
      <w:r>
        <w:rPr>
          <w:rFonts w:hint="eastAsia" w:ascii="Times New Roman" w:hAnsi="Times New Roman" w:eastAsia="仿宋_GB2312" w:cs="Times New Roman"/>
          <w:color w:val="000000"/>
          <w:kern w:val="0"/>
          <w:sz w:val="32"/>
          <w:szCs w:val="32"/>
        </w:rPr>
        <w:t>基本支出：指为保障机构正常运转、完成日常工作任务而发生的人员支出和公用支出。</w:t>
      </w:r>
    </w:p>
    <w:p w14:paraId="4A13291C">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十二、</w:t>
      </w:r>
      <w:r>
        <w:rPr>
          <w:rFonts w:hint="eastAsia" w:ascii="Times New Roman" w:hAnsi="Times New Roman" w:eastAsia="仿宋_GB2312" w:cs="Times New Roman"/>
          <w:color w:val="000000"/>
          <w:kern w:val="0"/>
          <w:sz w:val="32"/>
          <w:szCs w:val="32"/>
        </w:rPr>
        <w:t>项目支出：指在基本支出之外为完成特定行政任务和事业发展目标所发生的支出。</w:t>
      </w:r>
    </w:p>
    <w:p w14:paraId="0ECBD41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十三、</w:t>
      </w:r>
      <w:r>
        <w:rPr>
          <w:rFonts w:hint="eastAsia" w:ascii="Times New Roman" w:hAnsi="Times New Roman" w:eastAsia="仿宋_GB2312" w:cs="Times New Roman"/>
          <w:color w:val="000000"/>
          <w:kern w:val="0"/>
          <w:sz w:val="32"/>
          <w:szCs w:val="32"/>
        </w:rPr>
        <w:t>经营支出：指事业单位在专业业务活动及其辅助活动之外开展非独立核算经营活动所发生的支出。</w:t>
      </w:r>
    </w:p>
    <w:p w14:paraId="6787C943">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十四、</w:t>
      </w:r>
      <w:r>
        <w:rPr>
          <w:rFonts w:hint="eastAsia" w:ascii="Times New Roman" w:hAnsi="Times New Roman" w:eastAsia="仿宋_GB2312" w:cs="Times New Roman"/>
          <w:color w:val="000000"/>
          <w:kern w:val="0"/>
          <w:sz w:val="32"/>
          <w:szCs w:val="32"/>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14:paraId="7F2C5B9F">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十五、</w:t>
      </w:r>
      <w:r>
        <w:rPr>
          <w:rFonts w:hint="eastAsia" w:ascii="Times New Roman" w:hAnsi="Times New Roman" w:eastAsia="仿宋_GB2312" w:cs="Times New Roman"/>
          <w:color w:val="000000"/>
          <w:kern w:val="0"/>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451B3F71">
      <w:pPr>
        <w:pStyle w:val="16"/>
        <w:spacing w:line="600" w:lineRule="exact"/>
        <w:ind w:firstLine="640" w:firstLineChars="200"/>
        <w:rPr>
          <w:rFonts w:ascii="Times New Roman" w:hAnsi="Times New Roman" w:eastAsia="楷体_GB2312" w:cs="Times New Roman"/>
          <w:b/>
          <w:bCs/>
          <w:i/>
          <w:color w:val="auto"/>
          <w:sz w:val="32"/>
          <w:szCs w:val="32"/>
        </w:rPr>
      </w:pPr>
    </w:p>
    <w:p w14:paraId="4C64CD0C">
      <w:pPr>
        <w:pStyle w:val="16"/>
        <w:jc w:val="center"/>
        <w:rPr>
          <w:rFonts w:ascii="Times New Roman" w:hAnsi="Times New Roman" w:cs="Times New Roman"/>
          <w:sz w:val="72"/>
          <w:szCs w:val="72"/>
        </w:rPr>
      </w:pPr>
    </w:p>
    <w:p w14:paraId="310BEDB4">
      <w:pPr>
        <w:pStyle w:val="16"/>
        <w:jc w:val="center"/>
        <w:rPr>
          <w:rFonts w:ascii="Times New Roman" w:hAnsi="Times New Roman" w:cs="Times New Roman"/>
          <w:sz w:val="72"/>
          <w:szCs w:val="72"/>
        </w:rPr>
      </w:pPr>
    </w:p>
    <w:p w14:paraId="415A438C">
      <w:pPr>
        <w:pStyle w:val="16"/>
        <w:jc w:val="center"/>
        <w:rPr>
          <w:rFonts w:ascii="Times New Roman" w:hAnsi="Times New Roman" w:cs="Times New Roman"/>
          <w:sz w:val="72"/>
          <w:szCs w:val="72"/>
        </w:rPr>
      </w:pPr>
    </w:p>
    <w:p w14:paraId="0B62AE44">
      <w:pPr>
        <w:pStyle w:val="16"/>
        <w:jc w:val="center"/>
        <w:rPr>
          <w:rFonts w:ascii="Times New Roman" w:hAnsi="Times New Roman" w:cs="Times New Roman"/>
          <w:sz w:val="72"/>
          <w:szCs w:val="72"/>
        </w:rPr>
      </w:pPr>
    </w:p>
    <w:p w14:paraId="6048768A">
      <w:pPr>
        <w:pStyle w:val="16"/>
        <w:jc w:val="center"/>
        <w:rPr>
          <w:rFonts w:ascii="Times New Roman" w:hAnsi="Times New Roman" w:cs="Times New Roman"/>
          <w:sz w:val="72"/>
          <w:szCs w:val="72"/>
        </w:rPr>
      </w:pPr>
    </w:p>
    <w:p w14:paraId="4DBEEA41">
      <w:pPr>
        <w:pStyle w:val="16"/>
        <w:jc w:val="center"/>
        <w:rPr>
          <w:rFonts w:ascii="Times New Roman" w:hAnsi="Times New Roman" w:cs="Times New Roman"/>
          <w:sz w:val="72"/>
          <w:szCs w:val="72"/>
        </w:rPr>
      </w:pPr>
    </w:p>
    <w:p w14:paraId="484A632A">
      <w:pPr>
        <w:pStyle w:val="16"/>
        <w:jc w:val="center"/>
        <w:rPr>
          <w:rFonts w:ascii="Times New Roman" w:hAnsi="Times New Roman" w:cs="Times New Roman"/>
          <w:sz w:val="72"/>
          <w:szCs w:val="72"/>
        </w:rPr>
      </w:pPr>
    </w:p>
    <w:p w14:paraId="30AA93F7">
      <w:pPr>
        <w:pStyle w:val="16"/>
        <w:jc w:val="center"/>
        <w:rPr>
          <w:rFonts w:ascii="Times New Roman" w:hAnsi="Times New Roman" w:cs="Times New Roman"/>
          <w:sz w:val="72"/>
          <w:szCs w:val="72"/>
        </w:rPr>
      </w:pPr>
    </w:p>
    <w:p w14:paraId="7FF8AEDE">
      <w:pPr>
        <w:pStyle w:val="16"/>
        <w:jc w:val="center"/>
        <w:rPr>
          <w:rFonts w:ascii="Times New Roman" w:hAnsi="Times New Roman" w:cs="Times New Roman"/>
          <w:sz w:val="72"/>
          <w:szCs w:val="72"/>
        </w:rPr>
      </w:pPr>
    </w:p>
    <w:p w14:paraId="2BABEB07">
      <w:pPr>
        <w:pStyle w:val="16"/>
        <w:jc w:val="center"/>
        <w:rPr>
          <w:rFonts w:ascii="Times New Roman" w:hAnsi="Times New Roman" w:cs="Times New Roman"/>
          <w:sz w:val="72"/>
          <w:szCs w:val="72"/>
        </w:rPr>
      </w:pPr>
    </w:p>
    <w:p w14:paraId="6A211C1A">
      <w:pPr>
        <w:pStyle w:val="16"/>
        <w:jc w:val="center"/>
        <w:rPr>
          <w:rFonts w:ascii="Times New Roman" w:hAnsi="Times New Roman" w:cs="Times New Roman"/>
          <w:sz w:val="72"/>
          <w:szCs w:val="72"/>
        </w:rPr>
      </w:pPr>
    </w:p>
    <w:p w14:paraId="19C091EE">
      <w:pPr>
        <w:pStyle w:val="16"/>
        <w:jc w:val="center"/>
        <w:rPr>
          <w:rFonts w:ascii="Times New Roman" w:hAnsi="Times New Roman" w:cs="Times New Roman"/>
          <w:sz w:val="72"/>
          <w:szCs w:val="72"/>
        </w:rPr>
      </w:pPr>
    </w:p>
    <w:p w14:paraId="0272BE3B">
      <w:pPr>
        <w:pStyle w:val="16"/>
        <w:jc w:val="both"/>
        <w:rPr>
          <w:rFonts w:ascii="Times New Roman" w:hAnsi="Times New Roman" w:cs="Times New Roman"/>
          <w:sz w:val="72"/>
          <w:szCs w:val="72"/>
        </w:rPr>
      </w:pPr>
    </w:p>
    <w:p w14:paraId="09A69EF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5FF519A">
      <w:pPr>
        <w:rPr>
          <w:rFonts w:ascii="Times New Roman" w:hAnsi="Times New Roman" w:cs="Times New Roman"/>
          <w:sz w:val="72"/>
          <w:szCs w:val="72"/>
        </w:rPr>
      </w:pPr>
    </w:p>
    <w:p w14:paraId="67AEE00C">
      <w:pPr>
        <w:pStyle w:val="16"/>
        <w:numPr>
          <w:ilvl w:val="0"/>
          <w:numId w:val="3"/>
        </w:numPr>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决算公开表</w:t>
      </w:r>
    </w:p>
    <w:p w14:paraId="79B77C31">
      <w:pPr>
        <w:pStyle w:val="16"/>
        <w:widowControl w:val="0"/>
        <w:numPr>
          <w:ilvl w:val="0"/>
          <w:numId w:val="0"/>
        </w:numPr>
        <w:autoSpaceDE w:val="0"/>
        <w:autoSpaceDN w:val="0"/>
        <w:adjustRightInd w:val="0"/>
        <w:spacing w:line="600" w:lineRule="exac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pict>
          <v:shape id="_x0000_s1030" o:spid="_x0000_s1030" o:spt="75" type="#_x0000_t75" style="position:absolute;left:0pt;margin-left:64.35pt;margin-top:15.85pt;height:65.4pt;width:72.6pt;mso-wrap-distance-bottom:0pt;mso-wrap-distance-left:9pt;mso-wrap-distance-right:9pt;mso-wrap-distance-top:0pt;z-index:251661312;mso-width-relative:page;mso-height-relative:page;" o:ole="t" filled="f" o:preferrelative="t" stroked="f" coordsize="21600,21600">
            <v:path/>
            <v:fill on="f" focussize="0,0"/>
            <v:stroke on="f"/>
            <v:imagedata r:id="rId9" o:title=""/>
            <o:lock v:ext="edit" aspectratio="t"/>
            <w10:wrap type="square"/>
          </v:shape>
          <o:OLEObject Type="Embed" ProgID="Excel.Sheet.8" ShapeID="_x0000_s1030" DrawAspect="Icon" ObjectID="_1468075725" r:id="rId8">
            <o:LockedField>false</o:LockedField>
          </o:OLEObject>
        </w:pict>
      </w:r>
    </w:p>
    <w:p w14:paraId="6903F145">
      <w:pPr>
        <w:pStyle w:val="16"/>
        <w:widowControl w:val="0"/>
        <w:numPr>
          <w:ilvl w:val="0"/>
          <w:numId w:val="0"/>
        </w:numPr>
        <w:autoSpaceDE w:val="0"/>
        <w:autoSpaceDN w:val="0"/>
        <w:adjustRightInd w:val="0"/>
        <w:spacing w:line="600" w:lineRule="exac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3AF119BF">
      <w:pPr>
        <w:pStyle w:val="16"/>
        <w:widowControl w:val="0"/>
        <w:numPr>
          <w:ilvl w:val="0"/>
          <w:numId w:val="0"/>
        </w:numPr>
        <w:autoSpaceDE w:val="0"/>
        <w:autoSpaceDN w:val="0"/>
        <w:adjustRightInd w:val="0"/>
        <w:spacing w:line="600" w:lineRule="exac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53D2D987">
      <w:pPr>
        <w:pStyle w:val="16"/>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E37051E">
      <w:pPr>
        <w:pStyle w:val="16"/>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pict>
          <v:shape id="_x0000_s1029" o:spid="_x0000_s1029" o:spt="75" type="#_x0000_t75" style="position:absolute;left:0pt;margin-left:66.2pt;margin-top:27.85pt;height:65.4pt;width:72.6pt;mso-wrap-distance-bottom:0pt;mso-wrap-distance-left:9pt;mso-wrap-distance-right:9pt;mso-wrap-distance-top:0pt;z-index:251660288;mso-width-relative:page;mso-height-relative:page;" o:ole="t" filled="f" o:preferrelative="t" stroked="f" coordsize="21600,21600">
            <v:path/>
            <v:fill on="f" focussize="0,0"/>
            <v:stroke on="f"/>
            <v:imagedata r:id="rId11" o:title=""/>
            <o:lock v:ext="edit" aspectratio="t"/>
            <w10:wrap type="square"/>
          </v:shape>
          <o:OLEObject Type="Embed" ProgID="Word.Document.12" ShapeID="_x0000_s1029" DrawAspect="Icon" ObjectID="_1468075726" r:id="rId10">
            <o:LockedField>false</o:LockedField>
          </o:OLEObject>
        </w:pict>
      </w:r>
    </w:p>
    <w:p w14:paraId="58CF8798">
      <w:pPr>
        <w:pStyle w:val="16"/>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14:paraId="37E53974">
      <w:pPr>
        <w:pStyle w:val="16"/>
        <w:spacing w:line="600" w:lineRule="exact"/>
        <w:ind w:firstLine="1280" w:firstLineChars="400"/>
        <w:rPr>
          <w:rFonts w:hint="eastAsia" w:ascii="Times New Roman" w:hAnsi="Times New Roman" w:eastAsia="仿宋_GB2312" w:cs="Times New Roman"/>
          <w:sz w:val="32"/>
          <w:szCs w:val="32"/>
          <w:lang w:eastAsia="zh-CN"/>
        </w:rPr>
      </w:pPr>
    </w:p>
    <w:p w14:paraId="6900EA51">
      <w:pPr>
        <w:pStyle w:val="16"/>
        <w:ind w:firstLine="1280" w:firstLineChars="400"/>
        <w:rPr>
          <w:rFonts w:ascii="Times New Roman" w:hAnsi="Times New Roman" w:eastAsia="仿宋_GB2312" w:cs="Times New Roman"/>
          <w:sz w:val="32"/>
          <w:szCs w:val="32"/>
        </w:rPr>
      </w:pPr>
    </w:p>
    <w:p w14:paraId="6E1AA1DC">
      <w:pPr>
        <w:pStyle w:val="16"/>
        <w:spacing w:line="600" w:lineRule="exact"/>
        <w:ind w:firstLine="640" w:firstLineChars="200"/>
        <w:rPr>
          <w:rFonts w:ascii="Times New Roman" w:hAnsi="Times New Roman" w:eastAsia="仿宋_GB2312" w:cs="Times New Roman"/>
          <w:sz w:val="32"/>
          <w:szCs w:val="32"/>
        </w:rPr>
      </w:pPr>
    </w:p>
    <w:p w14:paraId="35F69A7A">
      <w:pPr>
        <w:pStyle w:val="16"/>
        <w:jc w:val="center"/>
        <w:rPr>
          <w:rFonts w:ascii="Times New Roman" w:hAnsi="Times New Roman" w:cs="Times New Roman"/>
          <w:sz w:val="72"/>
          <w:szCs w:val="72"/>
        </w:rPr>
      </w:pPr>
    </w:p>
    <w:p w14:paraId="04F7D4B8">
      <w:pPr>
        <w:pStyle w:val="16"/>
        <w:jc w:val="center"/>
        <w:rPr>
          <w:rFonts w:ascii="Times New Roman" w:hAnsi="Times New Roman" w:cs="Times New Roman"/>
          <w:sz w:val="72"/>
          <w:szCs w:val="72"/>
        </w:rPr>
      </w:pPr>
    </w:p>
    <w:p w14:paraId="6E1F50E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仿宋_GB18030">
    <w:altName w:val="方正仿宋_GBK"/>
    <w:panose1 w:val="02000000000000000000"/>
    <w:charset w:val="86"/>
    <w:family w:val="auto"/>
    <w:pitch w:val="default"/>
    <w:sig w:usb0="00000000" w:usb1="00000000" w:usb2="00000000"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6FDD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BBE4B">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96194">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8461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C1800">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B5C1800">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6BB079"/>
    <w:multiLevelType w:val="singleLevel"/>
    <w:tmpl w:val="B06BB079"/>
    <w:lvl w:ilvl="0" w:tentative="0">
      <w:start w:val="9"/>
      <w:numFmt w:val="chineseCounting"/>
      <w:suff w:val="nothing"/>
      <w:lvlText w:val="%1、"/>
      <w:lvlJc w:val="left"/>
      <w:rPr>
        <w:rFonts w:hint="eastAsia"/>
      </w:rPr>
    </w:lvl>
  </w:abstractNum>
  <w:abstractNum w:abstractNumId="1">
    <w:nsid w:val="B2CB3350"/>
    <w:multiLevelType w:val="singleLevel"/>
    <w:tmpl w:val="B2CB3350"/>
    <w:lvl w:ilvl="0" w:tentative="0">
      <w:start w:val="1"/>
      <w:numFmt w:val="decimal"/>
      <w:suff w:val="nothing"/>
      <w:lvlText w:val="%1、"/>
      <w:lvlJc w:val="left"/>
    </w:lvl>
  </w:abstractNum>
  <w:abstractNum w:abstractNumId="2">
    <w:nsid w:val="BCF9B818"/>
    <w:multiLevelType w:val="singleLevel"/>
    <w:tmpl w:val="BCF9B818"/>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522D"/>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DF3DE8"/>
    <w:rsid w:val="00E00C7A"/>
    <w:rsid w:val="00E20AA1"/>
    <w:rsid w:val="00E37D6C"/>
    <w:rsid w:val="00E55B68"/>
    <w:rsid w:val="00E561AE"/>
    <w:rsid w:val="00E67BE6"/>
    <w:rsid w:val="00E8683C"/>
    <w:rsid w:val="00EA2B72"/>
    <w:rsid w:val="00F74360"/>
    <w:rsid w:val="00FB462F"/>
    <w:rsid w:val="00FE16FA"/>
    <w:rsid w:val="00FE328A"/>
    <w:rsid w:val="00FE6269"/>
    <w:rsid w:val="00FF5CD6"/>
    <w:rsid w:val="010A3183"/>
    <w:rsid w:val="013E5905"/>
    <w:rsid w:val="01493F1F"/>
    <w:rsid w:val="029A6123"/>
    <w:rsid w:val="03830176"/>
    <w:rsid w:val="03DE7C60"/>
    <w:rsid w:val="04706287"/>
    <w:rsid w:val="04781FB7"/>
    <w:rsid w:val="048E4E55"/>
    <w:rsid w:val="048F36DF"/>
    <w:rsid w:val="056B5971"/>
    <w:rsid w:val="05B55C2C"/>
    <w:rsid w:val="066E4DDC"/>
    <w:rsid w:val="06FB21FC"/>
    <w:rsid w:val="06FB2E10"/>
    <w:rsid w:val="07084FE5"/>
    <w:rsid w:val="07420EBA"/>
    <w:rsid w:val="075671B9"/>
    <w:rsid w:val="07E4541A"/>
    <w:rsid w:val="08D9644F"/>
    <w:rsid w:val="096469B9"/>
    <w:rsid w:val="09A721E0"/>
    <w:rsid w:val="09C528DE"/>
    <w:rsid w:val="0A7276A3"/>
    <w:rsid w:val="0AC54095"/>
    <w:rsid w:val="0AE16866"/>
    <w:rsid w:val="0B0142A0"/>
    <w:rsid w:val="0B552953"/>
    <w:rsid w:val="0C2E7015"/>
    <w:rsid w:val="0CDA7EE2"/>
    <w:rsid w:val="0D3D6768"/>
    <w:rsid w:val="0E290525"/>
    <w:rsid w:val="0F0C5D00"/>
    <w:rsid w:val="0F517752"/>
    <w:rsid w:val="0FA71CC8"/>
    <w:rsid w:val="0FF36448"/>
    <w:rsid w:val="1053365E"/>
    <w:rsid w:val="10D57430"/>
    <w:rsid w:val="11305B15"/>
    <w:rsid w:val="1142185E"/>
    <w:rsid w:val="11D45084"/>
    <w:rsid w:val="12207852"/>
    <w:rsid w:val="12AA235A"/>
    <w:rsid w:val="141E339D"/>
    <w:rsid w:val="1421049F"/>
    <w:rsid w:val="14930823"/>
    <w:rsid w:val="149B6EA9"/>
    <w:rsid w:val="14E3210B"/>
    <w:rsid w:val="15627995"/>
    <w:rsid w:val="158655C1"/>
    <w:rsid w:val="15F304A6"/>
    <w:rsid w:val="160B4DDC"/>
    <w:rsid w:val="168005C7"/>
    <w:rsid w:val="16A162EE"/>
    <w:rsid w:val="16B7488B"/>
    <w:rsid w:val="16B848BF"/>
    <w:rsid w:val="16E94DF8"/>
    <w:rsid w:val="16EF2AF8"/>
    <w:rsid w:val="17446FEC"/>
    <w:rsid w:val="17476D92"/>
    <w:rsid w:val="188170AC"/>
    <w:rsid w:val="18DC6D25"/>
    <w:rsid w:val="19874690"/>
    <w:rsid w:val="19AC574E"/>
    <w:rsid w:val="19C26ACC"/>
    <w:rsid w:val="1A0713BD"/>
    <w:rsid w:val="1A76006B"/>
    <w:rsid w:val="1A775879"/>
    <w:rsid w:val="1A7E766B"/>
    <w:rsid w:val="1AAD7A17"/>
    <w:rsid w:val="1BD46CA9"/>
    <w:rsid w:val="1C6F5ACD"/>
    <w:rsid w:val="1D3F76AF"/>
    <w:rsid w:val="1D8303F5"/>
    <w:rsid w:val="1D892481"/>
    <w:rsid w:val="1D97DEFF"/>
    <w:rsid w:val="1DFF72E5"/>
    <w:rsid w:val="1E014879"/>
    <w:rsid w:val="1E07720A"/>
    <w:rsid w:val="1E7D1840"/>
    <w:rsid w:val="1EB00E4B"/>
    <w:rsid w:val="1EB56C97"/>
    <w:rsid w:val="1EFC6F07"/>
    <w:rsid w:val="1F865D73"/>
    <w:rsid w:val="1FA53C5C"/>
    <w:rsid w:val="20307203"/>
    <w:rsid w:val="2043071A"/>
    <w:rsid w:val="20761D68"/>
    <w:rsid w:val="20825D3E"/>
    <w:rsid w:val="20CC30EE"/>
    <w:rsid w:val="20DB5925"/>
    <w:rsid w:val="212B3843"/>
    <w:rsid w:val="21490DD9"/>
    <w:rsid w:val="223D6BD0"/>
    <w:rsid w:val="227D4256"/>
    <w:rsid w:val="22893C35"/>
    <w:rsid w:val="235677ED"/>
    <w:rsid w:val="23B70A02"/>
    <w:rsid w:val="23DA4F7D"/>
    <w:rsid w:val="23F260E0"/>
    <w:rsid w:val="253E123A"/>
    <w:rsid w:val="256974FD"/>
    <w:rsid w:val="25F60F19"/>
    <w:rsid w:val="260F0358"/>
    <w:rsid w:val="262B3408"/>
    <w:rsid w:val="267D38AE"/>
    <w:rsid w:val="26DB0E48"/>
    <w:rsid w:val="2733293E"/>
    <w:rsid w:val="279D0EF7"/>
    <w:rsid w:val="28513600"/>
    <w:rsid w:val="28AB4C93"/>
    <w:rsid w:val="28CF011A"/>
    <w:rsid w:val="29197DBB"/>
    <w:rsid w:val="29463581"/>
    <w:rsid w:val="29E53368"/>
    <w:rsid w:val="2A013D68"/>
    <w:rsid w:val="2A943D8F"/>
    <w:rsid w:val="2B523A21"/>
    <w:rsid w:val="2B570924"/>
    <w:rsid w:val="2B7976FA"/>
    <w:rsid w:val="2BC36512"/>
    <w:rsid w:val="2C1025EB"/>
    <w:rsid w:val="2CE1214B"/>
    <w:rsid w:val="2CF107A3"/>
    <w:rsid w:val="2D053504"/>
    <w:rsid w:val="2DF76C66"/>
    <w:rsid w:val="2E122096"/>
    <w:rsid w:val="2E512BE3"/>
    <w:rsid w:val="2E513A48"/>
    <w:rsid w:val="2E724570"/>
    <w:rsid w:val="2EE276D8"/>
    <w:rsid w:val="2F652F55"/>
    <w:rsid w:val="2F965D37"/>
    <w:rsid w:val="2FDF85B8"/>
    <w:rsid w:val="2FFFEE04"/>
    <w:rsid w:val="30B0302F"/>
    <w:rsid w:val="31AB16B2"/>
    <w:rsid w:val="31C800DF"/>
    <w:rsid w:val="32733E4A"/>
    <w:rsid w:val="32D530ED"/>
    <w:rsid w:val="33340ABB"/>
    <w:rsid w:val="33CD09C2"/>
    <w:rsid w:val="34495700"/>
    <w:rsid w:val="34635862"/>
    <w:rsid w:val="34A85E70"/>
    <w:rsid w:val="34AA7AFA"/>
    <w:rsid w:val="34DF85B0"/>
    <w:rsid w:val="355422A7"/>
    <w:rsid w:val="357511F0"/>
    <w:rsid w:val="35FF24EF"/>
    <w:rsid w:val="3618121A"/>
    <w:rsid w:val="366D01E3"/>
    <w:rsid w:val="3670172B"/>
    <w:rsid w:val="372575B5"/>
    <w:rsid w:val="37592414"/>
    <w:rsid w:val="3771762E"/>
    <w:rsid w:val="38206E2B"/>
    <w:rsid w:val="38391275"/>
    <w:rsid w:val="38DB0C6A"/>
    <w:rsid w:val="39781B1E"/>
    <w:rsid w:val="3A4837A7"/>
    <w:rsid w:val="3A4A7EAF"/>
    <w:rsid w:val="3A52137E"/>
    <w:rsid w:val="3B42253E"/>
    <w:rsid w:val="3B8F36BC"/>
    <w:rsid w:val="3BD43050"/>
    <w:rsid w:val="3BDF7F39"/>
    <w:rsid w:val="3C22329B"/>
    <w:rsid w:val="3C7319F6"/>
    <w:rsid w:val="3C7431A4"/>
    <w:rsid w:val="3CB00B78"/>
    <w:rsid w:val="3D5E2466"/>
    <w:rsid w:val="3DCD1765"/>
    <w:rsid w:val="3E4C2A84"/>
    <w:rsid w:val="3E612E94"/>
    <w:rsid w:val="3E6C20C0"/>
    <w:rsid w:val="3F102AF4"/>
    <w:rsid w:val="3FD75778"/>
    <w:rsid w:val="3FE13186"/>
    <w:rsid w:val="40066BD1"/>
    <w:rsid w:val="40596E43"/>
    <w:rsid w:val="405D6556"/>
    <w:rsid w:val="407D4AF0"/>
    <w:rsid w:val="41421566"/>
    <w:rsid w:val="422E5A88"/>
    <w:rsid w:val="42396CE3"/>
    <w:rsid w:val="431D1E53"/>
    <w:rsid w:val="433E6126"/>
    <w:rsid w:val="43E50EFF"/>
    <w:rsid w:val="44D67718"/>
    <w:rsid w:val="44E23C72"/>
    <w:rsid w:val="45174A1B"/>
    <w:rsid w:val="45CA35F4"/>
    <w:rsid w:val="45D95037"/>
    <w:rsid w:val="46034FF9"/>
    <w:rsid w:val="464109D2"/>
    <w:rsid w:val="469962FA"/>
    <w:rsid w:val="46AD7BF2"/>
    <w:rsid w:val="46C50B05"/>
    <w:rsid w:val="471C4F0E"/>
    <w:rsid w:val="47975371"/>
    <w:rsid w:val="47B24187"/>
    <w:rsid w:val="49070508"/>
    <w:rsid w:val="491FF225"/>
    <w:rsid w:val="493F0C6B"/>
    <w:rsid w:val="4977163D"/>
    <w:rsid w:val="49F239BA"/>
    <w:rsid w:val="4AB67F08"/>
    <w:rsid w:val="4ACE2284"/>
    <w:rsid w:val="4B1071E1"/>
    <w:rsid w:val="4B330FF6"/>
    <w:rsid w:val="4B876F51"/>
    <w:rsid w:val="4BD0285E"/>
    <w:rsid w:val="4BD91BCB"/>
    <w:rsid w:val="4BD945C2"/>
    <w:rsid w:val="4BDC4E01"/>
    <w:rsid w:val="4BF07300"/>
    <w:rsid w:val="4C2F0AB2"/>
    <w:rsid w:val="4C3402EA"/>
    <w:rsid w:val="4C5574D1"/>
    <w:rsid w:val="4D477799"/>
    <w:rsid w:val="4D830AB8"/>
    <w:rsid w:val="4D9439C3"/>
    <w:rsid w:val="4E771DAB"/>
    <w:rsid w:val="4EA82EC0"/>
    <w:rsid w:val="4FFD214C"/>
    <w:rsid w:val="50343177"/>
    <w:rsid w:val="50956E75"/>
    <w:rsid w:val="50B937E8"/>
    <w:rsid w:val="52B20976"/>
    <w:rsid w:val="52FD220E"/>
    <w:rsid w:val="53126808"/>
    <w:rsid w:val="53175F60"/>
    <w:rsid w:val="53315014"/>
    <w:rsid w:val="537B5EF7"/>
    <w:rsid w:val="559726D4"/>
    <w:rsid w:val="55BD3BF2"/>
    <w:rsid w:val="55CA149B"/>
    <w:rsid w:val="56472611"/>
    <w:rsid w:val="56A11E54"/>
    <w:rsid w:val="56CC3D23"/>
    <w:rsid w:val="571C3C47"/>
    <w:rsid w:val="571F0487"/>
    <w:rsid w:val="573F14F3"/>
    <w:rsid w:val="5777D4F5"/>
    <w:rsid w:val="57F042A4"/>
    <w:rsid w:val="5811739B"/>
    <w:rsid w:val="58525AD6"/>
    <w:rsid w:val="590E1498"/>
    <w:rsid w:val="594F03BA"/>
    <w:rsid w:val="595046C3"/>
    <w:rsid w:val="599D333F"/>
    <w:rsid w:val="59DD8326"/>
    <w:rsid w:val="5A385085"/>
    <w:rsid w:val="5A673E15"/>
    <w:rsid w:val="5A9179EE"/>
    <w:rsid w:val="5B1B265C"/>
    <w:rsid w:val="5B3C7E40"/>
    <w:rsid w:val="5BA53952"/>
    <w:rsid w:val="5C285FBB"/>
    <w:rsid w:val="5C682F27"/>
    <w:rsid w:val="5C793DBF"/>
    <w:rsid w:val="5CC74C97"/>
    <w:rsid w:val="5CFF4B59"/>
    <w:rsid w:val="5DEF592A"/>
    <w:rsid w:val="5E173EAF"/>
    <w:rsid w:val="5E2558D5"/>
    <w:rsid w:val="5E2A4897"/>
    <w:rsid w:val="5E6A6113"/>
    <w:rsid w:val="5E8E0723"/>
    <w:rsid w:val="5F2652FF"/>
    <w:rsid w:val="5FC6BB1E"/>
    <w:rsid w:val="5FF720F1"/>
    <w:rsid w:val="60332FAD"/>
    <w:rsid w:val="60472375"/>
    <w:rsid w:val="606B1DF3"/>
    <w:rsid w:val="60E41EEA"/>
    <w:rsid w:val="60F53FB5"/>
    <w:rsid w:val="61123304"/>
    <w:rsid w:val="61A01E4A"/>
    <w:rsid w:val="620915CC"/>
    <w:rsid w:val="62BE674B"/>
    <w:rsid w:val="63563715"/>
    <w:rsid w:val="636613F0"/>
    <w:rsid w:val="64282148"/>
    <w:rsid w:val="65391F09"/>
    <w:rsid w:val="65415A67"/>
    <w:rsid w:val="654964DA"/>
    <w:rsid w:val="65AE1C3D"/>
    <w:rsid w:val="65BA2773"/>
    <w:rsid w:val="65E07311"/>
    <w:rsid w:val="65EC7721"/>
    <w:rsid w:val="65F543D3"/>
    <w:rsid w:val="6606648F"/>
    <w:rsid w:val="67FF5C0B"/>
    <w:rsid w:val="68017A1B"/>
    <w:rsid w:val="68782B68"/>
    <w:rsid w:val="68A0218C"/>
    <w:rsid w:val="69F9393F"/>
    <w:rsid w:val="6AF76F4D"/>
    <w:rsid w:val="6B2E1C50"/>
    <w:rsid w:val="6B663431"/>
    <w:rsid w:val="6B990ED7"/>
    <w:rsid w:val="6BED6CE1"/>
    <w:rsid w:val="6BF2783B"/>
    <w:rsid w:val="6C010AD2"/>
    <w:rsid w:val="6C0C4C71"/>
    <w:rsid w:val="6C3D23DD"/>
    <w:rsid w:val="6C940498"/>
    <w:rsid w:val="6CD22F43"/>
    <w:rsid w:val="6DBF6E28"/>
    <w:rsid w:val="6E45002C"/>
    <w:rsid w:val="6E6B5988"/>
    <w:rsid w:val="6E765A7E"/>
    <w:rsid w:val="6EFC0924"/>
    <w:rsid w:val="6F697EB7"/>
    <w:rsid w:val="6F805790"/>
    <w:rsid w:val="6FB74722"/>
    <w:rsid w:val="6FD62938"/>
    <w:rsid w:val="6FEF8B7E"/>
    <w:rsid w:val="712C5546"/>
    <w:rsid w:val="71A6591B"/>
    <w:rsid w:val="71AC3749"/>
    <w:rsid w:val="71B7054B"/>
    <w:rsid w:val="722778B9"/>
    <w:rsid w:val="726C3C07"/>
    <w:rsid w:val="737D59BA"/>
    <w:rsid w:val="739B4FF5"/>
    <w:rsid w:val="73A60209"/>
    <w:rsid w:val="73CC5011"/>
    <w:rsid w:val="73F52CBF"/>
    <w:rsid w:val="740135CA"/>
    <w:rsid w:val="74405A21"/>
    <w:rsid w:val="748F244F"/>
    <w:rsid w:val="74AE2004"/>
    <w:rsid w:val="74FC69EF"/>
    <w:rsid w:val="75A13C8B"/>
    <w:rsid w:val="75CB7A5F"/>
    <w:rsid w:val="75EA5248"/>
    <w:rsid w:val="762E10D7"/>
    <w:rsid w:val="778B095A"/>
    <w:rsid w:val="778C4E61"/>
    <w:rsid w:val="77C37683"/>
    <w:rsid w:val="77D05759"/>
    <w:rsid w:val="77F72A41"/>
    <w:rsid w:val="78114EA0"/>
    <w:rsid w:val="782F3AE6"/>
    <w:rsid w:val="7840314C"/>
    <w:rsid w:val="791C4CCA"/>
    <w:rsid w:val="79634C17"/>
    <w:rsid w:val="797B78DE"/>
    <w:rsid w:val="79D19834"/>
    <w:rsid w:val="79FF515B"/>
    <w:rsid w:val="7A273FEA"/>
    <w:rsid w:val="7A6E7806"/>
    <w:rsid w:val="7A71284C"/>
    <w:rsid w:val="7A9E283F"/>
    <w:rsid w:val="7B0E6BCA"/>
    <w:rsid w:val="7B40434D"/>
    <w:rsid w:val="7B443A67"/>
    <w:rsid w:val="7BD85F8F"/>
    <w:rsid w:val="7BFD6C42"/>
    <w:rsid w:val="7C243D7D"/>
    <w:rsid w:val="7C5C4828"/>
    <w:rsid w:val="7C6E6D45"/>
    <w:rsid w:val="7DD0779C"/>
    <w:rsid w:val="7DFE03F0"/>
    <w:rsid w:val="7E101AA8"/>
    <w:rsid w:val="7E230A60"/>
    <w:rsid w:val="7E9E1962"/>
    <w:rsid w:val="7E9F11B4"/>
    <w:rsid w:val="7F37EC1E"/>
    <w:rsid w:val="7F7DCD9D"/>
    <w:rsid w:val="7F970A6F"/>
    <w:rsid w:val="7FBA6A27"/>
    <w:rsid w:val="7FC1FFF3"/>
    <w:rsid w:val="7FC64955"/>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customStyle="1" w:styleId="13">
    <w:name w:val="列出段落1"/>
    <w:basedOn w:val="1"/>
    <w:qFormat/>
    <w:uiPriority w:val="0"/>
    <w:pPr>
      <w:widowControl/>
      <w:ind w:firstLine="420" w:firstLineChars="200"/>
      <w:jc w:val="left"/>
    </w:pPr>
    <w:rPr>
      <w:rFonts w:ascii="宋体" w:hAnsi="宋体" w:cs="宋体"/>
      <w:sz w:val="24"/>
      <w:szCs w:val="24"/>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30"/>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7802</Words>
  <Characters>8391</Characters>
  <Lines>69</Lines>
  <Paragraphs>19</Paragraphs>
  <TotalTime>2</TotalTime>
  <ScaleCrop>false</ScaleCrop>
  <LinksUpToDate>false</LinksUpToDate>
  <CharactersWithSpaces>8447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A梦</cp:lastModifiedBy>
  <cp:lastPrinted>2024-08-09T02:20:00Z</cp:lastPrinted>
  <dcterms:modified xsi:type="dcterms:W3CDTF">2026-10-12T15:37:03Z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7D90E6AC17CD467280F23F5C34D0E84C_13</vt:lpwstr>
  </property>
  <property fmtid="{D5CDD505-2E9C-101B-9397-08002B2CF9AE}" pid="4" name="KSOSaveFontToCloudKey">
    <vt:lpwstr>630175869_btnclosed</vt:lpwstr>
  </property>
  <property fmtid="{D5CDD505-2E9C-101B-9397-08002B2CF9AE}" pid="5" name="KSOTemplateDocerSaveRecord">
    <vt:lpwstr>eyJoZGlkIjoiZTdlYjQyZjMzNWU1ZDE3ZmM2YmFmNjE3YTcyMWI0MTIiLCJ1c2VySWQiOiI2MzAxNzU4NjkifQ==</vt:lpwstr>
  </property>
</Properties>
</file>