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DFDCE">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32"/>
          <w:szCs w:val="32"/>
          <w:lang w:val="en-US" w:eastAsia="zh-CN" w:bidi="ar-SA"/>
        </w:rPr>
      </w:pPr>
    </w:p>
    <w:p w14:paraId="538F84E5">
      <w:pPr>
        <w:rPr>
          <w:rFonts w:hint="eastAsia" w:ascii="方正黑体_GBK" w:hAnsi="方正黑体_GBK" w:eastAsia="方正黑体_GBK" w:cs="方正黑体_GBK"/>
          <w:b/>
          <w:bCs/>
          <w:color w:val="auto"/>
          <w:sz w:val="32"/>
          <w:szCs w:val="32"/>
          <w:highlight w:val="none"/>
          <w:lang w:val="en-US" w:eastAsia="zh-CN"/>
        </w:rPr>
      </w:pPr>
    </w:p>
    <w:p w14:paraId="1741444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42201DC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15F259C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附件5</w:t>
      </w:r>
    </w:p>
    <w:p w14:paraId="314CF53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58A8A1D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826ADE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2025年度怀化市城乡建设事务中心</w:t>
      </w:r>
    </w:p>
    <w:p w14:paraId="49B52A4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部门整体支出绩效自评报告</w:t>
      </w:r>
    </w:p>
    <w:p w14:paraId="29FF1F2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3F36098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ACD472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A47710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1A7CE1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2CC6EB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957BF3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E0899D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BA872E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8D2704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2BAABF3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621CA432">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738AB1E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w:t>
      </w:r>
    </w:p>
    <w:p w14:paraId="71D4C833">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75A7F813">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79C9721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1C9B701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41515D9F">
      <w:pPr>
        <w:widowControl/>
        <w:spacing w:line="500" w:lineRule="auto"/>
        <w:ind w:firstLine="627" w:firstLineChars="196"/>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怀化市城乡建设事务中心作为怀化市住房和城乡建设局的二级部门预算单位，为正科级公益一类事业单位，财政全额拨款事业单位。内设科室为：怀化市城乡建设事务中心。</w:t>
      </w:r>
    </w:p>
    <w:p w14:paraId="5F76FAF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我单位2025年人员编制数为38人，年末在职在编人员38人。</w:t>
      </w:r>
    </w:p>
    <w:p w14:paraId="4DC5B87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怀化市建设工程质量安全监督站的主要职责是负责市本级城市规划区内（含鹤城区）和指导县（市、区）燃气管理工作；负责宣传贯彻国家、省、市燃气管理的法规、标准、政策；</w:t>
      </w:r>
    </w:p>
    <w:p w14:paraId="48D9221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负责城镇燃气规划、计划的制定、修订及组织实施；负责燃气企业、燃气燃烧器具安装维修企业及燃气设施改动行政审批的审核及管理工作；负责对燃气企业经营单位及燃气燃烧器具安装维修企业的监督；负责燃气经营单位及燃气燃烧器具安装维修企业从业人员的职业技能资格培训工作；负责供气事故应急预案的制定、修订及组织实施；为建设工程提供造价管理服务；</w:t>
      </w:r>
    </w:p>
    <w:p w14:paraId="14D395F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贯彻执行有关工程造价法律、政策，按时准确发布建安材料价格信息。实行动态管理，对造价从业人员、造价咨询机构进行统一管理、监督、检查，做好定额解释、仲裁服务工作；配合生态环境部门积极做好入河排污口排查整治工作；加强对污水主干管网维护单位的日常监管，督促指导维护单位建立应急预案，完善应急管理机制；有序推进太平溪污染问题整改工作；</w:t>
      </w:r>
    </w:p>
    <w:p w14:paraId="258739B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宣传和贯彻执行国家、省有关建设工程招标投标的方针政策和法律、规章；承担对市住房城乡建设局指定区域范围内房屋建筑和市政工程招标投标活动实施监督管理的事务性工作；承担规范招标代理机构市场行为的事务性工作,负责招标代理机构的业务培训、不良行为的记录等工作；承担招标投标活动中违法违规行为查处的事务性工作；承担评标专家履职情况检查的事务性工作；协助处理招标投标活动的投诉举报工作；负责对区县（市)建设工程招标投标工作的业务指导；负责处理上级主管部门交办的其它事宜。 </w:t>
      </w:r>
    </w:p>
    <w:p w14:paraId="0D2B334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（二）部门（单位）整体支出情况</w:t>
      </w:r>
    </w:p>
    <w:p w14:paraId="7250876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2025年决算支出数3258.29万元，其中：</w:t>
      </w:r>
      <w:r>
        <w:rPr>
          <w:rFonts w:hint="eastAsia" w:ascii="仿宋_GB2312" w:hAnsi="仿宋" w:eastAsia="仿宋_GB2312"/>
          <w:sz w:val="32"/>
          <w:szCs w:val="32"/>
        </w:rPr>
        <w:t>一般公共服务支出</w:t>
      </w:r>
      <w:r>
        <w:rPr>
          <w:rFonts w:hint="eastAsia" w:ascii="Times New Roman Regular" w:hAnsi="Times New Roman Regular" w:eastAsia="仿宋_GB2312" w:cs="Times New Roman Regular"/>
          <w:color w:val="auto"/>
          <w:sz w:val="32"/>
          <w:szCs w:val="32"/>
          <w:highlight w:val="none"/>
          <w:lang w:val="en-US" w:eastAsia="zh-CN"/>
        </w:rPr>
        <w:t>30</w:t>
      </w:r>
      <w:r>
        <w:rPr>
          <w:rFonts w:hint="eastAsia" w:ascii="仿宋_GB2312" w:hAnsi="仿宋" w:eastAsia="仿宋_GB2312"/>
          <w:sz w:val="32"/>
          <w:szCs w:val="32"/>
          <w:lang w:val="en-US" w:eastAsia="zh-CN"/>
        </w:rPr>
        <w:t>.</w:t>
      </w:r>
      <w:r>
        <w:rPr>
          <w:rFonts w:hint="eastAsia" w:ascii="Times New Roman Regular" w:hAnsi="Times New Roman Regular" w:eastAsia="仿宋_GB2312" w:cs="Times New Roman Regular"/>
          <w:color w:val="auto"/>
          <w:sz w:val="32"/>
          <w:szCs w:val="32"/>
          <w:highlight w:val="none"/>
          <w:lang w:val="en-US" w:eastAsia="zh-CN"/>
        </w:rPr>
        <w:t>4</w:t>
      </w:r>
      <w:r>
        <w:rPr>
          <w:rFonts w:hint="eastAsia" w:ascii="仿宋_GB2312" w:hAnsi="仿宋" w:eastAsia="仿宋_GB2312"/>
          <w:sz w:val="32"/>
          <w:szCs w:val="32"/>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社会保障和就业支出84.58万元、卫生健康支出1.13万元、城乡社区支出966.82万元、交通运输支出2170.2万元、住房保障支出5.15万元。</w:t>
      </w:r>
    </w:p>
    <w:p w14:paraId="1553DBC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06B2FD4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6BE0F74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年基本支出总计</w:t>
      </w:r>
      <w:r>
        <w:rPr>
          <w:rFonts w:hint="eastAsia" w:ascii="Times New Roman Regular" w:hAnsi="Times New Roman Regular" w:eastAsia="仿宋_GB2312" w:cs="Times New Roman Regular"/>
          <w:color w:val="auto"/>
          <w:sz w:val="32"/>
          <w:szCs w:val="32"/>
          <w:highlight w:val="none"/>
          <w:lang w:val="en-US" w:eastAsia="zh-CN"/>
        </w:rPr>
        <w:t>673.55</w:t>
      </w:r>
      <w:r>
        <w:rPr>
          <w:rFonts w:hint="default" w:ascii="Times New Roman Regular" w:hAnsi="Times New Roman Regular" w:eastAsia="仿宋_GB2312" w:cs="Times New Roman Regular"/>
          <w:color w:val="auto"/>
          <w:sz w:val="32"/>
          <w:szCs w:val="32"/>
          <w:highlight w:val="none"/>
          <w:lang w:val="en-US" w:eastAsia="zh-CN"/>
        </w:rPr>
        <w:t>万元，主要用于工资福利支出</w:t>
      </w:r>
      <w:r>
        <w:rPr>
          <w:rFonts w:hint="eastAsia" w:ascii="Times New Roman Regular" w:hAnsi="Times New Roman Regular" w:eastAsia="仿宋_GB2312" w:cs="Times New Roman Regular"/>
          <w:color w:val="auto"/>
          <w:sz w:val="32"/>
          <w:szCs w:val="32"/>
          <w:highlight w:val="none"/>
          <w:lang w:val="en-US" w:eastAsia="zh-CN"/>
        </w:rPr>
        <w:t>596.14</w:t>
      </w:r>
      <w:r>
        <w:rPr>
          <w:rFonts w:hint="default" w:ascii="Times New Roman Regular" w:hAnsi="Times New Roman Regular" w:eastAsia="仿宋_GB2312" w:cs="Times New Roman Regular"/>
          <w:color w:val="auto"/>
          <w:sz w:val="32"/>
          <w:szCs w:val="32"/>
          <w:highlight w:val="none"/>
          <w:lang w:val="en-US" w:eastAsia="zh-CN"/>
        </w:rPr>
        <w:t>万元，商品和服务支出</w:t>
      </w:r>
      <w:r>
        <w:rPr>
          <w:rFonts w:hint="eastAsia" w:ascii="Times New Roman Regular" w:hAnsi="Times New Roman Regular" w:eastAsia="仿宋_GB2312" w:cs="Times New Roman Regular"/>
          <w:color w:val="auto"/>
          <w:sz w:val="32"/>
          <w:szCs w:val="32"/>
          <w:highlight w:val="none"/>
          <w:lang w:val="en-US" w:eastAsia="zh-CN"/>
        </w:rPr>
        <w:t>50.79</w:t>
      </w:r>
      <w:r>
        <w:rPr>
          <w:rFonts w:hint="default" w:ascii="Times New Roman Regular" w:hAnsi="Times New Roman Regular" w:eastAsia="仿宋_GB2312" w:cs="Times New Roman Regular"/>
          <w:color w:val="auto"/>
          <w:sz w:val="32"/>
          <w:szCs w:val="32"/>
          <w:highlight w:val="none"/>
          <w:lang w:val="en-US" w:eastAsia="zh-CN"/>
        </w:rPr>
        <w:t>万元，对个人和家庭的补助</w:t>
      </w:r>
      <w:r>
        <w:rPr>
          <w:rFonts w:hint="eastAsia" w:ascii="Times New Roman Regular" w:hAnsi="Times New Roman Regular" w:eastAsia="仿宋_GB2312" w:cs="Times New Roman Regular"/>
          <w:color w:val="auto"/>
          <w:sz w:val="32"/>
          <w:szCs w:val="32"/>
          <w:highlight w:val="none"/>
          <w:lang w:val="en-US" w:eastAsia="zh-CN"/>
        </w:rPr>
        <w:t>26.62</w:t>
      </w:r>
      <w:r>
        <w:rPr>
          <w:rFonts w:hint="default" w:ascii="Times New Roman Regular" w:hAnsi="Times New Roman Regular" w:eastAsia="仿宋_GB2312" w:cs="Times New Roman Regular"/>
          <w:color w:val="auto"/>
          <w:sz w:val="32"/>
          <w:szCs w:val="32"/>
          <w:highlight w:val="none"/>
          <w:lang w:val="en-US" w:eastAsia="zh-CN"/>
        </w:rPr>
        <w:t>万元。“三公”经费预算数</w:t>
      </w:r>
      <w:r>
        <w:rPr>
          <w:rFonts w:hint="eastAsia" w:ascii="Times New Roman Regular" w:hAnsi="Times New Roman Regular" w:eastAsia="仿宋_GB2312" w:cs="Times New Roman Regular"/>
          <w:color w:val="auto"/>
          <w:sz w:val="32"/>
          <w:szCs w:val="32"/>
          <w:highlight w:val="none"/>
          <w:lang w:val="en-US" w:eastAsia="zh-CN"/>
        </w:rPr>
        <w:t>1</w:t>
      </w:r>
      <w:r>
        <w:rPr>
          <w:rFonts w:hint="default" w:ascii="Times New Roman Regular" w:hAnsi="Times New Roman Regular" w:eastAsia="仿宋_GB2312" w:cs="Times New Roman Regular"/>
          <w:color w:val="auto"/>
          <w:sz w:val="32"/>
          <w:szCs w:val="32"/>
          <w:highlight w:val="none"/>
          <w:lang w:val="en-US" w:eastAsia="zh-CN"/>
        </w:rPr>
        <w:t>万元，决算数</w:t>
      </w:r>
      <w:r>
        <w:rPr>
          <w:rFonts w:hint="eastAsia" w:ascii="Times New Roman Regular" w:hAnsi="Times New Roman Regular" w:eastAsia="仿宋_GB2312" w:cs="Times New Roman Regular"/>
          <w:color w:val="auto"/>
          <w:sz w:val="32"/>
          <w:szCs w:val="32"/>
          <w:highlight w:val="none"/>
          <w:lang w:val="en-US" w:eastAsia="zh-CN"/>
        </w:rPr>
        <w:t>0.99</w:t>
      </w:r>
      <w:r>
        <w:rPr>
          <w:rFonts w:hint="default" w:ascii="Times New Roman Regular" w:hAnsi="Times New Roman Regular" w:eastAsia="仿宋_GB2312" w:cs="Times New Roman Regular"/>
          <w:color w:val="auto"/>
          <w:sz w:val="32"/>
          <w:szCs w:val="32"/>
          <w:highlight w:val="none"/>
          <w:lang w:val="en-US" w:eastAsia="zh-CN"/>
        </w:rPr>
        <w:t>万元。其中公务接待费</w:t>
      </w:r>
      <w:r>
        <w:rPr>
          <w:rFonts w:hint="eastAsia" w:ascii="Times New Roman Regular" w:hAnsi="Times New Roman Regular" w:eastAsia="仿宋_GB2312" w:cs="Times New Roman Regular"/>
          <w:color w:val="auto"/>
          <w:sz w:val="32"/>
          <w:szCs w:val="32"/>
          <w:highlight w:val="none"/>
          <w:lang w:val="en-US" w:eastAsia="zh-CN"/>
        </w:rPr>
        <w:t>0</w:t>
      </w:r>
      <w:r>
        <w:rPr>
          <w:rFonts w:hint="default" w:ascii="Times New Roman Regular" w:hAnsi="Times New Roman Regular" w:eastAsia="仿宋_GB2312" w:cs="Times New Roman Regular"/>
          <w:color w:val="auto"/>
          <w:sz w:val="32"/>
          <w:szCs w:val="32"/>
          <w:highlight w:val="none"/>
          <w:lang w:val="en-US" w:eastAsia="zh-CN"/>
        </w:rPr>
        <w:t>万元、公务用车购置及运行维护费</w:t>
      </w:r>
      <w:r>
        <w:rPr>
          <w:rFonts w:hint="eastAsia" w:ascii="Times New Roman Regular" w:hAnsi="Times New Roman Regular" w:eastAsia="仿宋_GB2312" w:cs="Times New Roman Regular"/>
          <w:color w:val="auto"/>
          <w:sz w:val="32"/>
          <w:szCs w:val="32"/>
          <w:highlight w:val="none"/>
          <w:lang w:val="en-US" w:eastAsia="zh-CN"/>
        </w:rPr>
        <w:t>0.99</w:t>
      </w:r>
      <w:r>
        <w:rPr>
          <w:rFonts w:hint="default" w:ascii="Times New Roman Regular" w:hAnsi="Times New Roman Regular" w:eastAsia="仿宋_GB2312" w:cs="Times New Roman Regular"/>
          <w:color w:val="auto"/>
          <w:sz w:val="32"/>
          <w:szCs w:val="32"/>
          <w:highlight w:val="none"/>
          <w:lang w:val="en-US" w:eastAsia="zh-CN"/>
        </w:rPr>
        <w:t>万元、因公出国费用0.00万元。</w:t>
      </w:r>
    </w:p>
    <w:p w14:paraId="5BE57FE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26FD619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项目支出是在基本支出之外为完成其特定的工作任务而发生的支出。我单位的项目支出主要为污水管理专项业务费、污泥干化处置费用、污水截污干管费用、《怀化工程造价》刊物编辑发行、价格信息建库等经费、燃气管理专项工作经费、坨院路建设项目、湖园路（湖天组团支路-湖天大道）道路工程、香洲南路-禾塘路（刘塘路至会展路）项目、城市基础设施配套费征收经费、年度考核奖、养老保险缴费、全额单位医疗保险缴费、年度考核奖住房公积金财政配套、追加住房公积金。</w:t>
      </w:r>
    </w:p>
    <w:p w14:paraId="3A78688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w:t>
      </w:r>
      <w:r>
        <w:rPr>
          <w:rFonts w:hint="eastAsia" w:ascii="Times New Roman Regular" w:hAnsi="Times New Roman Regular" w:eastAsia="仿宋_GB2312" w:cs="Times New Roman Regular"/>
          <w:b/>
          <w:bCs/>
          <w:color w:val="auto"/>
          <w:sz w:val="32"/>
          <w:szCs w:val="32"/>
          <w:highlight w:val="none"/>
          <w:lang w:val="en-US" w:eastAsia="zh-CN"/>
        </w:rPr>
        <w:t>市本级财政专项资金安排情况表        单位：万元</w:t>
      </w:r>
      <w:r>
        <w:rPr>
          <w:rFonts w:hint="eastAsia" w:ascii="Times New Roman Regular" w:hAnsi="Times New Roman Regular" w:eastAsia="仿宋_GB2312" w:cs="Times New Roman Regular"/>
          <w:color w:val="auto"/>
          <w:sz w:val="32"/>
          <w:szCs w:val="32"/>
          <w:highlight w:val="none"/>
          <w:lang w:val="en-US" w:eastAsia="zh-CN"/>
        </w:rPr>
        <w:t xml:space="preserve">                 </w:t>
      </w:r>
    </w:p>
    <w:tbl>
      <w:tblPr>
        <w:tblStyle w:val="11"/>
        <w:tblW w:w="9630" w:type="dxa"/>
        <w:tblInd w:w="-4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4125"/>
        <w:gridCol w:w="1605"/>
        <w:gridCol w:w="1560"/>
        <w:gridCol w:w="1485"/>
      </w:tblGrid>
      <w:tr w14:paraId="2FBB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2D99E1D1">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序号</w:t>
            </w:r>
          </w:p>
        </w:tc>
        <w:tc>
          <w:tcPr>
            <w:tcW w:w="4125" w:type="dxa"/>
            <w:vAlign w:val="center"/>
          </w:tcPr>
          <w:p w14:paraId="75DA3DEA">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项目</w:t>
            </w:r>
          </w:p>
        </w:tc>
        <w:tc>
          <w:tcPr>
            <w:tcW w:w="1605" w:type="dxa"/>
            <w:vAlign w:val="center"/>
          </w:tcPr>
          <w:p w14:paraId="737B65FD">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预算数</w:t>
            </w:r>
          </w:p>
        </w:tc>
        <w:tc>
          <w:tcPr>
            <w:tcW w:w="1560" w:type="dxa"/>
            <w:vAlign w:val="center"/>
          </w:tcPr>
          <w:p w14:paraId="3F1CE8BD">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决算数</w:t>
            </w:r>
          </w:p>
        </w:tc>
        <w:tc>
          <w:tcPr>
            <w:tcW w:w="1485" w:type="dxa"/>
            <w:vAlign w:val="center"/>
          </w:tcPr>
          <w:p w14:paraId="316194B8">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备注</w:t>
            </w:r>
          </w:p>
        </w:tc>
      </w:tr>
      <w:tr w14:paraId="18977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855" w:type="dxa"/>
            <w:vAlign w:val="center"/>
          </w:tcPr>
          <w:p w14:paraId="14E51ABA">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p>
        </w:tc>
        <w:tc>
          <w:tcPr>
            <w:tcW w:w="4125" w:type="dxa"/>
            <w:vAlign w:val="center"/>
          </w:tcPr>
          <w:p w14:paraId="1A0D4A36">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污水管理专项业务费</w:t>
            </w:r>
          </w:p>
        </w:tc>
        <w:tc>
          <w:tcPr>
            <w:tcW w:w="1605" w:type="dxa"/>
            <w:vAlign w:val="center"/>
          </w:tcPr>
          <w:p w14:paraId="1E14C68D">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30</w:t>
            </w:r>
          </w:p>
        </w:tc>
        <w:tc>
          <w:tcPr>
            <w:tcW w:w="1560" w:type="dxa"/>
            <w:vAlign w:val="center"/>
          </w:tcPr>
          <w:p w14:paraId="49918151">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30</w:t>
            </w:r>
          </w:p>
        </w:tc>
        <w:tc>
          <w:tcPr>
            <w:tcW w:w="1485" w:type="dxa"/>
            <w:vAlign w:val="center"/>
          </w:tcPr>
          <w:p w14:paraId="44CE450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56CDB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55" w:type="dxa"/>
            <w:vAlign w:val="center"/>
          </w:tcPr>
          <w:p w14:paraId="752C3C7F">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p>
        </w:tc>
        <w:tc>
          <w:tcPr>
            <w:tcW w:w="4125" w:type="dxa"/>
            <w:vAlign w:val="center"/>
          </w:tcPr>
          <w:p w14:paraId="241AFF0B">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污泥干化处置费用</w:t>
            </w:r>
          </w:p>
        </w:tc>
        <w:tc>
          <w:tcPr>
            <w:tcW w:w="1605" w:type="dxa"/>
            <w:vAlign w:val="center"/>
          </w:tcPr>
          <w:p w14:paraId="14DE76C7">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1383</w:t>
            </w:r>
          </w:p>
        </w:tc>
        <w:tc>
          <w:tcPr>
            <w:tcW w:w="1560" w:type="dxa"/>
            <w:vAlign w:val="center"/>
          </w:tcPr>
          <w:p w14:paraId="2F1CAD5D">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50</w:t>
            </w:r>
          </w:p>
        </w:tc>
        <w:tc>
          <w:tcPr>
            <w:tcW w:w="1485" w:type="dxa"/>
            <w:vAlign w:val="center"/>
          </w:tcPr>
          <w:p w14:paraId="65599A3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3D1B9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55" w:type="dxa"/>
            <w:vAlign w:val="center"/>
          </w:tcPr>
          <w:p w14:paraId="702081AC">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w:t>
            </w:r>
          </w:p>
        </w:tc>
        <w:tc>
          <w:tcPr>
            <w:tcW w:w="4125" w:type="dxa"/>
            <w:vAlign w:val="center"/>
          </w:tcPr>
          <w:p w14:paraId="3A5FFFFC">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污水截污干管费用</w:t>
            </w:r>
          </w:p>
        </w:tc>
        <w:tc>
          <w:tcPr>
            <w:tcW w:w="1605" w:type="dxa"/>
            <w:vAlign w:val="center"/>
          </w:tcPr>
          <w:p w14:paraId="4C6AF732">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137</w:t>
            </w:r>
          </w:p>
        </w:tc>
        <w:tc>
          <w:tcPr>
            <w:tcW w:w="1560" w:type="dxa"/>
            <w:vAlign w:val="center"/>
          </w:tcPr>
          <w:p w14:paraId="716B09D4">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80</w:t>
            </w:r>
          </w:p>
        </w:tc>
        <w:tc>
          <w:tcPr>
            <w:tcW w:w="1485" w:type="dxa"/>
            <w:vAlign w:val="center"/>
          </w:tcPr>
          <w:p w14:paraId="635AD25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0774E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855" w:type="dxa"/>
            <w:vAlign w:val="center"/>
          </w:tcPr>
          <w:p w14:paraId="5B682784">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w:t>
            </w:r>
          </w:p>
        </w:tc>
        <w:tc>
          <w:tcPr>
            <w:tcW w:w="4125" w:type="dxa"/>
            <w:vAlign w:val="center"/>
          </w:tcPr>
          <w:p w14:paraId="6BFAB026">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《怀化工程造价》刊物编辑发行、价格信息建库等经费</w:t>
            </w:r>
          </w:p>
        </w:tc>
        <w:tc>
          <w:tcPr>
            <w:tcW w:w="1605" w:type="dxa"/>
            <w:vAlign w:val="center"/>
          </w:tcPr>
          <w:p w14:paraId="41184434">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w:t>
            </w:r>
          </w:p>
        </w:tc>
        <w:tc>
          <w:tcPr>
            <w:tcW w:w="1560" w:type="dxa"/>
            <w:vAlign w:val="center"/>
          </w:tcPr>
          <w:p w14:paraId="5EF7CDA4">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w:t>
            </w:r>
          </w:p>
        </w:tc>
        <w:tc>
          <w:tcPr>
            <w:tcW w:w="1485" w:type="dxa"/>
            <w:vAlign w:val="center"/>
          </w:tcPr>
          <w:p w14:paraId="486974B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453E7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855" w:type="dxa"/>
            <w:vAlign w:val="center"/>
          </w:tcPr>
          <w:p w14:paraId="19780E57">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5</w:t>
            </w:r>
          </w:p>
        </w:tc>
        <w:tc>
          <w:tcPr>
            <w:tcW w:w="4125" w:type="dxa"/>
            <w:vAlign w:val="center"/>
          </w:tcPr>
          <w:p w14:paraId="703895B6">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燃气管理专项工作经费</w:t>
            </w:r>
          </w:p>
        </w:tc>
        <w:tc>
          <w:tcPr>
            <w:tcW w:w="1605" w:type="dxa"/>
            <w:vAlign w:val="center"/>
          </w:tcPr>
          <w:p w14:paraId="0FBAD191">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40</w:t>
            </w:r>
          </w:p>
        </w:tc>
        <w:tc>
          <w:tcPr>
            <w:tcW w:w="1560" w:type="dxa"/>
            <w:vAlign w:val="center"/>
          </w:tcPr>
          <w:p w14:paraId="26727F8D">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39.84</w:t>
            </w:r>
          </w:p>
        </w:tc>
        <w:tc>
          <w:tcPr>
            <w:tcW w:w="1485" w:type="dxa"/>
            <w:vAlign w:val="center"/>
          </w:tcPr>
          <w:p w14:paraId="3336C2B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43FFB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855" w:type="dxa"/>
            <w:vAlign w:val="center"/>
          </w:tcPr>
          <w:p w14:paraId="63FA1DB9">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6</w:t>
            </w:r>
          </w:p>
        </w:tc>
        <w:tc>
          <w:tcPr>
            <w:tcW w:w="4125" w:type="dxa"/>
            <w:vAlign w:val="center"/>
          </w:tcPr>
          <w:p w14:paraId="66CC0CFB">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坨院路建设项目</w:t>
            </w:r>
          </w:p>
        </w:tc>
        <w:tc>
          <w:tcPr>
            <w:tcW w:w="1605" w:type="dxa"/>
            <w:vAlign w:val="center"/>
          </w:tcPr>
          <w:p w14:paraId="18CBE40B">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w:t>
            </w:r>
          </w:p>
        </w:tc>
        <w:tc>
          <w:tcPr>
            <w:tcW w:w="1560" w:type="dxa"/>
            <w:vAlign w:val="center"/>
          </w:tcPr>
          <w:p w14:paraId="1C31AE3B">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2144.52</w:t>
            </w:r>
          </w:p>
        </w:tc>
        <w:tc>
          <w:tcPr>
            <w:tcW w:w="1485" w:type="dxa"/>
            <w:vAlign w:val="center"/>
          </w:tcPr>
          <w:p w14:paraId="4CA94CB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56710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855" w:type="dxa"/>
            <w:vAlign w:val="center"/>
          </w:tcPr>
          <w:p w14:paraId="1CFABD72">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7</w:t>
            </w:r>
          </w:p>
        </w:tc>
        <w:tc>
          <w:tcPr>
            <w:tcW w:w="4125" w:type="dxa"/>
            <w:vAlign w:val="center"/>
          </w:tcPr>
          <w:p w14:paraId="4CA17525">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湖园路（湖天组团支路-湖天大道）道路工程</w:t>
            </w:r>
          </w:p>
        </w:tc>
        <w:tc>
          <w:tcPr>
            <w:tcW w:w="1605" w:type="dxa"/>
            <w:vAlign w:val="center"/>
          </w:tcPr>
          <w:p w14:paraId="22495382">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w:t>
            </w:r>
          </w:p>
        </w:tc>
        <w:tc>
          <w:tcPr>
            <w:tcW w:w="1560" w:type="dxa"/>
            <w:vAlign w:val="center"/>
          </w:tcPr>
          <w:p w14:paraId="640BDF02">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50.74</w:t>
            </w:r>
          </w:p>
        </w:tc>
        <w:tc>
          <w:tcPr>
            <w:tcW w:w="1485" w:type="dxa"/>
            <w:vAlign w:val="center"/>
          </w:tcPr>
          <w:p w14:paraId="38CF5B4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3C84A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855" w:type="dxa"/>
            <w:vAlign w:val="center"/>
          </w:tcPr>
          <w:p w14:paraId="2C523A9A">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8</w:t>
            </w:r>
          </w:p>
        </w:tc>
        <w:tc>
          <w:tcPr>
            <w:tcW w:w="4125" w:type="dxa"/>
            <w:vAlign w:val="center"/>
          </w:tcPr>
          <w:p w14:paraId="5024A479">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香洲南路-禾塘路（刘塘路至会展路）项目</w:t>
            </w:r>
          </w:p>
        </w:tc>
        <w:tc>
          <w:tcPr>
            <w:tcW w:w="1605" w:type="dxa"/>
            <w:vAlign w:val="center"/>
          </w:tcPr>
          <w:p w14:paraId="19C481A2">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w:t>
            </w:r>
          </w:p>
        </w:tc>
        <w:tc>
          <w:tcPr>
            <w:tcW w:w="1560" w:type="dxa"/>
            <w:vAlign w:val="center"/>
          </w:tcPr>
          <w:p w14:paraId="31311316">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125.68</w:t>
            </w:r>
          </w:p>
        </w:tc>
        <w:tc>
          <w:tcPr>
            <w:tcW w:w="1485" w:type="dxa"/>
            <w:vAlign w:val="center"/>
          </w:tcPr>
          <w:p w14:paraId="669C685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0F73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585B5AD0">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9</w:t>
            </w:r>
          </w:p>
        </w:tc>
        <w:tc>
          <w:tcPr>
            <w:tcW w:w="4125" w:type="dxa"/>
            <w:vAlign w:val="center"/>
          </w:tcPr>
          <w:p w14:paraId="3466E375">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城市基础设施配套费征收经费</w:t>
            </w:r>
          </w:p>
        </w:tc>
        <w:tc>
          <w:tcPr>
            <w:tcW w:w="1605" w:type="dxa"/>
            <w:vAlign w:val="center"/>
          </w:tcPr>
          <w:p w14:paraId="1091483E">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w:t>
            </w:r>
          </w:p>
        </w:tc>
        <w:tc>
          <w:tcPr>
            <w:tcW w:w="1560" w:type="dxa"/>
            <w:vAlign w:val="center"/>
          </w:tcPr>
          <w:p w14:paraId="10B7F4F7">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5</w:t>
            </w:r>
          </w:p>
        </w:tc>
        <w:tc>
          <w:tcPr>
            <w:tcW w:w="1485" w:type="dxa"/>
            <w:vAlign w:val="center"/>
          </w:tcPr>
          <w:p w14:paraId="519C000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5E9DE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55" w:type="dxa"/>
            <w:vAlign w:val="center"/>
          </w:tcPr>
          <w:p w14:paraId="28DCCF42">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10</w:t>
            </w:r>
          </w:p>
        </w:tc>
        <w:tc>
          <w:tcPr>
            <w:tcW w:w="4125" w:type="dxa"/>
            <w:vAlign w:val="center"/>
          </w:tcPr>
          <w:p w14:paraId="417F6705">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年度考核奖</w:t>
            </w:r>
          </w:p>
        </w:tc>
        <w:tc>
          <w:tcPr>
            <w:tcW w:w="1605" w:type="dxa"/>
            <w:vAlign w:val="center"/>
          </w:tcPr>
          <w:p w14:paraId="1FD3E3BE">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w:t>
            </w:r>
          </w:p>
        </w:tc>
        <w:tc>
          <w:tcPr>
            <w:tcW w:w="1560" w:type="dxa"/>
            <w:vAlign w:val="center"/>
          </w:tcPr>
          <w:p w14:paraId="368CF5E8">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30.4</w:t>
            </w:r>
          </w:p>
        </w:tc>
        <w:tc>
          <w:tcPr>
            <w:tcW w:w="1485" w:type="dxa"/>
            <w:vAlign w:val="center"/>
          </w:tcPr>
          <w:p w14:paraId="385A895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7351A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3CAA8785">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11</w:t>
            </w:r>
          </w:p>
        </w:tc>
        <w:tc>
          <w:tcPr>
            <w:tcW w:w="4125" w:type="dxa"/>
            <w:vAlign w:val="center"/>
          </w:tcPr>
          <w:p w14:paraId="74DC72E4">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养老保险缴费</w:t>
            </w:r>
          </w:p>
        </w:tc>
        <w:tc>
          <w:tcPr>
            <w:tcW w:w="1605" w:type="dxa"/>
            <w:vAlign w:val="center"/>
          </w:tcPr>
          <w:p w14:paraId="3903BD44">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w:t>
            </w:r>
          </w:p>
        </w:tc>
        <w:tc>
          <w:tcPr>
            <w:tcW w:w="1560" w:type="dxa"/>
            <w:vAlign w:val="center"/>
          </w:tcPr>
          <w:p w14:paraId="5F71C6AB">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2.27</w:t>
            </w:r>
          </w:p>
        </w:tc>
        <w:tc>
          <w:tcPr>
            <w:tcW w:w="1485" w:type="dxa"/>
            <w:vAlign w:val="center"/>
          </w:tcPr>
          <w:p w14:paraId="6BC63A7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53C0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19EA959A">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12</w:t>
            </w:r>
          </w:p>
        </w:tc>
        <w:tc>
          <w:tcPr>
            <w:tcW w:w="4125" w:type="dxa"/>
            <w:vAlign w:val="center"/>
          </w:tcPr>
          <w:p w14:paraId="587C1154">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全额单位医疗保险缴费</w:t>
            </w:r>
          </w:p>
        </w:tc>
        <w:tc>
          <w:tcPr>
            <w:tcW w:w="1605" w:type="dxa"/>
            <w:vAlign w:val="center"/>
          </w:tcPr>
          <w:p w14:paraId="5774E0CC">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w:t>
            </w:r>
          </w:p>
        </w:tc>
        <w:tc>
          <w:tcPr>
            <w:tcW w:w="1560" w:type="dxa"/>
            <w:vAlign w:val="center"/>
          </w:tcPr>
          <w:p w14:paraId="153C5D03">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1.13</w:t>
            </w:r>
          </w:p>
        </w:tc>
        <w:tc>
          <w:tcPr>
            <w:tcW w:w="1485" w:type="dxa"/>
            <w:vAlign w:val="center"/>
          </w:tcPr>
          <w:p w14:paraId="01367CE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3CAF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4C2E5601">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13</w:t>
            </w:r>
          </w:p>
        </w:tc>
        <w:tc>
          <w:tcPr>
            <w:tcW w:w="4125" w:type="dxa"/>
            <w:vAlign w:val="center"/>
          </w:tcPr>
          <w:p w14:paraId="51E2D02B">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年度考核奖住房公积金财政配套</w:t>
            </w:r>
          </w:p>
        </w:tc>
        <w:tc>
          <w:tcPr>
            <w:tcW w:w="1605" w:type="dxa"/>
            <w:vAlign w:val="center"/>
          </w:tcPr>
          <w:p w14:paraId="32D23028">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w:t>
            </w:r>
          </w:p>
        </w:tc>
        <w:tc>
          <w:tcPr>
            <w:tcW w:w="1560" w:type="dxa"/>
            <w:vAlign w:val="center"/>
          </w:tcPr>
          <w:p w14:paraId="542E3352">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0.01</w:t>
            </w:r>
          </w:p>
        </w:tc>
        <w:tc>
          <w:tcPr>
            <w:tcW w:w="1485" w:type="dxa"/>
            <w:vAlign w:val="center"/>
          </w:tcPr>
          <w:p w14:paraId="52B7B07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25189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40317408">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14</w:t>
            </w:r>
          </w:p>
        </w:tc>
        <w:tc>
          <w:tcPr>
            <w:tcW w:w="4125" w:type="dxa"/>
            <w:vAlign w:val="center"/>
          </w:tcPr>
          <w:p w14:paraId="09A22724">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追加住房公积金</w:t>
            </w:r>
          </w:p>
        </w:tc>
        <w:tc>
          <w:tcPr>
            <w:tcW w:w="1605" w:type="dxa"/>
            <w:vAlign w:val="center"/>
          </w:tcPr>
          <w:p w14:paraId="4D7D4BBD">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w:t>
            </w:r>
          </w:p>
        </w:tc>
        <w:tc>
          <w:tcPr>
            <w:tcW w:w="1560" w:type="dxa"/>
            <w:vAlign w:val="center"/>
          </w:tcPr>
          <w:p w14:paraId="67E11B89">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5.14</w:t>
            </w:r>
          </w:p>
        </w:tc>
        <w:tc>
          <w:tcPr>
            <w:tcW w:w="1485" w:type="dxa"/>
            <w:vAlign w:val="center"/>
          </w:tcPr>
          <w:p w14:paraId="7E644A4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731E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6A1CD438">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合计</w:t>
            </w:r>
          </w:p>
        </w:tc>
        <w:tc>
          <w:tcPr>
            <w:tcW w:w="4125" w:type="dxa"/>
            <w:vAlign w:val="center"/>
          </w:tcPr>
          <w:p w14:paraId="4B80884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c>
          <w:tcPr>
            <w:tcW w:w="1605" w:type="dxa"/>
            <w:vAlign w:val="center"/>
          </w:tcPr>
          <w:p w14:paraId="11F4C5AF">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1610</w:t>
            </w:r>
          </w:p>
        </w:tc>
        <w:tc>
          <w:tcPr>
            <w:tcW w:w="1560" w:type="dxa"/>
            <w:vAlign w:val="center"/>
          </w:tcPr>
          <w:p w14:paraId="065157A3">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2584.73</w:t>
            </w:r>
          </w:p>
        </w:tc>
        <w:tc>
          <w:tcPr>
            <w:tcW w:w="1485" w:type="dxa"/>
            <w:vAlign w:val="center"/>
          </w:tcPr>
          <w:p w14:paraId="4D66FEE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bl>
    <w:p w14:paraId="6F697AA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项目资金实际使用情况。2025年项目支出年初预算为1610万元，实际到位2639.63元，专项资金到位率100%。2025年项目支出决算金额为2584.73万元，其中：办公费7.76万元、印刷费6.39万元、邮电费1.33万元、差旅费6.6万元、维修（护）费0.99万元、培训费0.99万元、劳务费0.09万元、委托业务费143.22万元、工会经费1.5万元、公务用车运行维护费0.5万元、其他交通费0.09万元、其他商品和服务支出18.45万元、对个人和家庭的补助3.06万元、工资福利支出72.83万元、基础设施建设2320.94万元。</w:t>
      </w:r>
    </w:p>
    <w:p w14:paraId="2507130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项目资金管理情况。我单位为加强专项资金管理，合理合规使用财政项目资金，提高资金的使用效率，严格按照财务管理要求，对批准的预算开支内容，做好账务设置和账务管理，实行专项核算。在资金的使用过程中，严格遵循财务制度，严把监督审核关，建立健全了内部审批制度；大额资金支出实行“三重一大”集体决策机制，项目招标、评审、结算按市国库集中支付核算，确保资金使用公开、公正、科学、高效。针对项目支出制定了《财务管理制度》等相关制度，对资金使用审批流程、资金监督、签字权限等方面做出了详细规定。</w:t>
      </w:r>
    </w:p>
    <w:p w14:paraId="54ADBC0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242958D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w:t>
      </w:r>
    </w:p>
    <w:p w14:paraId="1DA2E19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我单位认真落实上级主管部门的决策部署，全面推进各项重点工作，较好的完成了各项目的目标任务。各项目由专人负责实施，实行事项前置审批及事后支付审批制度；采购事项均按照政府采购相关规定执行，属政府采购范围的一律通过政府采购平台，按照规定流程进行采购；费用支出严格按照《财务管理制度》等制度规定的开支范围、标准、审批权限、审批流程、报销要求等进行审核。</w:t>
      </w:r>
    </w:p>
    <w:p w14:paraId="5293E2C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w:t>
      </w:r>
      <w:r>
        <w:rPr>
          <w:rFonts w:hint="default" w:ascii="Times New Roman Regular" w:hAnsi="Times New Roman Regular" w:eastAsia="仿宋_GB2312" w:cs="Times New Roman Regular"/>
          <w:color w:val="auto"/>
          <w:sz w:val="32"/>
          <w:szCs w:val="32"/>
          <w:highlight w:val="none"/>
          <w:lang w:val="en-US" w:eastAsia="zh-CN"/>
        </w:rPr>
        <w:t>项目管理情况分析</w:t>
      </w:r>
    </w:p>
    <w:p w14:paraId="6B56F03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为加强项目资金管理，规范项目资金管理行为，提高项目管理水平及项目资金使用效率，我单位制定了财务管理制度、项目资金管理制度等业务管理制度，对项目管理职责、申报与组织实施、项目资金的管理、监督检查与验收等进行了规定，明确工作职责、项目实施细则、考核办法等。项目资金严格按照指定用途专款专用，并接受财政部门或上级部门的检查、验收。2025年本单位项目支出基本能够严格按照相关制度规定等进行。</w:t>
      </w:r>
    </w:p>
    <w:p w14:paraId="169F611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59A82DE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我单位根据《行政事业单位内部控制规范（试行）》、《事业单位国有资产管理暂行办法》及省、市有关规定，制定了《固定资产管理》等制度，对固定资产进行及时入账，定期盘点清查，按要求编报资产月报及年报。 截至202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年12月31日，我单位固定资产原值</w:t>
      </w:r>
      <w:r>
        <w:rPr>
          <w:rFonts w:hint="eastAsia" w:ascii="Times New Roman Regular" w:hAnsi="Times New Roman Regular" w:eastAsia="仿宋_GB2312" w:cs="Times New Roman Regular"/>
          <w:color w:val="auto"/>
          <w:sz w:val="32"/>
          <w:szCs w:val="32"/>
          <w:highlight w:val="none"/>
          <w:lang w:val="en-US" w:eastAsia="zh-CN"/>
        </w:rPr>
        <w:t>3500929.77</w:t>
      </w:r>
      <w:r>
        <w:rPr>
          <w:rFonts w:hint="default" w:ascii="Times New Roman Regular" w:hAnsi="Times New Roman Regular" w:eastAsia="仿宋_GB2312" w:cs="Times New Roman Regular"/>
          <w:color w:val="auto"/>
          <w:sz w:val="32"/>
          <w:szCs w:val="32"/>
          <w:highlight w:val="none"/>
          <w:lang w:val="en-US" w:eastAsia="zh-CN"/>
        </w:rPr>
        <w:t>元，累计折旧</w:t>
      </w:r>
      <w:r>
        <w:rPr>
          <w:rFonts w:hint="eastAsia" w:ascii="Times New Roman Regular" w:hAnsi="Times New Roman Regular" w:eastAsia="仿宋_GB2312" w:cs="Times New Roman Regular"/>
          <w:color w:val="auto"/>
          <w:sz w:val="32"/>
          <w:szCs w:val="32"/>
          <w:highlight w:val="none"/>
          <w:lang w:val="en-US" w:eastAsia="zh-CN"/>
        </w:rPr>
        <w:t>1825491.61</w:t>
      </w:r>
      <w:r>
        <w:rPr>
          <w:rFonts w:hint="default" w:ascii="Times New Roman Regular" w:hAnsi="Times New Roman Regular" w:eastAsia="仿宋_GB2312" w:cs="Times New Roman Regular"/>
          <w:color w:val="auto"/>
          <w:sz w:val="32"/>
          <w:szCs w:val="32"/>
          <w:highlight w:val="none"/>
          <w:lang w:val="en-US" w:eastAsia="zh-CN"/>
        </w:rPr>
        <w:t>元，账面净值</w:t>
      </w:r>
      <w:r>
        <w:rPr>
          <w:rFonts w:hint="eastAsia" w:ascii="Times New Roman Regular" w:hAnsi="Times New Roman Regular" w:eastAsia="仿宋_GB2312" w:cs="Times New Roman Regular"/>
          <w:color w:val="auto"/>
          <w:sz w:val="32"/>
          <w:szCs w:val="32"/>
          <w:highlight w:val="none"/>
          <w:lang w:val="en-US" w:eastAsia="zh-CN"/>
        </w:rPr>
        <w:t>1825491.61</w:t>
      </w:r>
      <w:r>
        <w:rPr>
          <w:rFonts w:hint="default" w:ascii="Times New Roman Regular" w:hAnsi="Times New Roman Regular" w:eastAsia="仿宋_GB2312" w:cs="Times New Roman Regular"/>
          <w:color w:val="auto"/>
          <w:sz w:val="32"/>
          <w:szCs w:val="32"/>
          <w:highlight w:val="none"/>
          <w:lang w:val="en-US" w:eastAsia="zh-CN"/>
        </w:rPr>
        <w:t>元，主要为房屋建筑物、车辆等，全部为单位自用固定资产，无出租出借资产和对外投资资产，全年无处置资产，无资产收益。</w:t>
      </w:r>
    </w:p>
    <w:p w14:paraId="1FF3A6D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五</w:t>
      </w:r>
      <w:r>
        <w:rPr>
          <w:rFonts w:hint="default" w:ascii="方正黑体_GBK" w:hAnsi="方正黑体_GBK" w:eastAsia="方正黑体_GBK" w:cs="方正黑体_GBK"/>
          <w:b/>
          <w:bCs/>
          <w:color w:val="auto"/>
          <w:sz w:val="32"/>
          <w:szCs w:val="32"/>
          <w:highlight w:val="none"/>
          <w:lang w:val="en-US" w:eastAsia="zh-CN"/>
        </w:rPr>
        <w:t>、部门整体支出绩效情况</w:t>
      </w:r>
    </w:p>
    <w:p w14:paraId="2D135C3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（一）综合评价结论</w:t>
      </w:r>
    </w:p>
    <w:p w14:paraId="1E85F52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我单位积极组织实施了202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年度专项资金管理，建立了专项资金和项目管理制度，规范了实施程序，较好的完成了202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年度工作目标，但仍存在预算调整率偏高等问题。根据《部门整体支出绩效评价指标表》，202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年度部门整体绩效自评综合评分为</w:t>
      </w:r>
      <w:r>
        <w:rPr>
          <w:rFonts w:hint="eastAsia" w:ascii="Times New Roman Regular" w:hAnsi="Times New Roman Regular" w:eastAsia="仿宋_GB2312" w:cs="Times New Roman Regular"/>
          <w:color w:val="auto"/>
          <w:sz w:val="32"/>
          <w:szCs w:val="32"/>
          <w:highlight w:val="none"/>
          <w:lang w:val="en-US" w:eastAsia="zh-CN"/>
        </w:rPr>
        <w:t>93.31</w:t>
      </w:r>
      <w:r>
        <w:rPr>
          <w:rFonts w:hint="default" w:ascii="Times New Roman Regular" w:hAnsi="Times New Roman Regular" w:eastAsia="仿宋_GB2312" w:cs="Times New Roman Regular"/>
          <w:color w:val="auto"/>
          <w:sz w:val="32"/>
          <w:szCs w:val="32"/>
          <w:highlight w:val="none"/>
          <w:lang w:val="en-US" w:eastAsia="zh-CN"/>
        </w:rPr>
        <w:t>分，评价等级为“优”。</w:t>
      </w:r>
    </w:p>
    <w:p w14:paraId="5A7C0E7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（二）评价指标分析</w:t>
      </w:r>
    </w:p>
    <w:p w14:paraId="29E5437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经济性分析</w:t>
      </w:r>
    </w:p>
    <w:p w14:paraId="4D350EB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（1）预算配置控制较好。202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年度财政供养人员控制在预算编制以内，编制内在职人员控制率</w:t>
      </w:r>
      <w:r>
        <w:rPr>
          <w:rFonts w:hint="eastAsia" w:ascii="Times New Roman Regular" w:hAnsi="Times New Roman Regular" w:eastAsia="仿宋_GB2312" w:cs="Times New Roman Regular"/>
          <w:color w:val="auto"/>
          <w:sz w:val="32"/>
          <w:szCs w:val="32"/>
          <w:highlight w:val="none"/>
          <w:lang w:val="en-US" w:eastAsia="zh-CN"/>
        </w:rPr>
        <w:t>100</w:t>
      </w:r>
      <w:r>
        <w:rPr>
          <w:rFonts w:hint="default" w:ascii="Times New Roman Regular" w:hAnsi="Times New Roman Regular" w:eastAsia="仿宋_GB2312" w:cs="Times New Roman Regular"/>
          <w:color w:val="auto"/>
          <w:sz w:val="32"/>
          <w:szCs w:val="32"/>
          <w:highlight w:val="none"/>
          <w:lang w:val="en-US" w:eastAsia="zh-CN"/>
        </w:rPr>
        <w:t>%，未超过控制标准。</w:t>
      </w:r>
    </w:p>
    <w:p w14:paraId="4DC58FE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（2）预算执行与管理。202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年财政决算收入</w:t>
      </w:r>
      <w:r>
        <w:rPr>
          <w:rFonts w:hint="eastAsia" w:ascii="Times New Roman Regular" w:hAnsi="Times New Roman Regular" w:eastAsia="仿宋_GB2312" w:cs="Times New Roman Regular"/>
          <w:color w:val="auto"/>
          <w:sz w:val="32"/>
          <w:szCs w:val="32"/>
          <w:highlight w:val="none"/>
          <w:lang w:val="en-US" w:eastAsia="zh-CN"/>
        </w:rPr>
        <w:t>3258.29</w:t>
      </w:r>
      <w:r>
        <w:rPr>
          <w:rFonts w:hint="default" w:ascii="Times New Roman Regular" w:hAnsi="Times New Roman Regular" w:eastAsia="仿宋_GB2312" w:cs="Times New Roman Regular"/>
          <w:color w:val="auto"/>
          <w:sz w:val="32"/>
          <w:szCs w:val="32"/>
          <w:highlight w:val="none"/>
          <w:lang w:val="en-US" w:eastAsia="zh-CN"/>
        </w:rPr>
        <w:t>万元，其中一般公共预算财政拨款收入</w:t>
      </w:r>
      <w:r>
        <w:rPr>
          <w:rFonts w:hint="eastAsia" w:ascii="Times New Roman Regular" w:hAnsi="Times New Roman Regular" w:eastAsia="仿宋_GB2312" w:cs="Times New Roman Regular"/>
          <w:color w:val="auto"/>
          <w:sz w:val="32"/>
          <w:szCs w:val="32"/>
          <w:highlight w:val="none"/>
          <w:lang w:val="en-US" w:eastAsia="zh-CN"/>
        </w:rPr>
        <w:t>3173.29</w:t>
      </w:r>
      <w:r>
        <w:rPr>
          <w:rFonts w:hint="default" w:ascii="Times New Roman Regular" w:hAnsi="Times New Roman Regular" w:eastAsia="仿宋_GB2312" w:cs="Times New Roman Regular"/>
          <w:color w:val="auto"/>
          <w:sz w:val="32"/>
          <w:szCs w:val="32"/>
          <w:highlight w:val="none"/>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政府性基金预算财政拨款收入85万元，</w:t>
      </w:r>
      <w:r>
        <w:rPr>
          <w:rFonts w:hint="default" w:ascii="Times New Roman Regular" w:hAnsi="Times New Roman Regular" w:eastAsia="仿宋_GB2312" w:cs="Times New Roman Regular"/>
          <w:color w:val="auto"/>
          <w:sz w:val="32"/>
          <w:szCs w:val="32"/>
          <w:highlight w:val="none"/>
          <w:lang w:val="en-US" w:eastAsia="zh-CN"/>
        </w:rPr>
        <w:t>上年结转0.00万元；决算支出为</w:t>
      </w:r>
      <w:r>
        <w:rPr>
          <w:rFonts w:hint="eastAsia" w:ascii="Times New Roman Regular" w:hAnsi="Times New Roman Regular" w:eastAsia="仿宋_GB2312" w:cs="Times New Roman Regular"/>
          <w:color w:val="auto"/>
          <w:sz w:val="32"/>
          <w:szCs w:val="32"/>
          <w:highlight w:val="none"/>
          <w:lang w:val="en-US" w:eastAsia="zh-CN"/>
        </w:rPr>
        <w:t>3258.29</w:t>
      </w:r>
      <w:r>
        <w:rPr>
          <w:rFonts w:hint="default" w:ascii="Times New Roman Regular" w:hAnsi="Times New Roman Regular" w:eastAsia="仿宋_GB2312" w:cs="Times New Roman Regular"/>
          <w:color w:val="auto"/>
          <w:sz w:val="32"/>
          <w:szCs w:val="32"/>
          <w:highlight w:val="none"/>
          <w:lang w:val="en-US" w:eastAsia="zh-CN"/>
        </w:rPr>
        <w:t>万元，其中基本支出</w:t>
      </w:r>
      <w:r>
        <w:rPr>
          <w:rFonts w:hint="eastAsia" w:ascii="Times New Roman Regular" w:hAnsi="Times New Roman Regular" w:eastAsia="仿宋_GB2312" w:cs="Times New Roman Regular"/>
          <w:color w:val="auto"/>
          <w:sz w:val="32"/>
          <w:szCs w:val="32"/>
          <w:highlight w:val="none"/>
          <w:lang w:val="en-US" w:eastAsia="zh-CN"/>
        </w:rPr>
        <w:t>673.55</w:t>
      </w:r>
      <w:r>
        <w:rPr>
          <w:rFonts w:hint="default" w:ascii="Times New Roman Regular" w:hAnsi="Times New Roman Regular" w:eastAsia="仿宋_GB2312" w:cs="Times New Roman Regular"/>
          <w:color w:val="auto"/>
          <w:sz w:val="32"/>
          <w:szCs w:val="32"/>
          <w:highlight w:val="none"/>
          <w:lang w:val="en-US" w:eastAsia="zh-CN"/>
        </w:rPr>
        <w:t>万元、项目支出</w:t>
      </w:r>
      <w:r>
        <w:rPr>
          <w:rFonts w:hint="eastAsia" w:ascii="Times New Roman Regular" w:hAnsi="Times New Roman Regular" w:eastAsia="仿宋_GB2312" w:cs="Times New Roman Regular"/>
          <w:color w:val="auto"/>
          <w:sz w:val="32"/>
          <w:szCs w:val="32"/>
          <w:highlight w:val="none"/>
          <w:lang w:val="en-US" w:eastAsia="zh-CN"/>
        </w:rPr>
        <w:t>2584.73</w:t>
      </w:r>
      <w:r>
        <w:rPr>
          <w:rFonts w:hint="default" w:ascii="Times New Roman Regular" w:hAnsi="Times New Roman Regular" w:eastAsia="仿宋_GB2312" w:cs="Times New Roman Regular"/>
          <w:color w:val="auto"/>
          <w:sz w:val="32"/>
          <w:szCs w:val="32"/>
          <w:highlight w:val="none"/>
          <w:lang w:val="en-US" w:eastAsia="zh-CN"/>
        </w:rPr>
        <w:t>万元， “三公经费”等相关支出均未超过控制标准。</w:t>
      </w:r>
    </w:p>
    <w:p w14:paraId="007794D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 xml:space="preserve"> 2.有效性和效率性分析。通过对202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年全年工作进行梳理和总结，我单位202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年主要产出和效益如下：</w:t>
      </w:r>
    </w:p>
    <w:p w14:paraId="5BE6A4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r>
        <w:rPr>
          <w:rFonts w:hint="eastAsia" w:ascii="方正仿宋_GB18030" w:hAnsi="方正仿宋_GB18030" w:eastAsia="方正仿宋_GB18030" w:cs="方正仿宋_GB18030"/>
          <w:b/>
          <w:bCs/>
          <w:sz w:val="32"/>
          <w:szCs w:val="32"/>
        </w:rPr>
        <w:t>聚焦主责主业，工程造价管理服务精准高效</w:t>
      </w:r>
      <w:r>
        <w:rPr>
          <w:rFonts w:hint="eastAsia" w:ascii="方正仿宋_GB18030" w:hAnsi="方正仿宋_GB18030" w:eastAsia="方正仿宋_GB18030" w:cs="方正仿宋_GB18030"/>
          <w:b/>
          <w:bCs/>
          <w:sz w:val="32"/>
          <w:szCs w:val="32"/>
          <w:lang w:eastAsia="zh-CN"/>
        </w:rPr>
        <w:t>。</w:t>
      </w:r>
      <w:r>
        <w:rPr>
          <w:rFonts w:hint="eastAsia" w:ascii="方正仿宋_GB18030" w:hAnsi="方正仿宋_GB18030" w:eastAsia="方正仿宋_GB18030" w:cs="方正仿宋_GB18030"/>
          <w:sz w:val="32"/>
          <w:szCs w:val="32"/>
        </w:rPr>
        <w:t>中心坚持以提升工程造价管理水平为核心，充分发挥技术支撑作用。</w:t>
      </w:r>
      <w:r>
        <w:rPr>
          <w:rFonts w:hint="eastAsia" w:ascii="方正仿宋_GB18030" w:hAnsi="方正仿宋_GB18030" w:eastAsia="方正仿宋_GB18030" w:cs="方正仿宋_GB18030"/>
          <w:b/>
          <w:bCs/>
          <w:sz w:val="32"/>
          <w:szCs w:val="32"/>
        </w:rPr>
        <w:t>一是</w:t>
      </w:r>
      <w:r>
        <w:rPr>
          <w:rFonts w:hint="eastAsia" w:ascii="方正仿宋_GB18030" w:hAnsi="方正仿宋_GB18030" w:eastAsia="方正仿宋_GB18030" w:cs="方正仿宋_GB18030"/>
          <w:sz w:val="32"/>
          <w:szCs w:val="32"/>
        </w:rPr>
        <w:t>强化计价依据宣贯，成功举办2024版《建设工程工程量清单计价标准》全市宣贯培训，覆盖相关单位及企业人员220余人，有效推动新标准落地。</w:t>
      </w:r>
      <w:r>
        <w:rPr>
          <w:rFonts w:hint="eastAsia" w:ascii="方正仿宋_GB18030" w:hAnsi="方正仿宋_GB18030" w:eastAsia="方正仿宋_GB18030" w:cs="方正仿宋_GB18030"/>
          <w:b/>
          <w:bCs/>
          <w:sz w:val="32"/>
          <w:szCs w:val="32"/>
        </w:rPr>
        <w:t>二是</w:t>
      </w:r>
      <w:r>
        <w:rPr>
          <w:rFonts w:hint="eastAsia" w:ascii="方正仿宋_GB18030" w:hAnsi="方正仿宋_GB18030" w:eastAsia="方正仿宋_GB18030" w:cs="方正仿宋_GB18030"/>
          <w:sz w:val="32"/>
          <w:szCs w:val="32"/>
        </w:rPr>
        <w:t>完善计价依据体系，积极参与省、市多项计价依据文件的意见征集与反馈，完成多项费用测算及典型案例上报，为政策制定提供坚实基础。</w:t>
      </w:r>
      <w:r>
        <w:rPr>
          <w:rFonts w:hint="eastAsia" w:ascii="方正仿宋_GB18030" w:hAnsi="方正仿宋_GB18030" w:eastAsia="方正仿宋_GB18030" w:cs="方正仿宋_GB18030"/>
          <w:b/>
          <w:bCs/>
          <w:sz w:val="32"/>
          <w:szCs w:val="32"/>
        </w:rPr>
        <w:t>三是</w:t>
      </w:r>
      <w:r>
        <w:rPr>
          <w:rFonts w:hint="eastAsia" w:ascii="方正仿宋_GB18030" w:hAnsi="方正仿宋_GB18030" w:eastAsia="方正仿宋_GB18030" w:cs="方正仿宋_GB18030"/>
          <w:sz w:val="32"/>
          <w:szCs w:val="32"/>
        </w:rPr>
        <w:t>优化咨询服务，全年处理造价纠纷协调、电话及口头答疑50余次，召开现场协调会8次，保障了建设市场各方合法权益。</w:t>
      </w:r>
      <w:r>
        <w:rPr>
          <w:rFonts w:hint="eastAsia" w:ascii="方正仿宋_GB18030" w:hAnsi="方正仿宋_GB18030" w:eastAsia="方正仿宋_GB18030" w:cs="方正仿宋_GB18030"/>
          <w:b/>
          <w:bCs/>
          <w:sz w:val="32"/>
          <w:szCs w:val="32"/>
        </w:rPr>
        <w:t>四是</w:t>
      </w:r>
      <w:r>
        <w:rPr>
          <w:rFonts w:hint="eastAsia" w:ascii="方正仿宋_GB18030" w:hAnsi="方正仿宋_GB18030" w:eastAsia="方正仿宋_GB18030" w:cs="方正仿宋_GB18030"/>
          <w:sz w:val="32"/>
          <w:szCs w:val="32"/>
        </w:rPr>
        <w:t>提升信息服务质量，加强建材价格监测预警，上报主材监测表23次，发布10期材料价格信息及5期《怀化市工程造价》；拓展信息发布范围，推进装配式建筑、绿色建材等创新材料价格信息发布；完成园林绿化苗木花卉、房地产开发项目建安经济指标等测算上报工作，服务建筑市场决策。</w:t>
      </w:r>
    </w:p>
    <w:p w14:paraId="679530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r>
        <w:rPr>
          <w:rFonts w:hint="eastAsia" w:ascii="方正仿宋_GB18030" w:hAnsi="方正仿宋_GB18030" w:eastAsia="方正仿宋_GB18030" w:cs="方正仿宋_GB18030"/>
          <w:b/>
          <w:bCs/>
          <w:sz w:val="32"/>
          <w:szCs w:val="32"/>
        </w:rPr>
        <w:t>严守安全底线，城镇燃气专项整治成效显著</w:t>
      </w:r>
      <w:r>
        <w:rPr>
          <w:rFonts w:hint="eastAsia" w:ascii="方正仿宋_GB18030" w:hAnsi="方正仿宋_GB18030" w:eastAsia="方正仿宋_GB18030" w:cs="方正仿宋_GB18030"/>
          <w:b/>
          <w:bCs/>
          <w:sz w:val="32"/>
          <w:szCs w:val="32"/>
          <w:lang w:eastAsia="zh-CN"/>
        </w:rPr>
        <w:t>。</w:t>
      </w:r>
      <w:r>
        <w:rPr>
          <w:rFonts w:hint="eastAsia" w:ascii="方正仿宋_GB18030" w:hAnsi="方正仿宋_GB18030" w:eastAsia="方正仿宋_GB18030" w:cs="方正仿宋_GB18030"/>
          <w:b/>
          <w:bCs/>
          <w:sz w:val="32"/>
          <w:szCs w:val="32"/>
        </w:rPr>
        <w:t>一</w:t>
      </w:r>
      <w:r>
        <w:rPr>
          <w:rFonts w:hint="eastAsia" w:ascii="方正仿宋_GB18030" w:hAnsi="方正仿宋_GB18030" w:eastAsia="方正仿宋_GB18030" w:cs="方正仿宋_GB18030"/>
          <w:b/>
          <w:bCs/>
          <w:sz w:val="32"/>
          <w:szCs w:val="32"/>
          <w:lang w:val="en-US" w:eastAsia="zh-CN"/>
        </w:rPr>
        <w:t>是</w:t>
      </w:r>
      <w:r>
        <w:rPr>
          <w:rFonts w:hint="eastAsia" w:ascii="方正仿宋_GB18030" w:hAnsi="方正仿宋_GB18030" w:eastAsia="方正仿宋_GB18030" w:cs="方正仿宋_GB18030"/>
          <w:sz w:val="32"/>
          <w:szCs w:val="32"/>
          <w:lang w:val="en-US" w:eastAsia="zh-CN"/>
        </w:rPr>
        <w:t>强化组织领导，压实安全责任体系，</w:t>
      </w:r>
      <w:r>
        <w:rPr>
          <w:rFonts w:hint="eastAsia" w:ascii="方正仿宋_GB18030" w:hAnsi="方正仿宋_GB18030" w:eastAsia="方正仿宋_GB18030" w:cs="方正仿宋_GB18030"/>
          <w:sz w:val="32"/>
          <w:szCs w:val="32"/>
        </w:rPr>
        <w:t>高度重视燃气安全工作，坚持高位统筹部署。</w:t>
      </w:r>
      <w:r>
        <w:rPr>
          <w:rFonts w:hint="eastAsia" w:ascii="方正仿宋_GB18030" w:hAnsi="方正仿宋_GB18030" w:eastAsia="方正仿宋_GB18030" w:cs="方正仿宋_GB18030"/>
          <w:sz w:val="32"/>
          <w:szCs w:val="32"/>
          <w:lang w:val="en-US" w:eastAsia="zh-CN"/>
        </w:rPr>
        <w:t>今年</w:t>
      </w:r>
      <w:r>
        <w:rPr>
          <w:rFonts w:hint="eastAsia" w:ascii="方正仿宋_GB18030" w:hAnsi="方正仿宋_GB18030" w:eastAsia="方正仿宋_GB18030" w:cs="方正仿宋_GB18030"/>
          <w:sz w:val="32"/>
          <w:szCs w:val="32"/>
        </w:rPr>
        <w:t>印发</w:t>
      </w:r>
      <w:r>
        <w:rPr>
          <w:rFonts w:hint="eastAsia" w:ascii="仿宋" w:hAnsi="仿宋" w:eastAsia="仿宋"/>
          <w:sz w:val="32"/>
          <w:szCs w:val="32"/>
        </w:rPr>
        <w:t>《怀化市住房城乡建设系统“整治城镇燃气安全问题”具体实事工作方案》《全市瓶装燃气“黑燃气”“黑窝点”大排查大整治工作通知》</w:t>
      </w:r>
      <w:r>
        <w:rPr>
          <w:rFonts w:hint="eastAsia" w:ascii="仿宋" w:hAnsi="仿宋" w:eastAsia="仿宋"/>
          <w:sz w:val="32"/>
          <w:szCs w:val="32"/>
          <w:lang w:val="en-US" w:eastAsia="zh-CN"/>
        </w:rPr>
        <w:t>等</w:t>
      </w:r>
      <w:r>
        <w:rPr>
          <w:rFonts w:hint="eastAsia" w:ascii="方正仿宋_GB18030" w:hAnsi="方正仿宋_GB18030" w:eastAsia="方正仿宋_GB18030" w:cs="方正仿宋_GB18030"/>
          <w:sz w:val="32"/>
          <w:szCs w:val="32"/>
        </w:rPr>
        <w:t>专项文件7份，构建起覆盖全域、管控全程、责任全员的制度框架，并明确了燃气安全管理的“六化”落实路径及管道改造销号标准。调度层面，通过召开全市专项整治工作会议、组织专题培训等方式，及时传达省专班精神，分解年度重点任务，全年累计开展专项调度与培训6次，实现了对监管人员及企业负责人的全覆盖，确保了责任链条紧密衔接。</w:t>
      </w:r>
      <w:r>
        <w:rPr>
          <w:rFonts w:hint="eastAsia" w:ascii="方正仿宋_GB18030" w:hAnsi="方正仿宋_GB18030" w:eastAsia="方正仿宋_GB18030" w:cs="方正仿宋_GB18030"/>
          <w:b/>
          <w:bCs/>
          <w:sz w:val="32"/>
          <w:szCs w:val="32"/>
        </w:rPr>
        <w:t>二</w:t>
      </w:r>
      <w:r>
        <w:rPr>
          <w:rFonts w:hint="eastAsia" w:ascii="方正仿宋_GB18030" w:hAnsi="方正仿宋_GB18030" w:eastAsia="方正仿宋_GB18030" w:cs="方正仿宋_GB18030"/>
          <w:b/>
          <w:bCs/>
          <w:sz w:val="32"/>
          <w:szCs w:val="32"/>
          <w:lang w:val="en-US" w:eastAsia="zh-CN"/>
        </w:rPr>
        <w:t>是</w:t>
      </w:r>
      <w:r>
        <w:rPr>
          <w:rFonts w:hint="eastAsia" w:ascii="方正仿宋_GB18030" w:hAnsi="方正仿宋_GB18030" w:eastAsia="方正仿宋_GB18030" w:cs="方正仿宋_GB18030"/>
          <w:sz w:val="32"/>
          <w:szCs w:val="32"/>
        </w:rPr>
        <w:t>聚焦关键环节，筑牢安全生产防线。专项整治行动精准发力，成效显著</w:t>
      </w:r>
      <w:r>
        <w:rPr>
          <w:rFonts w:hint="eastAsia" w:ascii="方正仿宋_GB18030" w:hAnsi="方正仿宋_GB18030" w:eastAsia="方正仿宋_GB18030" w:cs="方正仿宋_GB18030"/>
          <w:sz w:val="32"/>
          <w:szCs w:val="32"/>
          <w:lang w:eastAsia="zh-CN"/>
        </w:rPr>
        <w:t>，</w:t>
      </w:r>
      <w:r>
        <w:rPr>
          <w:rFonts w:hint="eastAsia" w:ascii="方正仿宋_GB18030" w:hAnsi="方正仿宋_GB18030" w:eastAsia="方正仿宋_GB18030" w:cs="方正仿宋_GB18030"/>
          <w:sz w:val="32"/>
          <w:szCs w:val="32"/>
        </w:rPr>
        <w:t>隐患排查实现动态清零。采取企业自查与部门明查暗访相结合方式，聚焦人员密集场所及乡镇用户，累计排查并整改隐患921处（含重大隐患10处），整改率100%，并推动企业建立内部隐患报告奖励机制。“打非治违”保持高压态势</w:t>
      </w:r>
      <w:r>
        <w:rPr>
          <w:rFonts w:hint="eastAsia" w:ascii="方正仿宋_GB18030" w:hAnsi="方正仿宋_GB18030" w:eastAsia="方正仿宋_GB18030" w:cs="方正仿宋_GB18030"/>
          <w:sz w:val="32"/>
          <w:szCs w:val="32"/>
          <w:lang w:eastAsia="zh-CN"/>
        </w:rPr>
        <w:t>，</w:t>
      </w:r>
      <w:r>
        <w:rPr>
          <w:rFonts w:hint="eastAsia" w:ascii="方正仿宋_GB18030" w:hAnsi="方正仿宋_GB18030" w:eastAsia="方正仿宋_GB18030" w:cs="方正仿宋_GB18030"/>
          <w:sz w:val="32"/>
          <w:szCs w:val="32"/>
        </w:rPr>
        <w:t>联合多部门开展“黑窝点”“黑气瓶”全链条整治，严格执行“五个坚决”要求，全年执法处罚17次，罚款50万元，查处“黑气瓶”631个，有效净化市场环境。圆满完成节假日及湖南（怀化）</w:t>
      </w:r>
      <w:r>
        <w:rPr>
          <w:rFonts w:hint="eastAsia" w:ascii="方正仿宋_GB18030" w:hAnsi="方正仿宋_GB18030" w:eastAsia="方正仿宋_GB18030" w:cs="方正仿宋_GB18030"/>
          <w:sz w:val="32"/>
          <w:szCs w:val="32"/>
          <w:lang w:val="en-US" w:eastAsia="zh-CN"/>
        </w:rPr>
        <w:t>旅发</w:t>
      </w:r>
      <w:bookmarkStart w:id="0" w:name="_GoBack"/>
      <w:bookmarkEnd w:id="0"/>
      <w:r>
        <w:rPr>
          <w:rFonts w:hint="eastAsia" w:ascii="方正仿宋_GB18030" w:hAnsi="方正仿宋_GB18030" w:eastAsia="方正仿宋_GB18030" w:cs="方正仿宋_GB18030"/>
          <w:sz w:val="32"/>
          <w:szCs w:val="32"/>
          <w:lang w:val="en-US" w:eastAsia="zh-CN"/>
        </w:rPr>
        <w:t>大会</w:t>
      </w:r>
      <w:r>
        <w:rPr>
          <w:rFonts w:hint="eastAsia" w:ascii="方正仿宋_GB18030" w:hAnsi="方正仿宋_GB18030" w:eastAsia="方正仿宋_GB18030" w:cs="方正仿宋_GB18030"/>
          <w:sz w:val="32"/>
          <w:szCs w:val="32"/>
        </w:rPr>
        <w:t>等重大活动燃气保供任务，供应充足，并开展专项排查与应急演练，实现重大活动“零事故”。为133户特困、低保用户建档并提供费用减免与帮扶，办结燃气类信访50件，用户满意度回访达100%。同时广泛开展安全宣传，发放资料5万余份，发送短信40余万条，提升公众安全意识。</w:t>
      </w:r>
      <w:r>
        <w:rPr>
          <w:rFonts w:hint="eastAsia" w:ascii="方正仿宋_GB18030" w:hAnsi="方正仿宋_GB18030" w:eastAsia="方正仿宋_GB18030" w:cs="方正仿宋_GB18030"/>
          <w:b/>
          <w:bCs/>
          <w:sz w:val="32"/>
          <w:szCs w:val="32"/>
        </w:rPr>
        <w:t>三</w:t>
      </w:r>
      <w:r>
        <w:rPr>
          <w:rFonts w:hint="eastAsia" w:ascii="方正仿宋_GB18030" w:hAnsi="方正仿宋_GB18030" w:eastAsia="方正仿宋_GB18030" w:cs="方正仿宋_GB18030"/>
          <w:b/>
          <w:bCs/>
          <w:sz w:val="32"/>
          <w:szCs w:val="32"/>
          <w:lang w:val="en-US" w:eastAsia="zh-CN"/>
        </w:rPr>
        <w:t>是</w:t>
      </w:r>
      <w:r>
        <w:rPr>
          <w:rFonts w:hint="eastAsia" w:ascii="方正仿宋_GB18030" w:hAnsi="方正仿宋_GB18030" w:eastAsia="方正仿宋_GB18030" w:cs="方正仿宋_GB18030"/>
          <w:sz w:val="32"/>
          <w:szCs w:val="32"/>
        </w:rPr>
        <w:t>夯实基础设施，提升本质安全水平</w:t>
      </w:r>
      <w:r>
        <w:rPr>
          <w:rFonts w:hint="eastAsia" w:ascii="方正仿宋_GB18030" w:hAnsi="方正仿宋_GB18030" w:eastAsia="方正仿宋_GB18030" w:cs="方正仿宋_GB18030"/>
          <w:sz w:val="32"/>
          <w:szCs w:val="32"/>
          <w:lang w:eastAsia="zh-CN"/>
        </w:rPr>
        <w:t>，</w:t>
      </w:r>
      <w:r>
        <w:rPr>
          <w:rFonts w:hint="eastAsia" w:ascii="方正仿宋_GB18030" w:hAnsi="方正仿宋_GB18030" w:eastAsia="方正仿宋_GB18030" w:cs="方正仿宋_GB18030"/>
          <w:sz w:val="32"/>
          <w:szCs w:val="32"/>
        </w:rPr>
        <w:t>紧盯硬件短板，全力推进更新改造。年度计划改造老旧管网25公里，实际完成45.58公里，完成率达182%，彻底消除“带病运行”隐患，并申请省级销号。信息化建设达标落地。管道燃气企业全面建成GIS与SCADA系统，实现管网数字化管理；瓶装燃气企业搭建全流程平台，推广“一瓶一码”，录入气瓶信息160万只，实现全流程可追溯。</w:t>
      </w:r>
      <w:r>
        <w:rPr>
          <w:rFonts w:hint="eastAsia" w:ascii="方正仿宋_GB18030" w:hAnsi="方正仿宋_GB18030" w:eastAsia="方正仿宋_GB18030" w:cs="方正仿宋_GB18030"/>
          <w:b/>
          <w:bCs/>
          <w:sz w:val="32"/>
          <w:szCs w:val="32"/>
        </w:rPr>
        <w:t>四</w:t>
      </w:r>
      <w:r>
        <w:rPr>
          <w:rFonts w:hint="eastAsia" w:ascii="方正仿宋_GB18030" w:hAnsi="方正仿宋_GB18030" w:eastAsia="方正仿宋_GB18030" w:cs="方正仿宋_GB18030"/>
          <w:b/>
          <w:bCs/>
          <w:sz w:val="32"/>
          <w:szCs w:val="32"/>
          <w:lang w:val="en-US" w:eastAsia="zh-CN"/>
        </w:rPr>
        <w:t>是</w:t>
      </w:r>
      <w:r>
        <w:rPr>
          <w:rFonts w:hint="eastAsia" w:ascii="方正仿宋_GB18030" w:hAnsi="方正仿宋_GB18030" w:eastAsia="方正仿宋_GB18030" w:cs="方正仿宋_GB18030"/>
          <w:sz w:val="32"/>
          <w:szCs w:val="32"/>
        </w:rPr>
        <w:t>保障资金投入，支撑行业持续发展。全年燃气企业上缴税金1256万元，完成老旧管网改造投资2608万元，并争取上级资金5364万元用于管网设施建设，为燃气安全可持续发展提供了坚实的资金保障。</w:t>
      </w:r>
    </w:p>
    <w:p w14:paraId="7EDF3960">
      <w:pPr>
        <w:keepNext w:val="0"/>
        <w:keepLines w:val="0"/>
        <w:pageBreakBefore w:val="0"/>
        <w:widowControl w:val="0"/>
        <w:pBdr>
          <w:bottom w:val="none" w:color="CCCCCC" w:sz="0" w:space="22"/>
        </w:pBdr>
        <w:kinsoku/>
        <w:wordWrap/>
        <w:overflowPunct/>
        <w:topLinePunct w:val="0"/>
        <w:autoSpaceDE/>
        <w:autoSpaceDN/>
        <w:bidi w:val="0"/>
        <w:adjustRightInd/>
        <w:snapToGrid w:val="0"/>
        <w:spacing w:line="54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w:t>
      </w:r>
      <w:r>
        <w:rPr>
          <w:rFonts w:hint="eastAsia" w:ascii="方正仿宋_GB18030" w:hAnsi="方正仿宋_GB18030" w:eastAsia="方正仿宋_GB18030" w:cs="方正仿宋_GB18030"/>
          <w:b/>
          <w:bCs/>
          <w:sz w:val="32"/>
          <w:szCs w:val="32"/>
        </w:rPr>
        <w:t>聚力项目建设，城市基础设施功能持续完善</w:t>
      </w:r>
      <w:r>
        <w:rPr>
          <w:rFonts w:hint="eastAsia" w:ascii="方正仿宋_GB18030" w:hAnsi="方正仿宋_GB18030" w:eastAsia="方正仿宋_GB18030" w:cs="方正仿宋_GB18030"/>
          <w:b/>
          <w:bCs/>
          <w:sz w:val="32"/>
          <w:szCs w:val="32"/>
          <w:lang w:eastAsia="zh-CN"/>
        </w:rPr>
        <w:t>。</w:t>
      </w:r>
      <w:r>
        <w:rPr>
          <w:rFonts w:hint="eastAsia" w:ascii="方正仿宋_GB18030" w:hAnsi="方正仿宋_GB18030" w:eastAsia="方正仿宋_GB18030" w:cs="方正仿宋_GB18030"/>
          <w:sz w:val="32"/>
          <w:szCs w:val="32"/>
        </w:rPr>
        <w:t>中心作为多项重点市政工程的项目业主单位，全力推进城市路网优化和功能提升。</w:t>
      </w:r>
      <w:r>
        <w:rPr>
          <w:rFonts w:hint="eastAsia" w:ascii="方正仿宋_GB18030" w:hAnsi="方正仿宋_GB18030" w:eastAsia="方正仿宋_GB18030" w:cs="方正仿宋_GB18030"/>
          <w:b/>
          <w:bCs/>
          <w:sz w:val="32"/>
          <w:szCs w:val="32"/>
        </w:rPr>
        <w:t>一是</w:t>
      </w:r>
      <w:r>
        <w:rPr>
          <w:rFonts w:hint="eastAsia" w:ascii="方正仿宋_GB18030" w:hAnsi="方正仿宋_GB18030" w:eastAsia="方正仿宋_GB18030" w:cs="方正仿宋_GB18030"/>
          <w:sz w:val="32"/>
          <w:szCs w:val="32"/>
        </w:rPr>
        <w:t>一批项目建成投用。人民西路（人民南路至鹤洲路）、香洲南路（刘塘路至会展路）已于9月竣工通车，有效完善了周边出行条件；隆平植物园跨铁路人行天桥、怀铁二中及宏宇小学等4座人行过街天桥均已完工或投入使用，极大便利了市民出行，消除了安全隐患。</w:t>
      </w:r>
      <w:r>
        <w:rPr>
          <w:rFonts w:hint="eastAsia" w:ascii="方正仿宋_GB18030" w:hAnsi="方正仿宋_GB18030" w:eastAsia="方正仿宋_GB18030" w:cs="方正仿宋_GB18030"/>
          <w:b/>
          <w:bCs/>
          <w:sz w:val="32"/>
          <w:szCs w:val="32"/>
        </w:rPr>
        <w:t>二是</w:t>
      </w:r>
      <w:r>
        <w:rPr>
          <w:rFonts w:hint="eastAsia" w:ascii="方正仿宋_GB18030" w:hAnsi="方正仿宋_GB18030" w:eastAsia="方正仿宋_GB18030" w:cs="方正仿宋_GB18030"/>
          <w:sz w:val="32"/>
          <w:szCs w:val="32"/>
        </w:rPr>
        <w:t>一批项目有序推进。坨院路（军民南路至屈原大道段）已完成部分工程量，正协调解决征拆问题；锦园路（环城南路至东盟大道）、公园北路（雪峰大道至顺天大道）等项目正按程序开展土地报批、设计优化等前期工作。</w:t>
      </w:r>
    </w:p>
    <w:p w14:paraId="7FF3EBC1">
      <w:pPr>
        <w:keepNext w:val="0"/>
        <w:keepLines w:val="0"/>
        <w:pageBreakBefore w:val="0"/>
        <w:widowControl w:val="0"/>
        <w:pBdr>
          <w:bottom w:val="none" w:color="CCCCCC" w:sz="0" w:space="22"/>
        </w:pBdr>
        <w:kinsoku/>
        <w:wordWrap/>
        <w:overflowPunct/>
        <w:topLinePunct w:val="0"/>
        <w:autoSpaceDE/>
        <w:autoSpaceDN/>
        <w:bidi w:val="0"/>
        <w:adjustRightInd/>
        <w:snapToGrid w:val="0"/>
        <w:spacing w:line="54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六</w:t>
      </w:r>
      <w:r>
        <w:rPr>
          <w:rFonts w:hint="default" w:ascii="方正黑体_GBK" w:hAnsi="方正黑体_GBK" w:eastAsia="方正黑体_GBK" w:cs="方正黑体_GBK"/>
          <w:b/>
          <w:bCs/>
          <w:color w:val="auto"/>
          <w:sz w:val="32"/>
          <w:szCs w:val="32"/>
          <w:highlight w:val="none"/>
          <w:lang w:val="en-US" w:eastAsia="zh-CN"/>
        </w:rPr>
        <w:t>、存在的问题及原因分析</w:t>
      </w:r>
    </w:p>
    <w:p w14:paraId="120262D9">
      <w:pPr>
        <w:keepNext w:val="0"/>
        <w:keepLines w:val="0"/>
        <w:pageBreakBefore w:val="0"/>
        <w:widowControl w:val="0"/>
        <w:pBdr>
          <w:bottom w:val="none" w:color="CCCCCC" w:sz="0" w:space="22"/>
        </w:pBdr>
        <w:kinsoku/>
        <w:wordWrap/>
        <w:overflowPunct/>
        <w:topLinePunct w:val="0"/>
        <w:autoSpaceDE/>
        <w:autoSpaceDN/>
        <w:bidi w:val="0"/>
        <w:adjustRightInd/>
        <w:snapToGrid w:val="0"/>
        <w:spacing w:line="540" w:lineRule="exact"/>
        <w:ind w:firstLine="641"/>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（一）全面预算绩效管理工作经验不太丰富，绩效管理专业人员匮乏，规范管理有盲点。</w:t>
      </w:r>
    </w:p>
    <w:p w14:paraId="645A1C42">
      <w:pPr>
        <w:keepNext w:val="0"/>
        <w:keepLines w:val="0"/>
        <w:pageBreakBefore w:val="0"/>
        <w:widowControl w:val="0"/>
        <w:pBdr>
          <w:bottom w:val="none" w:color="CCCCCC" w:sz="0" w:space="22"/>
        </w:pBdr>
        <w:kinsoku/>
        <w:wordWrap/>
        <w:overflowPunct/>
        <w:topLinePunct w:val="0"/>
        <w:autoSpaceDE/>
        <w:autoSpaceDN/>
        <w:bidi w:val="0"/>
        <w:adjustRightInd/>
        <w:snapToGrid w:val="0"/>
        <w:spacing w:line="540" w:lineRule="exact"/>
        <w:ind w:firstLine="641"/>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（二）部门预算编制的科学化、精细化有待提高。目前，预算编制要求经济科目细化到款级，但在实际编制过程中，由于有的预算支出项目具有预测性和不确定性等特点，造成实际支出与预算编制不符。</w:t>
      </w:r>
    </w:p>
    <w:p w14:paraId="48AA45CF">
      <w:pPr>
        <w:keepNext w:val="0"/>
        <w:keepLines w:val="0"/>
        <w:pageBreakBefore w:val="0"/>
        <w:widowControl w:val="0"/>
        <w:pBdr>
          <w:bottom w:val="none" w:color="CCCCCC" w:sz="0" w:space="22"/>
        </w:pBdr>
        <w:kinsoku/>
        <w:wordWrap/>
        <w:overflowPunct/>
        <w:topLinePunct w:val="0"/>
        <w:autoSpaceDE/>
        <w:autoSpaceDN/>
        <w:bidi w:val="0"/>
        <w:adjustRightInd/>
        <w:snapToGrid w:val="0"/>
        <w:spacing w:line="54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七、</w:t>
      </w:r>
      <w:r>
        <w:rPr>
          <w:rFonts w:hint="default" w:ascii="方正黑体_GBK" w:hAnsi="方正黑体_GBK" w:eastAsia="方正黑体_GBK" w:cs="方正黑体_GBK"/>
          <w:b/>
          <w:bCs/>
          <w:color w:val="auto"/>
          <w:sz w:val="32"/>
          <w:szCs w:val="32"/>
          <w:highlight w:val="none"/>
          <w:lang w:val="en-US" w:eastAsia="zh-CN"/>
        </w:rPr>
        <w:t>下一步改进措施</w:t>
      </w:r>
    </w:p>
    <w:p w14:paraId="03E49414">
      <w:pPr>
        <w:keepNext w:val="0"/>
        <w:keepLines w:val="0"/>
        <w:pageBreakBefore w:val="0"/>
        <w:widowControl w:val="0"/>
        <w:pBdr>
          <w:bottom w:val="none" w:color="CCCCCC" w:sz="0" w:space="22"/>
        </w:pBdr>
        <w:kinsoku/>
        <w:wordWrap/>
        <w:overflowPunct/>
        <w:topLinePunct w:val="0"/>
        <w:autoSpaceDE/>
        <w:autoSpaceDN/>
        <w:bidi w:val="0"/>
        <w:adjustRightInd/>
        <w:snapToGrid w:val="0"/>
        <w:spacing w:line="540" w:lineRule="exact"/>
        <w:ind w:firstLine="642"/>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（一）我们将更加全面、细致地制定绩效目标，进一步严肃财经纪律，在实施过程中遵循“实事求是、尊重客观、力求精准”的原则，努力使项目资金落到实处。</w:t>
      </w:r>
    </w:p>
    <w:p w14:paraId="276F3145">
      <w:pPr>
        <w:keepNext w:val="0"/>
        <w:keepLines w:val="0"/>
        <w:pageBreakBefore w:val="0"/>
        <w:widowControl w:val="0"/>
        <w:pBdr>
          <w:bottom w:val="none" w:color="CCCCCC" w:sz="0" w:space="22"/>
        </w:pBdr>
        <w:kinsoku/>
        <w:wordWrap/>
        <w:overflowPunct/>
        <w:topLinePunct w:val="0"/>
        <w:autoSpaceDE/>
        <w:autoSpaceDN/>
        <w:bidi w:val="0"/>
        <w:adjustRightInd/>
        <w:snapToGrid w:val="0"/>
        <w:spacing w:line="540" w:lineRule="exact"/>
        <w:ind w:firstLine="642"/>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我们将落实内控制度，严肃执行“三重一大”的原则，深入开展政府购买社会化服务，切实引进社会化竞争机制，引进相关专业人才，保障项目在公开、公平、公正的监督环境中实施，有效节约项目资金，把有限的资金用在刀刃上。</w:t>
      </w:r>
    </w:p>
    <w:p w14:paraId="75AAE079">
      <w:pPr>
        <w:keepNext w:val="0"/>
        <w:keepLines w:val="0"/>
        <w:pageBreakBefore w:val="0"/>
        <w:widowControl w:val="0"/>
        <w:pBdr>
          <w:bottom w:val="none" w:color="CCCCCC" w:sz="0" w:space="22"/>
        </w:pBdr>
        <w:kinsoku/>
        <w:wordWrap/>
        <w:overflowPunct/>
        <w:topLinePunct w:val="0"/>
        <w:autoSpaceDE/>
        <w:autoSpaceDN/>
        <w:bidi w:val="0"/>
        <w:adjustRightInd/>
        <w:snapToGrid w:val="0"/>
        <w:spacing w:line="540" w:lineRule="exact"/>
        <w:ind w:firstLine="642"/>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（三）加强对财政资金的拨付和使用管理，加强对财务干部职工的业务培训，强化预算管理意识，严格执行预算，做到专账核算，确保专款专用。</w:t>
      </w:r>
    </w:p>
    <w:p w14:paraId="1978E9F6">
      <w:pPr>
        <w:keepNext w:val="0"/>
        <w:keepLines w:val="0"/>
        <w:pageBreakBefore w:val="0"/>
        <w:widowControl w:val="0"/>
        <w:pBdr>
          <w:bottom w:val="none" w:color="CCCCCC" w:sz="0" w:space="22"/>
        </w:pBdr>
        <w:kinsoku/>
        <w:wordWrap/>
        <w:overflowPunct/>
        <w:topLinePunct w:val="0"/>
        <w:autoSpaceDE/>
        <w:autoSpaceDN/>
        <w:bidi w:val="0"/>
        <w:adjustRightInd/>
        <w:snapToGrid w:val="0"/>
        <w:spacing w:line="540" w:lineRule="exact"/>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八、绩效自评结果拟应用和公开情况</w:t>
      </w:r>
    </w:p>
    <w:p w14:paraId="1BF96601">
      <w:pPr>
        <w:keepNext w:val="0"/>
        <w:keepLines w:val="0"/>
        <w:pageBreakBefore w:val="0"/>
        <w:widowControl w:val="0"/>
        <w:pBdr>
          <w:bottom w:val="none" w:color="CCCCCC" w:sz="0" w:space="22"/>
        </w:pBdr>
        <w:kinsoku/>
        <w:wordWrap/>
        <w:overflowPunct/>
        <w:topLinePunct w:val="0"/>
        <w:autoSpaceDE/>
        <w:autoSpaceDN/>
        <w:bidi w:val="0"/>
        <w:adjustRightInd/>
        <w:snapToGrid w:val="0"/>
        <w:spacing w:line="540" w:lineRule="exact"/>
        <w:ind w:firstLine="642"/>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我单位将通过绩效自评工作进一步完善预算管理机制，规范资金使用，强化监督检查，强化财政资金管理水平，提高财政资金使用效益，预算资金使用效益的提高提供基础保障。</w:t>
      </w:r>
    </w:p>
    <w:p w14:paraId="3AED9B42">
      <w:pPr>
        <w:keepNext w:val="0"/>
        <w:keepLines w:val="0"/>
        <w:pageBreakBefore w:val="0"/>
        <w:widowControl w:val="0"/>
        <w:pBdr>
          <w:bottom w:val="none" w:color="CCCCCC" w:sz="0" w:space="22"/>
        </w:pBdr>
        <w:kinsoku/>
        <w:wordWrap/>
        <w:overflowPunct/>
        <w:topLinePunct w:val="0"/>
        <w:autoSpaceDE/>
        <w:autoSpaceDN/>
        <w:bidi w:val="0"/>
        <w:adjustRightInd/>
        <w:snapToGrid w:val="0"/>
        <w:spacing w:line="540" w:lineRule="exact"/>
        <w:ind w:firstLine="642"/>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绩效自评工作完成后将通过单位官网向全社会公开。</w:t>
      </w:r>
    </w:p>
    <w:p w14:paraId="62BF0C9C">
      <w:pPr>
        <w:keepNext w:val="0"/>
        <w:keepLines w:val="0"/>
        <w:pageBreakBefore w:val="0"/>
        <w:widowControl w:val="0"/>
        <w:numPr>
          <w:ilvl w:val="0"/>
          <w:numId w:val="1"/>
        </w:numPr>
        <w:pBdr>
          <w:bottom w:val="none" w:color="CCCCCC" w:sz="0" w:space="22"/>
        </w:pBdr>
        <w:kinsoku/>
        <w:wordWrap/>
        <w:overflowPunct/>
        <w:topLinePunct w:val="0"/>
        <w:autoSpaceDE/>
        <w:autoSpaceDN/>
        <w:bidi w:val="0"/>
        <w:adjustRightInd/>
        <w:snapToGrid w:val="0"/>
        <w:spacing w:line="540" w:lineRule="exact"/>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其他需要说明的情况</w:t>
      </w:r>
    </w:p>
    <w:p w14:paraId="639F2316">
      <w:pPr>
        <w:keepNext w:val="0"/>
        <w:keepLines w:val="0"/>
        <w:pageBreakBefore w:val="0"/>
        <w:widowControl w:val="0"/>
        <w:numPr>
          <w:ilvl w:val="0"/>
          <w:numId w:val="0"/>
        </w:numPr>
        <w:pBdr>
          <w:bottom w:val="none" w:color="CCCCCC" w:sz="0" w:space="22"/>
        </w:pBdr>
        <w:kinsoku/>
        <w:wordWrap/>
        <w:overflowPunct/>
        <w:topLinePunct w:val="0"/>
        <w:autoSpaceDE/>
        <w:autoSpaceDN/>
        <w:bidi w:val="0"/>
        <w:adjustRightInd/>
        <w:snapToGrid w:val="0"/>
        <w:spacing w:line="54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lang w:val="en-US" w:eastAsia="zh-CN"/>
        </w:rPr>
        <w:t>无。</w:t>
      </w:r>
    </w:p>
    <w:p w14:paraId="4E94490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4A0460E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041C949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sectPr>
      <w:footerReference r:id="rId3" w:type="default"/>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auto"/>
    <w:pitch w:val="default"/>
    <w:sig w:usb0="00000000" w:usb1="00000000"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仿宋_GB18030">
    <w:altName w:val="方正仿宋_GBK"/>
    <w:panose1 w:val="02000000000000000000"/>
    <w:charset w:val="86"/>
    <w:family w:val="auto"/>
    <w:pitch w:val="default"/>
    <w:sig w:usb0="00000000" w:usb1="00000000" w:usb2="00000000" w:usb3="00000000" w:csb0="00040001" w:csb1="00000000"/>
  </w:font>
  <w:font w:name="方正仿宋_GB2312">
    <w:panose1 w:val="02000000000000000000"/>
    <w:charset w:val="86"/>
    <w:family w:val="auto"/>
    <w:pitch w:val="default"/>
    <w:sig w:usb0="A00002BF" w:usb1="184F6CFA" w:usb2="00000012" w:usb3="00000000" w:csb0="00040001"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EE6D0">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BF8E26">
                          <w:pPr>
                            <w:pStyle w:val="6"/>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1BF8E26">
                    <w:pPr>
                      <w:pStyle w:val="6"/>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1DB227"/>
    <w:multiLevelType w:val="singleLevel"/>
    <w:tmpl w:val="F51DB227"/>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jYmJkZTgyZjQzZTk3ZTUzMWNlNWIzZDJmYjY5OGMifQ=="/>
    <w:docVar w:name="KSO_WPS_MARK_KEY" w:val="9920a277-c0c3-43b4-93d3-1636fe398e0b"/>
  </w:docVars>
  <w:rsids>
    <w:rsidRoot w:val="753C4E9B"/>
    <w:rsid w:val="019B05CD"/>
    <w:rsid w:val="01BB05A0"/>
    <w:rsid w:val="02A24FE3"/>
    <w:rsid w:val="049C64DE"/>
    <w:rsid w:val="051B69F7"/>
    <w:rsid w:val="054874D3"/>
    <w:rsid w:val="05E95AA6"/>
    <w:rsid w:val="068762FC"/>
    <w:rsid w:val="07334569"/>
    <w:rsid w:val="0AA260A7"/>
    <w:rsid w:val="0B955AE5"/>
    <w:rsid w:val="0C180A78"/>
    <w:rsid w:val="0C2553E1"/>
    <w:rsid w:val="0D276746"/>
    <w:rsid w:val="0D464D9C"/>
    <w:rsid w:val="0DD52794"/>
    <w:rsid w:val="0E1D3DDA"/>
    <w:rsid w:val="0E956870"/>
    <w:rsid w:val="10C666A5"/>
    <w:rsid w:val="1223366A"/>
    <w:rsid w:val="12B3207B"/>
    <w:rsid w:val="143877FD"/>
    <w:rsid w:val="14BB37E8"/>
    <w:rsid w:val="1578232A"/>
    <w:rsid w:val="17FCFFF6"/>
    <w:rsid w:val="19E805B2"/>
    <w:rsid w:val="1CBF872E"/>
    <w:rsid w:val="1F1B6D8E"/>
    <w:rsid w:val="1F780C94"/>
    <w:rsid w:val="22FE234B"/>
    <w:rsid w:val="231C669E"/>
    <w:rsid w:val="277E6F02"/>
    <w:rsid w:val="27A05C42"/>
    <w:rsid w:val="28284302"/>
    <w:rsid w:val="29990575"/>
    <w:rsid w:val="2AF6742D"/>
    <w:rsid w:val="2E5374E7"/>
    <w:rsid w:val="312A2265"/>
    <w:rsid w:val="333F3E43"/>
    <w:rsid w:val="34ED4F7A"/>
    <w:rsid w:val="36251675"/>
    <w:rsid w:val="36FC0F5D"/>
    <w:rsid w:val="375773F8"/>
    <w:rsid w:val="37E01CB4"/>
    <w:rsid w:val="38A4783A"/>
    <w:rsid w:val="393E32BB"/>
    <w:rsid w:val="3BEB080E"/>
    <w:rsid w:val="3EFDDE87"/>
    <w:rsid w:val="3FE41BC2"/>
    <w:rsid w:val="419B2857"/>
    <w:rsid w:val="41D71DA8"/>
    <w:rsid w:val="41E00002"/>
    <w:rsid w:val="452D3B60"/>
    <w:rsid w:val="45636936"/>
    <w:rsid w:val="46915397"/>
    <w:rsid w:val="49764C6F"/>
    <w:rsid w:val="49F15C1D"/>
    <w:rsid w:val="4A393E97"/>
    <w:rsid w:val="4A3F72B6"/>
    <w:rsid w:val="4A524112"/>
    <w:rsid w:val="4AC66CF3"/>
    <w:rsid w:val="4AE82544"/>
    <w:rsid w:val="4C6611ED"/>
    <w:rsid w:val="4C673DD1"/>
    <w:rsid w:val="4D0F64C3"/>
    <w:rsid w:val="4D115001"/>
    <w:rsid w:val="4D5D3BD3"/>
    <w:rsid w:val="4DAF20E1"/>
    <w:rsid w:val="4E085AA6"/>
    <w:rsid w:val="4EB7F892"/>
    <w:rsid w:val="4FCA7C5D"/>
    <w:rsid w:val="54BD420D"/>
    <w:rsid w:val="552A0475"/>
    <w:rsid w:val="55A77A11"/>
    <w:rsid w:val="55E30D13"/>
    <w:rsid w:val="578D10CB"/>
    <w:rsid w:val="57AD37CC"/>
    <w:rsid w:val="57B963D1"/>
    <w:rsid w:val="59975731"/>
    <w:rsid w:val="59C16315"/>
    <w:rsid w:val="5A5915AC"/>
    <w:rsid w:val="5A902199"/>
    <w:rsid w:val="5ABBC979"/>
    <w:rsid w:val="5B305B59"/>
    <w:rsid w:val="5B37158E"/>
    <w:rsid w:val="5BFC7B3B"/>
    <w:rsid w:val="5CA03D84"/>
    <w:rsid w:val="5CE96E0C"/>
    <w:rsid w:val="5DDFB5EA"/>
    <w:rsid w:val="5E181862"/>
    <w:rsid w:val="5E77C7C6"/>
    <w:rsid w:val="5F497739"/>
    <w:rsid w:val="5F734DA2"/>
    <w:rsid w:val="5FB80691"/>
    <w:rsid w:val="5FFFAAE0"/>
    <w:rsid w:val="66347B2F"/>
    <w:rsid w:val="66622467"/>
    <w:rsid w:val="667FD72C"/>
    <w:rsid w:val="66BC066D"/>
    <w:rsid w:val="66C61668"/>
    <w:rsid w:val="69FA3FC2"/>
    <w:rsid w:val="6A12486A"/>
    <w:rsid w:val="6A2510FC"/>
    <w:rsid w:val="6ABE64BE"/>
    <w:rsid w:val="6B5F16C5"/>
    <w:rsid w:val="6B722EBA"/>
    <w:rsid w:val="6CF3EA5A"/>
    <w:rsid w:val="6DC4368A"/>
    <w:rsid w:val="706B37B2"/>
    <w:rsid w:val="70B9505D"/>
    <w:rsid w:val="70D43495"/>
    <w:rsid w:val="71576FFB"/>
    <w:rsid w:val="72D326AB"/>
    <w:rsid w:val="737931AC"/>
    <w:rsid w:val="753C4E9B"/>
    <w:rsid w:val="769B7804"/>
    <w:rsid w:val="779FCBF0"/>
    <w:rsid w:val="77BE610E"/>
    <w:rsid w:val="77F7E21B"/>
    <w:rsid w:val="781113A7"/>
    <w:rsid w:val="788F5065"/>
    <w:rsid w:val="791E6510"/>
    <w:rsid w:val="796E134C"/>
    <w:rsid w:val="79E2F975"/>
    <w:rsid w:val="7A8656EC"/>
    <w:rsid w:val="7B3BDBF2"/>
    <w:rsid w:val="7B9F676B"/>
    <w:rsid w:val="7BE84E61"/>
    <w:rsid w:val="7C8D4A41"/>
    <w:rsid w:val="7D4C06B6"/>
    <w:rsid w:val="7DDF0DF3"/>
    <w:rsid w:val="7E812066"/>
    <w:rsid w:val="7EAC78FF"/>
    <w:rsid w:val="7EBDCBBF"/>
    <w:rsid w:val="7EC74CC1"/>
    <w:rsid w:val="7EE6408F"/>
    <w:rsid w:val="7F3EB32E"/>
    <w:rsid w:val="7F5F3F3B"/>
    <w:rsid w:val="7F5FE5E8"/>
    <w:rsid w:val="7F7FC8C5"/>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5">
    <w:name w:val="Body Text Indent"/>
    <w:basedOn w:val="1"/>
    <w:unhideWhenUsed/>
    <w:qFormat/>
    <w:uiPriority w:val="0"/>
    <w:pPr>
      <w:spacing w:beforeLines="0" w:afterLines="0"/>
      <w:ind w:firstLine="640" w:firstLineChars="200"/>
    </w:pPr>
    <w:rPr>
      <w:rFonts w:hint="default"/>
      <w:sz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5"/>
    <w:unhideWhenUsed/>
    <w:qFormat/>
    <w:uiPriority w:val="99"/>
    <w:pPr>
      <w:spacing w:beforeLines="0" w:afterLines="0"/>
      <w:ind w:firstLine="420"/>
    </w:pPr>
    <w:rPr>
      <w:rFonts w:hint="default"/>
      <w:sz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标题1"/>
    <w:basedOn w:val="4"/>
    <w:qFormat/>
    <w:uiPriority w:val="0"/>
    <w:rPr>
      <w:rFonts w:eastAsia="黑体"/>
    </w:rPr>
  </w:style>
  <w:style w:type="paragraph" w:customStyle="1" w:styleId="14">
    <w:name w:val="首行缩进"/>
    <w:basedOn w:val="1"/>
    <w:qFormat/>
    <w:uiPriority w:val="0"/>
    <w:pPr>
      <w:ind w:firstLine="480" w:firstLineChars="200"/>
    </w:pPr>
    <w:rPr>
      <w:lang w:val="zh-CN"/>
    </w:rPr>
  </w:style>
  <w:style w:type="paragraph" w:customStyle="1" w:styleId="15">
    <w:name w:val="4正文"/>
    <w:basedOn w:val="1"/>
    <w:qFormat/>
    <w:uiPriority w:val="0"/>
    <w:pPr>
      <w:snapToGrid w:val="0"/>
      <w:spacing w:line="440" w:lineRule="exact"/>
      <w:ind w:firstLine="200" w:firstLineChars="200"/>
    </w:pPr>
    <w:rPr>
      <w:rFonts w:ascii="Times New Roman" w:hAnsi="Times New Roman" w:eastAsia="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3200</Words>
  <Characters>3310</Characters>
  <Lines>0</Lines>
  <Paragraphs>0</Paragraphs>
  <TotalTime>4</TotalTime>
  <ScaleCrop>false</ScaleCrop>
  <LinksUpToDate>false</LinksUpToDate>
  <CharactersWithSpaces>3749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2024-02-23T18:03:00Z</dcterms:created>
  <dc:creator>1402836399</dc:creator>
  <cp:lastModifiedBy>A梦</cp:lastModifiedBy>
  <cp:lastPrinted>2025-04-10T18:25:00Z</cp:lastPrinted>
  <dcterms:modified xsi:type="dcterms:W3CDTF">2026-10-12T15:36:10Z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FF107BE0A6D34A6F92A2CDAC6C250333</vt:lpwstr>
  </property>
  <property fmtid="{D5CDD505-2E9C-101B-9397-08002B2CF9AE}" pid="4" name="KSOTemplateDocerSaveRecord">
    <vt:lpwstr>eyJoZGlkIjoiMDE2ZDUwMjk0Njk1OGNhMTIwMjQ2Y2Q5NDBhYjY2NmQiLCJ1c2VySWQiOiI1MjY0MDU5NjkifQ==</vt:lpwstr>
  </property>
  <property fmtid="{D5CDD505-2E9C-101B-9397-08002B2CF9AE}" pid="5" name="KSOSaveFontToCloudKey">
    <vt:lpwstr>0_btnclosed</vt:lpwstr>
  </property>
</Properties>
</file>