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3B9D7">
      <w:pPr>
        <w:pStyle w:val="14"/>
        <w:jc w:val="center"/>
        <w:rPr>
          <w:rFonts w:ascii="Times New Roman" w:hAnsi="Times New Roman" w:cs="Times New Roman"/>
          <w:sz w:val="56"/>
          <w:szCs w:val="56"/>
        </w:rPr>
      </w:pPr>
    </w:p>
    <w:p w14:paraId="427A04A9">
      <w:pPr>
        <w:pStyle w:val="14"/>
        <w:jc w:val="center"/>
        <w:rPr>
          <w:rFonts w:ascii="Times New Roman" w:hAnsi="Times New Roman" w:cs="Times New Roman"/>
          <w:sz w:val="84"/>
          <w:szCs w:val="84"/>
        </w:rPr>
      </w:pPr>
      <w:bookmarkStart w:id="0" w:name="_GoBack"/>
      <w:bookmarkEnd w:id="0"/>
    </w:p>
    <w:p w14:paraId="66DF66F6">
      <w:pPr>
        <w:pStyle w:val="14"/>
        <w:jc w:val="center"/>
        <w:rPr>
          <w:rFonts w:ascii="Times New Roman" w:hAnsi="Times New Roman" w:cs="Times New Roman"/>
          <w:sz w:val="84"/>
          <w:szCs w:val="84"/>
        </w:rPr>
      </w:pPr>
    </w:p>
    <w:p w14:paraId="1676C10D">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eastAsia="zh-CN"/>
        </w:rPr>
        <w:t>2025</w:t>
      </w:r>
      <w:r>
        <w:rPr>
          <w:rFonts w:hint="eastAsia" w:ascii="方正小标宋_GBK" w:hAnsi="方正小标宋_GBK" w:eastAsia="方正小标宋_GBK" w:cs="方正小标宋_GBK"/>
          <w:sz w:val="72"/>
          <w:szCs w:val="72"/>
        </w:rPr>
        <w:t>年度</w:t>
      </w:r>
    </w:p>
    <w:p w14:paraId="376D58E6">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lang w:val="en-US" w:eastAsia="zh-CN"/>
        </w:rPr>
        <w:t>怀化市住房保障服务中心部门决算</w:t>
      </w:r>
    </w:p>
    <w:p w14:paraId="4CA0568D">
      <w:pPr>
        <w:pStyle w:val="14"/>
        <w:jc w:val="center"/>
        <w:rPr>
          <w:rFonts w:ascii="Times New Roman" w:hAnsi="Times New Roman" w:eastAsia="方正小标宋_GBK" w:cs="Times New Roman"/>
          <w:sz w:val="56"/>
          <w:szCs w:val="56"/>
        </w:rPr>
      </w:pPr>
    </w:p>
    <w:p w14:paraId="7E64855C">
      <w:pPr>
        <w:pStyle w:val="14"/>
        <w:jc w:val="center"/>
        <w:rPr>
          <w:rFonts w:ascii="Times New Roman" w:hAnsi="Times New Roman" w:cs="Times New Roman"/>
          <w:sz w:val="56"/>
          <w:szCs w:val="56"/>
        </w:rPr>
      </w:pPr>
    </w:p>
    <w:p w14:paraId="6E48300E">
      <w:pPr>
        <w:pStyle w:val="14"/>
        <w:rPr>
          <w:rFonts w:ascii="Times New Roman" w:hAnsi="Times New Roman" w:cs="Times New Roman"/>
          <w:sz w:val="56"/>
          <w:szCs w:val="56"/>
        </w:rPr>
      </w:pPr>
    </w:p>
    <w:p w14:paraId="0DC495F6">
      <w:pPr>
        <w:pStyle w:val="14"/>
        <w:jc w:val="center"/>
        <w:rPr>
          <w:rFonts w:ascii="Times New Roman" w:hAnsi="Times New Roman" w:cs="Times New Roman"/>
          <w:sz w:val="32"/>
          <w:szCs w:val="32"/>
        </w:rPr>
      </w:pPr>
    </w:p>
    <w:p w14:paraId="610DA2BD">
      <w:pPr>
        <w:pStyle w:val="14"/>
        <w:jc w:val="center"/>
        <w:rPr>
          <w:rFonts w:ascii="Times New Roman" w:hAnsi="Times New Roman" w:cs="Times New Roman"/>
          <w:sz w:val="32"/>
          <w:szCs w:val="32"/>
        </w:rPr>
      </w:pPr>
    </w:p>
    <w:p w14:paraId="4D0497B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D2146A0">
      <w:pPr>
        <w:pStyle w:val="14"/>
        <w:spacing w:line="600" w:lineRule="exact"/>
        <w:jc w:val="both"/>
        <w:rPr>
          <w:rFonts w:ascii="Times New Roman" w:hAnsi="Times New Roman" w:cs="Times New Roman"/>
          <w:b/>
          <w:sz w:val="36"/>
          <w:szCs w:val="28"/>
        </w:rPr>
      </w:pPr>
    </w:p>
    <w:p w14:paraId="50A7DDFD">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39F5644">
      <w:pPr>
        <w:pStyle w:val="14"/>
        <w:spacing w:line="600" w:lineRule="exact"/>
        <w:jc w:val="center"/>
        <w:rPr>
          <w:rFonts w:ascii="Times New Roman" w:hAnsi="Times New Roman" w:cs="Times New Roman"/>
          <w:b/>
          <w:sz w:val="36"/>
          <w:szCs w:val="28"/>
        </w:rPr>
      </w:pPr>
    </w:p>
    <w:p w14:paraId="0A1D41E2">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怀化市住房保障服务中心</w:t>
      </w:r>
      <w:r>
        <w:rPr>
          <w:rFonts w:ascii="Times New Roman" w:hAnsi="Times New Roman" w:cs="Times New Roman"/>
          <w:bCs/>
          <w:sz w:val="32"/>
          <w:szCs w:val="32"/>
        </w:rPr>
        <w:t>概况</w:t>
      </w:r>
    </w:p>
    <w:p w14:paraId="54E9742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8AB8CD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60381D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266789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0150A0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4098C3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B81662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E79E2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8D816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71CB7D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9C271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7331B2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EB43DF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5708C7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C208E0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62802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F9E0C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6EA5B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C9EED6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1BDDF2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BC704A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E4820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E303762">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w:t>
      </w:r>
      <w:r>
        <w:rPr>
          <w:rFonts w:hint="eastAsia" w:ascii="仿宋_GB2312" w:hAnsi="仿宋_GB2312" w:eastAsia="仿宋_GB2312" w:cs="仿宋_GB2312"/>
          <w:color w:val="000000"/>
          <w:kern w:val="0"/>
          <w:sz w:val="28"/>
          <w:szCs w:val="28"/>
        </w:rPr>
        <w:t>国有资本经营预算财政拨款支出决算情况说明</w:t>
      </w:r>
    </w:p>
    <w:p w14:paraId="7D51B59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1882A2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1F735FC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2C56255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5C50F44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2BC8C15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936C60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D996446">
      <w:pPr>
        <w:pStyle w:val="14"/>
        <w:spacing w:line="600" w:lineRule="exact"/>
        <w:rPr>
          <w:rFonts w:ascii="Times New Roman" w:hAnsi="Times New Roman" w:cs="Times New Roman"/>
          <w:bCs/>
          <w:sz w:val="28"/>
          <w:szCs w:val="28"/>
        </w:rPr>
      </w:pPr>
    </w:p>
    <w:p w14:paraId="5FA51BDA">
      <w:pPr>
        <w:jc w:val="center"/>
        <w:rPr>
          <w:rFonts w:ascii="Times New Roman" w:hAnsi="Times New Roman" w:cs="Times New Roman"/>
          <w:sz w:val="72"/>
          <w:szCs w:val="72"/>
        </w:rPr>
      </w:pPr>
    </w:p>
    <w:p w14:paraId="171F59B5">
      <w:pPr>
        <w:jc w:val="center"/>
        <w:rPr>
          <w:rFonts w:ascii="Times New Roman" w:hAnsi="Times New Roman" w:cs="Times New Roman"/>
          <w:sz w:val="72"/>
          <w:szCs w:val="72"/>
        </w:rPr>
      </w:pPr>
    </w:p>
    <w:p w14:paraId="6E4E7828">
      <w:pPr>
        <w:jc w:val="center"/>
        <w:rPr>
          <w:rFonts w:ascii="Times New Roman" w:hAnsi="Times New Roman" w:cs="Times New Roman"/>
          <w:sz w:val="72"/>
          <w:szCs w:val="72"/>
        </w:rPr>
      </w:pPr>
    </w:p>
    <w:p w14:paraId="132D9F99">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926FE72">
      <w:pPr>
        <w:rPr>
          <w:rFonts w:ascii="Times New Roman" w:hAnsi="Times New Roman" w:eastAsia="方正小标宋_GBK" w:cs="Times New Roman"/>
          <w:sz w:val="72"/>
          <w:szCs w:val="72"/>
        </w:rPr>
      </w:pPr>
    </w:p>
    <w:p w14:paraId="646E1BA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7A4BD5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怀化市住房保障服务中心</w:t>
      </w:r>
      <w:r>
        <w:rPr>
          <w:rFonts w:ascii="Times New Roman" w:hAnsi="Times New Roman" w:eastAsia="方正小标宋_GBK" w:cs="Times New Roman"/>
          <w:sz w:val="52"/>
          <w:szCs w:val="52"/>
        </w:rPr>
        <w:t>概况</w:t>
      </w:r>
    </w:p>
    <w:p w14:paraId="3CC299E7">
      <w:pPr>
        <w:pStyle w:val="4"/>
        <w:ind w:left="0" w:leftChars="0" w:firstLine="0" w:firstLineChars="0"/>
        <w:rPr>
          <w:rFonts w:ascii="Times New Roman" w:hAnsi="Times New Roman" w:cs="Times New Roman"/>
        </w:rPr>
      </w:pPr>
    </w:p>
    <w:p w14:paraId="64D110BD">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72F482CD">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（一）承担市城区物业专项维修资金归集、管理、拨付等事务性职责。为全市住房保障、房地产市场监管、物业管理、保障性住房租赁管理、其他房屋租赁管理、白蚁防治管理等相关政策拟订提供服务。</w:t>
      </w:r>
    </w:p>
    <w:p w14:paraId="294AF560">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（二）承担全市保障性住房后续管理和其他房屋租赁管理的业务指导，市本级保障性住房租赁管理服务和其他房屋租赁备案的相关服务。</w:t>
      </w:r>
    </w:p>
    <w:p w14:paraId="3BB423F0">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（三）市本级白蚁防治业务指导、实施白蚁防治科学研究及新技术推广等职责。</w:t>
      </w:r>
    </w:p>
    <w:p w14:paraId="6FDB75B7">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（四）承担市住房和城乡建设局交办的其他工作。</w:t>
      </w:r>
    </w:p>
    <w:p w14:paraId="37D3D22C">
      <w:pPr>
        <w:widowControl/>
        <w:spacing w:line="600" w:lineRule="exact"/>
        <w:ind w:firstLine="640" w:firstLineChars="200"/>
        <w:rPr>
          <w:rFonts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lang w:eastAsia="zh-CN"/>
        </w:rPr>
        <w:t>2025</w:t>
      </w:r>
      <w:r>
        <w:rPr>
          <w:rFonts w:hint="eastAsia" w:ascii="Times New Roman" w:hAnsi="Times New Roman" w:eastAsia="仿宋_GB2312" w:cs="仿宋_GB2312"/>
          <w:bCs/>
          <w:kern w:val="0"/>
          <w:sz w:val="32"/>
          <w:szCs w:val="32"/>
        </w:rPr>
        <w:t>年住建局交办工作有：购房补贴发放。</w:t>
      </w:r>
    </w:p>
    <w:p w14:paraId="41B351CD">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EDFCDC9">
      <w:pPr>
        <w:widowControl/>
        <w:spacing w:line="600" w:lineRule="exact"/>
        <w:ind w:firstLine="640" w:firstLineChars="2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rPr>
        <w:t>（一）内设机构设置。怀化市住房保障服务中心作为一级部门预算单位，内设部门为：办公室、人事财务部、住房保障服务部、住建信息服务部。下设不具备独立法人资格的正科级分支机构市住房保障服务站，承担协助开展白蚁防治、房屋租赁、物业专项维修资金管理等服务性工作</w:t>
      </w:r>
      <w:r>
        <w:rPr>
          <w:rFonts w:hint="eastAsia" w:ascii="Times New Roman" w:hAnsi="Times New Roman" w:eastAsia="仿宋_GB2312" w:cs="仿宋_GB2312"/>
          <w:bCs/>
          <w:kern w:val="0"/>
          <w:sz w:val="32"/>
          <w:szCs w:val="32"/>
          <w:lang w:eastAsia="zh-CN"/>
        </w:rPr>
        <w:t>。</w:t>
      </w:r>
    </w:p>
    <w:p w14:paraId="078A7AA1">
      <w:pPr>
        <w:widowControl/>
        <w:spacing w:line="600" w:lineRule="exact"/>
        <w:ind w:firstLine="640" w:firstLineChars="200"/>
        <w:rPr>
          <w:rFonts w:ascii="Times New Roman" w:hAnsi="Times New Roman" w:eastAsia="仿宋_GB2312" w:cs="Times New Roman"/>
          <w:sz w:val="28"/>
          <w:szCs w:val="32"/>
        </w:rPr>
      </w:pPr>
      <w:r>
        <w:rPr>
          <w:rFonts w:hint="eastAsia" w:ascii="Times New Roman" w:hAnsi="Times New Roman" w:eastAsia="仿宋_GB2312" w:cs="仿宋_GB2312"/>
          <w:bCs/>
          <w:kern w:val="0"/>
          <w:sz w:val="32"/>
          <w:szCs w:val="32"/>
        </w:rPr>
        <w:t>（二）决算单位构成。怀化市住房保障服务中心</w:t>
      </w:r>
      <w:r>
        <w:rPr>
          <w:rFonts w:hint="eastAsia" w:ascii="Times New Roman" w:hAnsi="Times New Roman" w:eastAsia="仿宋_GB2312" w:cs="仿宋_GB2312"/>
          <w:bCs/>
          <w:kern w:val="0"/>
          <w:sz w:val="32"/>
          <w:szCs w:val="32"/>
          <w:lang w:eastAsia="zh-CN"/>
        </w:rPr>
        <w:t>2025</w:t>
      </w:r>
      <w:r>
        <w:rPr>
          <w:rFonts w:hint="eastAsia" w:ascii="Times New Roman" w:hAnsi="Times New Roman" w:eastAsia="仿宋_GB2312" w:cs="仿宋_GB2312"/>
          <w:bCs/>
          <w:kern w:val="0"/>
          <w:sz w:val="32"/>
          <w:szCs w:val="32"/>
        </w:rPr>
        <w:t>年部门决算公开单位构成为怀化市住房保障服务中心本级。</w:t>
      </w:r>
    </w:p>
    <w:p w14:paraId="0FDCD42E">
      <w:pPr>
        <w:jc w:val="center"/>
        <w:rPr>
          <w:rFonts w:ascii="Times New Roman" w:hAnsi="Times New Roman" w:eastAsia="黑体" w:cs="Times New Roman"/>
          <w:sz w:val="28"/>
          <w:szCs w:val="28"/>
        </w:rPr>
      </w:pPr>
    </w:p>
    <w:p w14:paraId="3AA43B5D">
      <w:pPr>
        <w:jc w:val="center"/>
        <w:rPr>
          <w:rFonts w:ascii="Times New Roman" w:hAnsi="Times New Roman" w:eastAsia="黑体" w:cs="Times New Roman"/>
          <w:sz w:val="28"/>
          <w:szCs w:val="28"/>
        </w:rPr>
      </w:pPr>
    </w:p>
    <w:p w14:paraId="5D628FD9">
      <w:pPr>
        <w:jc w:val="center"/>
        <w:rPr>
          <w:rFonts w:ascii="Times New Roman" w:hAnsi="Times New Roman" w:eastAsia="黑体" w:cs="Times New Roman"/>
          <w:sz w:val="28"/>
          <w:szCs w:val="28"/>
        </w:rPr>
      </w:pPr>
    </w:p>
    <w:p w14:paraId="4D2F1DAA">
      <w:pPr>
        <w:jc w:val="center"/>
        <w:rPr>
          <w:rFonts w:ascii="Times New Roman" w:hAnsi="Times New Roman" w:eastAsia="黑体" w:cs="Times New Roman"/>
          <w:sz w:val="28"/>
          <w:szCs w:val="28"/>
        </w:rPr>
      </w:pPr>
    </w:p>
    <w:p w14:paraId="4FF6E848">
      <w:pPr>
        <w:jc w:val="center"/>
        <w:rPr>
          <w:rFonts w:ascii="Times New Roman" w:hAnsi="Times New Roman" w:eastAsia="黑体" w:cs="Times New Roman"/>
          <w:sz w:val="28"/>
          <w:szCs w:val="28"/>
        </w:rPr>
      </w:pPr>
    </w:p>
    <w:p w14:paraId="262FFE00">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F104AEF">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ABEB70D">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见附件。</w:t>
      </w:r>
    </w:p>
    <w:p w14:paraId="61FA51F8">
      <w:pPr>
        <w:autoSpaceDE w:val="0"/>
        <w:autoSpaceDN w:val="0"/>
        <w:adjustRightInd w:val="0"/>
        <w:ind w:left="315" w:leftChars="150"/>
        <w:jc w:val="left"/>
        <w:rPr>
          <w:rFonts w:ascii="Times New Roman" w:hAnsi="Times New Roman" w:eastAsia="宋体" w:cs="Times New Roman"/>
          <w:kern w:val="0"/>
          <w:sz w:val="24"/>
          <w:szCs w:val="24"/>
        </w:rPr>
      </w:pPr>
    </w:p>
    <w:p w14:paraId="1BE50836">
      <w:pPr>
        <w:autoSpaceDE w:val="0"/>
        <w:autoSpaceDN w:val="0"/>
        <w:adjustRightInd w:val="0"/>
        <w:ind w:left="315" w:leftChars="150"/>
        <w:jc w:val="left"/>
        <w:rPr>
          <w:rFonts w:ascii="Times New Roman" w:hAnsi="Times New Roman" w:eastAsia="宋体" w:cs="Times New Roman"/>
          <w:kern w:val="0"/>
          <w:sz w:val="24"/>
          <w:szCs w:val="24"/>
        </w:rPr>
      </w:pPr>
    </w:p>
    <w:p w14:paraId="1F3F9D00">
      <w:pPr>
        <w:autoSpaceDE w:val="0"/>
        <w:autoSpaceDN w:val="0"/>
        <w:adjustRightInd w:val="0"/>
        <w:ind w:left="315" w:leftChars="150"/>
        <w:jc w:val="left"/>
        <w:rPr>
          <w:rFonts w:ascii="Times New Roman" w:hAnsi="Times New Roman" w:eastAsia="宋体" w:cs="Times New Roman"/>
          <w:kern w:val="0"/>
          <w:sz w:val="24"/>
          <w:szCs w:val="24"/>
        </w:rPr>
      </w:pPr>
    </w:p>
    <w:p w14:paraId="5A3A1274">
      <w:pPr>
        <w:autoSpaceDE w:val="0"/>
        <w:autoSpaceDN w:val="0"/>
        <w:adjustRightInd w:val="0"/>
        <w:ind w:left="315" w:leftChars="150"/>
        <w:jc w:val="left"/>
        <w:rPr>
          <w:rFonts w:ascii="Times New Roman" w:hAnsi="Times New Roman" w:eastAsia="宋体" w:cs="Times New Roman"/>
          <w:kern w:val="0"/>
          <w:sz w:val="24"/>
          <w:szCs w:val="24"/>
        </w:rPr>
      </w:pPr>
    </w:p>
    <w:p w14:paraId="437AF4A4">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49D19638">
      <w:pPr>
        <w:pStyle w:val="14"/>
        <w:rPr>
          <w:rFonts w:ascii="Times New Roman" w:hAnsi="Times New Roman" w:cs="Times New Roman"/>
          <w:sz w:val="72"/>
          <w:szCs w:val="72"/>
        </w:rPr>
      </w:pPr>
    </w:p>
    <w:p w14:paraId="71E197DA">
      <w:pPr>
        <w:pStyle w:val="14"/>
        <w:rPr>
          <w:rFonts w:ascii="Times New Roman" w:hAnsi="Times New Roman" w:cs="Times New Roman"/>
          <w:sz w:val="72"/>
          <w:szCs w:val="72"/>
        </w:rPr>
      </w:pPr>
    </w:p>
    <w:p w14:paraId="45CC515B">
      <w:pPr>
        <w:pStyle w:val="14"/>
        <w:rPr>
          <w:rFonts w:ascii="Times New Roman" w:hAnsi="Times New Roman" w:cs="Times New Roman"/>
          <w:sz w:val="72"/>
          <w:szCs w:val="72"/>
        </w:rPr>
      </w:pPr>
    </w:p>
    <w:p w14:paraId="3C556DA6">
      <w:pPr>
        <w:pStyle w:val="14"/>
        <w:jc w:val="center"/>
        <w:rPr>
          <w:rFonts w:ascii="Times New Roman" w:hAnsi="Times New Roman" w:cs="Times New Roman"/>
          <w:sz w:val="72"/>
          <w:szCs w:val="72"/>
        </w:rPr>
      </w:pPr>
    </w:p>
    <w:p w14:paraId="138C398B">
      <w:pPr>
        <w:pStyle w:val="14"/>
        <w:jc w:val="center"/>
        <w:rPr>
          <w:rFonts w:ascii="Times New Roman" w:hAnsi="Times New Roman" w:eastAsia="方正小标宋_GBK" w:cs="Times New Roman"/>
          <w:sz w:val="72"/>
          <w:szCs w:val="72"/>
        </w:rPr>
      </w:pPr>
    </w:p>
    <w:p w14:paraId="7D6186B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90D0AE5">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14:paraId="4F42EA8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D5D254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392661D">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入总计1202.06万元，本年</w:t>
      </w:r>
      <w:r>
        <w:rPr>
          <w:rFonts w:ascii="Times New Roman" w:hAnsi="Times New Roman" w:eastAsia="仿宋_GB2312" w:cs="Times New Roman"/>
          <w:sz w:val="32"/>
          <w:szCs w:val="32"/>
        </w:rPr>
        <w:t>支</w:t>
      </w:r>
      <w:r>
        <w:rPr>
          <w:rFonts w:hint="eastAsia" w:ascii="Times New Roman" w:hAnsi="Times New Roman" w:eastAsia="仿宋_GB2312" w:cs="Times New Roman"/>
          <w:sz w:val="32"/>
          <w:szCs w:val="32"/>
          <w:lang w:val="en-US" w:eastAsia="zh-CN"/>
        </w:rPr>
        <w:t>出</w:t>
      </w:r>
      <w:r>
        <w:rPr>
          <w:rFonts w:ascii="Times New Roman" w:hAnsi="Times New Roman" w:eastAsia="仿宋_GB2312" w:cs="Times New Roman"/>
          <w:sz w:val="32"/>
          <w:szCs w:val="32"/>
        </w:rPr>
        <w:t>总计</w:t>
      </w:r>
      <w:r>
        <w:rPr>
          <w:rFonts w:hint="eastAsia" w:ascii="Times New Roman" w:hAnsi="Times New Roman" w:eastAsia="仿宋_GB2312" w:cs="Times New Roman"/>
          <w:sz w:val="32"/>
          <w:szCs w:val="32"/>
          <w:lang w:val="en-US" w:eastAsia="zh-CN"/>
        </w:rPr>
        <w:t>1202.06</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减少181.87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下降13.14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住房保障服务支出减少。</w:t>
      </w:r>
    </w:p>
    <w:p w14:paraId="6B12B7E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C5EE24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1202.06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1189.33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98.94</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12.73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1.06</w:t>
      </w:r>
      <w:r>
        <w:rPr>
          <w:rFonts w:ascii="Times New Roman" w:hAnsi="Times New Roman" w:eastAsia="仿宋_GB2312" w:cs="Times New Roman"/>
          <w:sz w:val="32"/>
          <w:szCs w:val="32"/>
        </w:rPr>
        <w:t>%。</w:t>
      </w:r>
    </w:p>
    <w:p w14:paraId="25CAC1D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788C6A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1202.06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810.43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67.42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391.63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32.58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CBE63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EBBBB5A">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1189.33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减少188.03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下降13.65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住房保障服务支出减少。</w:t>
      </w:r>
    </w:p>
    <w:p w14:paraId="7F7C2D6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349396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56EF73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1167.33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97.11</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减少205.03</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下降14.94</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住房保障服务支出减少。</w:t>
      </w:r>
    </w:p>
    <w:p w14:paraId="3D0FCA7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2FD67C9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1167.33</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一般公共服务支出53.33万元，占4.57%；</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151.77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13</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30.59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2.62</w:t>
      </w:r>
      <w:r>
        <w:rPr>
          <w:rFonts w:hint="eastAsia" w:ascii="Times New Roman" w:hAnsi="Times New Roman" w:eastAsia="仿宋_GB2312"/>
          <w:sz w:val="32"/>
          <w:szCs w:val="32"/>
        </w:rPr>
        <w:t>%；城乡社区支出</w:t>
      </w:r>
      <w:r>
        <w:rPr>
          <w:rFonts w:hint="eastAsia" w:ascii="Times New Roman" w:hAnsi="Times New Roman" w:eastAsia="仿宋_GB2312"/>
          <w:sz w:val="32"/>
          <w:szCs w:val="32"/>
          <w:lang w:val="en-US" w:eastAsia="zh-CN"/>
        </w:rPr>
        <w:t>792.77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67.91</w:t>
      </w:r>
      <w:r>
        <w:rPr>
          <w:rFonts w:hint="eastAsia" w:ascii="Times New Roman" w:hAnsi="Times New Roman" w:eastAsia="仿宋_GB2312"/>
          <w:sz w:val="32"/>
          <w:szCs w:val="32"/>
        </w:rPr>
        <w:t>%；住房保障支出</w:t>
      </w:r>
      <w:r>
        <w:rPr>
          <w:rFonts w:hint="eastAsia" w:ascii="Times New Roman" w:hAnsi="Times New Roman" w:eastAsia="仿宋_GB2312"/>
          <w:sz w:val="32"/>
          <w:szCs w:val="32"/>
          <w:lang w:val="en-US" w:eastAsia="zh-CN"/>
        </w:rPr>
        <w:t>138.87</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11.90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14:paraId="054B97D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w:t>
      </w:r>
      <w:r>
        <w:rPr>
          <w:rFonts w:ascii="Times New Roman" w:hAnsi="Times New Roman" w:eastAsia="楷体_GB2312" w:cs="Times New Roman"/>
          <w:b/>
          <w:sz w:val="32"/>
          <w:szCs w:val="32"/>
          <w:highlight w:val="none"/>
        </w:rPr>
        <w:t>）一般公共预算财政拨款支出决算具体情况</w:t>
      </w:r>
    </w:p>
    <w:p w14:paraId="4CC35178">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val="en-US" w:eastAsia="zh-CN"/>
        </w:rPr>
        <w:t>一般公共预算</w:t>
      </w:r>
      <w:r>
        <w:rPr>
          <w:rFonts w:ascii="Times New Roman" w:hAnsi="Times New Roman" w:eastAsia="仿宋_GB2312" w:cs="Times New Roman"/>
          <w:sz w:val="32"/>
          <w:szCs w:val="32"/>
        </w:rPr>
        <w:t>财政拨款支出年初预算数为</w:t>
      </w:r>
      <w:r>
        <w:rPr>
          <w:rFonts w:hint="eastAsia" w:ascii="Times New Roman" w:hAnsi="Times New Roman" w:eastAsia="仿宋_GB2312" w:cs="Times New Roman"/>
          <w:sz w:val="32"/>
          <w:szCs w:val="32"/>
          <w:lang w:val="en-US" w:eastAsia="zh-CN"/>
        </w:rPr>
        <w:t>924.58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1167.33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126.26</w:t>
      </w:r>
      <w:r>
        <w:rPr>
          <w:rFonts w:ascii="Times New Roman" w:hAnsi="Times New Roman" w:eastAsia="仿宋_GB2312" w:cs="Times New Roman"/>
          <w:sz w:val="32"/>
          <w:szCs w:val="32"/>
        </w:rPr>
        <w:t>%，其中：</w:t>
      </w:r>
    </w:p>
    <w:p w14:paraId="5FDBFAAB">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1、社会保障和就业支出（类）行政事业单位养老支出（款）事业单位离退休（项）。</w:t>
      </w:r>
    </w:p>
    <w:p w14:paraId="152C5807">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75.22</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决算数大于年初预算数的主要原因是年初预算支出方向未进行细分，决算时进行了细分。</w:t>
      </w:r>
    </w:p>
    <w:p w14:paraId="6139B937">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rPr>
        <w:t>2、社会保障和就业支出（类）行政事业单位养老支出（款）机关事业单位基本养老保险缴费支出（项）。</w:t>
      </w:r>
    </w:p>
    <w:p w14:paraId="30F08EA8">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76.34</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决算数大于年初预算数的主要原因是年初预算支出方向未进行细分，决算时进行了细分。</w:t>
      </w:r>
    </w:p>
    <w:p w14:paraId="1EADE38F">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3、</w:t>
      </w:r>
      <w:r>
        <w:rPr>
          <w:rFonts w:hint="eastAsia" w:ascii="Times New Roman" w:hAnsi="Times New Roman" w:eastAsia="仿宋_GB2312"/>
          <w:sz w:val="32"/>
          <w:szCs w:val="32"/>
          <w:highlight w:val="none"/>
        </w:rPr>
        <w:t>卫生健康支出（类）行政事业单位医疗（款）</w:t>
      </w:r>
      <w:r>
        <w:rPr>
          <w:rFonts w:hint="eastAsia" w:ascii="Times New Roman" w:hAnsi="Times New Roman" w:eastAsia="仿宋_GB2312"/>
          <w:sz w:val="32"/>
          <w:szCs w:val="32"/>
          <w:highlight w:val="none"/>
          <w:lang w:val="en-US" w:eastAsia="zh-CN"/>
        </w:rPr>
        <w:t>事业</w:t>
      </w:r>
      <w:r>
        <w:rPr>
          <w:rFonts w:hint="eastAsia" w:ascii="Times New Roman" w:hAnsi="Times New Roman" w:eastAsia="仿宋_GB2312"/>
          <w:sz w:val="32"/>
          <w:szCs w:val="32"/>
          <w:highlight w:val="none"/>
        </w:rPr>
        <w:t>单位医疗（项）。</w:t>
      </w:r>
    </w:p>
    <w:p w14:paraId="289C6049">
      <w:pPr>
        <w:pStyle w:val="14"/>
        <w:spacing w:line="600" w:lineRule="exact"/>
        <w:ind w:firstLine="800" w:firstLineChars="25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29.31</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30.59</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val="en-US" w:eastAsia="zh-CN"/>
        </w:rPr>
        <w:t>决算数大于年初预算数的主要原因是年初根据往年数据预估，本年按实际支出</w:t>
      </w:r>
      <w:r>
        <w:rPr>
          <w:rFonts w:hint="eastAsia" w:ascii="Times New Roman" w:hAnsi="Times New Roman" w:eastAsia="仿宋_GB2312"/>
          <w:sz w:val="32"/>
          <w:szCs w:val="32"/>
          <w:highlight w:val="none"/>
        </w:rPr>
        <w:t>。</w:t>
      </w:r>
    </w:p>
    <w:p w14:paraId="298D573E">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4、</w:t>
      </w:r>
      <w:r>
        <w:rPr>
          <w:rFonts w:hint="eastAsia" w:ascii="Times New Roman" w:hAnsi="Times New Roman" w:eastAsia="仿宋_GB2312"/>
          <w:sz w:val="32"/>
          <w:szCs w:val="32"/>
          <w:highlight w:val="none"/>
        </w:rPr>
        <w:t>城乡社区支出（类）城乡社区管理事务（款）其他城乡社区管理事务支出（项）。</w:t>
      </w:r>
    </w:p>
    <w:p w14:paraId="510244CE">
      <w:pPr>
        <w:pStyle w:val="14"/>
        <w:spacing w:line="600" w:lineRule="exact"/>
        <w:ind w:firstLine="800" w:firstLineChars="25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691.37</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730.77</w:t>
      </w:r>
      <w:r>
        <w:rPr>
          <w:rFonts w:hint="eastAsia" w:ascii="Times New Roman" w:hAnsi="Times New Roman" w:eastAsia="仿宋_GB2312"/>
          <w:sz w:val="32"/>
          <w:szCs w:val="32"/>
          <w:highlight w:val="none"/>
        </w:rPr>
        <w:t>万元,决算数大于年初预算数的主要原因是：</w:t>
      </w:r>
      <w:r>
        <w:rPr>
          <w:rFonts w:hint="eastAsia" w:ascii="Times New Roman" w:hAnsi="Times New Roman" w:eastAsia="仿宋_GB2312"/>
          <w:sz w:val="32"/>
          <w:szCs w:val="32"/>
          <w:highlight w:val="none"/>
          <w:lang w:val="en-US" w:eastAsia="zh-CN"/>
        </w:rPr>
        <w:t>年中因开展工作追加了预算支出</w:t>
      </w:r>
      <w:r>
        <w:rPr>
          <w:rFonts w:hint="eastAsia" w:ascii="Times New Roman" w:hAnsi="Times New Roman" w:eastAsia="仿宋_GB2312"/>
          <w:sz w:val="32"/>
          <w:szCs w:val="32"/>
          <w:highlight w:val="none"/>
        </w:rPr>
        <w:t>。</w:t>
      </w:r>
    </w:p>
    <w:p w14:paraId="11AA75F3">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5、</w:t>
      </w:r>
      <w:r>
        <w:rPr>
          <w:rFonts w:hint="eastAsia" w:ascii="Times New Roman" w:hAnsi="Times New Roman" w:eastAsia="仿宋_GB2312"/>
          <w:sz w:val="32"/>
          <w:szCs w:val="32"/>
          <w:highlight w:val="none"/>
        </w:rPr>
        <w:t>城乡社区支出（类）城乡社区环境卫生（款）城乡社区环境卫生（项）。</w:t>
      </w:r>
    </w:p>
    <w:p w14:paraId="547B486B">
      <w:pPr>
        <w:pStyle w:val="14"/>
        <w:spacing w:line="600" w:lineRule="exact"/>
        <w:ind w:firstLine="800" w:firstLineChars="250"/>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50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50</w:t>
      </w:r>
      <w:r>
        <w:rPr>
          <w:rFonts w:hint="eastAsia" w:ascii="Times New Roman" w:hAnsi="Times New Roman" w:eastAsia="仿宋_GB2312"/>
          <w:sz w:val="32"/>
          <w:szCs w:val="32"/>
          <w:highlight w:val="none"/>
        </w:rPr>
        <w:t>万元，完成年初预算的</w:t>
      </w:r>
      <w:r>
        <w:rPr>
          <w:rFonts w:hint="eastAsia" w:ascii="Times New Roman" w:hAnsi="Times New Roman" w:eastAsia="仿宋_GB2312"/>
          <w:sz w:val="32"/>
          <w:szCs w:val="32"/>
          <w:highlight w:val="none"/>
          <w:lang w:val="en-US" w:eastAsia="zh-CN"/>
        </w:rPr>
        <w:t>100</w:t>
      </w:r>
      <w:r>
        <w:rPr>
          <w:rFonts w:hint="eastAsia" w:ascii="Times New Roman" w:hAnsi="Times New Roman" w:eastAsia="仿宋_GB2312"/>
          <w:sz w:val="32"/>
          <w:szCs w:val="32"/>
          <w:highlight w:val="none"/>
        </w:rPr>
        <w:t>%。</w:t>
      </w:r>
    </w:p>
    <w:p w14:paraId="4BADDF72">
      <w:pPr>
        <w:pStyle w:val="14"/>
        <w:spacing w:line="600" w:lineRule="exact"/>
        <w:ind w:firstLine="800" w:firstLineChars="250"/>
        <w:rPr>
          <w:rFonts w:ascii="Times New Roman" w:hAnsi="Times New Roman" w:eastAsia="仿宋_GB2312"/>
          <w:sz w:val="32"/>
          <w:szCs w:val="32"/>
          <w:highlight w:val="none"/>
        </w:rPr>
      </w:pPr>
      <w:r>
        <w:rPr>
          <w:rFonts w:hint="eastAsia" w:ascii="Times New Roman" w:hAnsi="Times New Roman" w:eastAsia="仿宋_GB2312"/>
          <w:sz w:val="32"/>
          <w:szCs w:val="32"/>
          <w:highlight w:val="none"/>
          <w:lang w:val="en-US" w:eastAsia="zh-CN"/>
        </w:rPr>
        <w:t>6、</w:t>
      </w:r>
      <w:r>
        <w:rPr>
          <w:rFonts w:hint="eastAsia" w:ascii="Times New Roman" w:hAnsi="Times New Roman" w:eastAsia="仿宋_GB2312"/>
          <w:sz w:val="32"/>
          <w:szCs w:val="32"/>
          <w:highlight w:val="none"/>
        </w:rPr>
        <w:t>城乡社区支出（类）其他城乡社区支出（款）其他城乡社区</w:t>
      </w:r>
      <w:r>
        <w:rPr>
          <w:rFonts w:hint="eastAsia" w:ascii="Times New Roman" w:hAnsi="Times New Roman" w:eastAsia="仿宋_GB2312"/>
          <w:sz w:val="32"/>
          <w:szCs w:val="32"/>
          <w:highlight w:val="none"/>
          <w:lang w:val="en-US" w:eastAsia="zh-CN"/>
        </w:rPr>
        <w:t>公共设施</w:t>
      </w:r>
      <w:r>
        <w:rPr>
          <w:rFonts w:hint="eastAsia" w:ascii="Times New Roman" w:hAnsi="Times New Roman" w:eastAsia="仿宋_GB2312"/>
          <w:sz w:val="32"/>
          <w:szCs w:val="32"/>
          <w:highlight w:val="none"/>
        </w:rPr>
        <w:t>支出（项）。</w:t>
      </w:r>
    </w:p>
    <w:p w14:paraId="594D9F4D">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rPr>
        <w:t>年初预算为</w:t>
      </w:r>
      <w:r>
        <w:rPr>
          <w:rFonts w:hint="eastAsia" w:ascii="Times New Roman" w:hAnsi="Times New Roman" w:eastAsia="仿宋_GB2312"/>
          <w:sz w:val="32"/>
          <w:szCs w:val="32"/>
          <w:highlight w:val="none"/>
          <w:lang w:val="en-US" w:eastAsia="zh-CN"/>
        </w:rPr>
        <w:t>0</w:t>
      </w:r>
      <w:r>
        <w:rPr>
          <w:rFonts w:hint="eastAsia" w:ascii="Times New Roman" w:hAnsi="Times New Roman" w:eastAsia="仿宋_GB2312"/>
          <w:sz w:val="32"/>
          <w:szCs w:val="32"/>
          <w:highlight w:val="none"/>
        </w:rPr>
        <w:t>万元，支出决算为</w:t>
      </w:r>
      <w:r>
        <w:rPr>
          <w:rFonts w:hint="eastAsia" w:ascii="Times New Roman" w:hAnsi="Times New Roman" w:eastAsia="仿宋_GB2312"/>
          <w:sz w:val="32"/>
          <w:szCs w:val="32"/>
          <w:highlight w:val="none"/>
          <w:lang w:val="en-US" w:eastAsia="zh-CN"/>
        </w:rPr>
        <w:t>12</w:t>
      </w:r>
      <w:r>
        <w:rPr>
          <w:rFonts w:hint="eastAsia" w:ascii="Times New Roman" w:hAnsi="Times New Roman" w:eastAsia="仿宋_GB2312"/>
          <w:sz w:val="32"/>
          <w:szCs w:val="32"/>
          <w:highlight w:val="none"/>
        </w:rPr>
        <w:t>万元</w:t>
      </w:r>
      <w:r>
        <w:rPr>
          <w:rFonts w:hint="eastAsia" w:ascii="Times New Roman" w:hAnsi="Times New Roman" w:eastAsia="仿宋_GB2312"/>
          <w:sz w:val="32"/>
          <w:szCs w:val="32"/>
          <w:highlight w:val="none"/>
          <w:lang w:eastAsia="zh-CN"/>
        </w:rPr>
        <w:t>，</w:t>
      </w:r>
      <w:r>
        <w:rPr>
          <w:rFonts w:hint="eastAsia" w:ascii="Times New Roman" w:hAnsi="Times New Roman" w:eastAsia="仿宋_GB2312"/>
          <w:sz w:val="32"/>
          <w:szCs w:val="32"/>
          <w:highlight w:val="none"/>
          <w:lang w:val="en-US" w:eastAsia="zh-CN"/>
        </w:rPr>
        <w:t>决算数大于年初预算数的主要原因是年初预算支出方向未进行细分，决算时进行了细分。</w:t>
      </w:r>
    </w:p>
    <w:p w14:paraId="5CE3B7A8">
      <w:pPr>
        <w:pStyle w:val="14"/>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住房保障支出（类） 保障性安居工程支出（款）公共租赁住房（项）。</w:t>
      </w:r>
    </w:p>
    <w:p w14:paraId="0D48FF07">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w:t>
      </w:r>
      <w:r>
        <w:rPr>
          <w:rFonts w:hint="eastAsia" w:ascii="Times New Roman" w:hAnsi="Times New Roman" w:eastAsia="仿宋_GB2312"/>
          <w:sz w:val="32"/>
          <w:szCs w:val="32"/>
          <w:highlight w:val="none"/>
          <w:lang w:val="en-US" w:eastAsia="zh-CN"/>
        </w:rPr>
        <w:t>500.77</w:t>
      </w:r>
      <w:r>
        <w:rPr>
          <w:rFonts w:hint="eastAsia" w:ascii="Times New Roman" w:hAnsi="Times New Roman" w:eastAsia="仿宋_GB2312"/>
          <w:sz w:val="32"/>
          <w:szCs w:val="32"/>
          <w:highlight w:val="none"/>
        </w:rPr>
        <w:t>万元，决算数大于年初预算数的主要原因是：此项目属预算调整追加项目。</w:t>
      </w:r>
    </w:p>
    <w:p w14:paraId="6DEDC9C5">
      <w:pPr>
        <w:pStyle w:val="14"/>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住房保障支出（类） 保障性安居工程支出（款）</w:t>
      </w:r>
      <w:r>
        <w:rPr>
          <w:rFonts w:hint="eastAsia" w:ascii="Times New Roman" w:hAnsi="Times New Roman" w:eastAsia="仿宋_GB2312"/>
          <w:sz w:val="32"/>
          <w:szCs w:val="32"/>
          <w:highlight w:val="none"/>
          <w:lang w:val="en-US" w:eastAsia="zh-CN"/>
        </w:rPr>
        <w:t>配租型住房保障</w:t>
      </w:r>
      <w:r>
        <w:rPr>
          <w:rFonts w:hint="eastAsia" w:ascii="Times New Roman" w:hAnsi="Times New Roman" w:eastAsia="仿宋_GB2312"/>
          <w:sz w:val="32"/>
          <w:szCs w:val="32"/>
          <w:highlight w:val="none"/>
        </w:rPr>
        <w:t>（项）。</w:t>
      </w:r>
    </w:p>
    <w:p w14:paraId="7AB657B6">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w:t>
      </w:r>
      <w:r>
        <w:rPr>
          <w:rFonts w:hint="eastAsia" w:ascii="Times New Roman" w:hAnsi="Times New Roman" w:eastAsia="仿宋_GB2312"/>
          <w:sz w:val="32"/>
          <w:szCs w:val="32"/>
          <w:highlight w:val="none"/>
          <w:lang w:val="en-US" w:eastAsia="zh-CN"/>
        </w:rPr>
        <w:t>134.52</w:t>
      </w:r>
      <w:r>
        <w:rPr>
          <w:rFonts w:hint="eastAsia" w:ascii="Times New Roman" w:hAnsi="Times New Roman" w:eastAsia="仿宋_GB2312"/>
          <w:sz w:val="32"/>
          <w:szCs w:val="32"/>
          <w:highlight w:val="none"/>
        </w:rPr>
        <w:t>万元，决算数大于年初预算数的主要原因是：此项目属预算调整追加项目。</w:t>
      </w:r>
    </w:p>
    <w:p w14:paraId="2CF838EB">
      <w:pPr>
        <w:pStyle w:val="14"/>
        <w:keepNext w:val="0"/>
        <w:keepLines w:val="0"/>
        <w:pageBreakBefore w:val="0"/>
        <w:widowControl w:val="0"/>
        <w:numPr>
          <w:ilvl w:val="0"/>
          <w:numId w:val="1"/>
        </w:numPr>
        <w:kinsoku/>
        <w:wordWrap/>
        <w:overflowPunct/>
        <w:topLinePunct w:val="0"/>
        <w:autoSpaceDE w:val="0"/>
        <w:autoSpaceDN w:val="0"/>
        <w:bidi w:val="0"/>
        <w:adjustRightInd w:val="0"/>
        <w:snapToGrid/>
        <w:spacing w:line="600" w:lineRule="exact"/>
        <w:ind w:left="0" w:leftChars="0"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住房保障支出（类） 保障性安居工程支出（款）</w:t>
      </w:r>
      <w:r>
        <w:rPr>
          <w:rFonts w:hint="eastAsia" w:ascii="Times New Roman" w:hAnsi="Times New Roman" w:eastAsia="仿宋_GB2312"/>
          <w:sz w:val="32"/>
          <w:szCs w:val="32"/>
          <w:highlight w:val="none"/>
          <w:lang w:val="en-US" w:eastAsia="zh-CN"/>
        </w:rPr>
        <w:t>住房公积金</w:t>
      </w:r>
      <w:r>
        <w:rPr>
          <w:rFonts w:hint="eastAsia" w:ascii="Times New Roman" w:hAnsi="Times New Roman" w:eastAsia="仿宋_GB2312"/>
          <w:sz w:val="32"/>
          <w:szCs w:val="32"/>
          <w:highlight w:val="none"/>
        </w:rPr>
        <w:t>（项）。</w:t>
      </w:r>
    </w:p>
    <w:p w14:paraId="4962C515">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240" w:lineRule="auto"/>
        <w:ind w:left="0" w:leftChars="0"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sz w:val="32"/>
          <w:szCs w:val="32"/>
          <w:highlight w:val="none"/>
        </w:rPr>
        <w:t>年初预算为0万元，支出决算为</w:t>
      </w:r>
      <w:r>
        <w:rPr>
          <w:rFonts w:hint="eastAsia" w:ascii="Times New Roman" w:hAnsi="Times New Roman" w:eastAsia="仿宋_GB2312"/>
          <w:sz w:val="32"/>
          <w:szCs w:val="32"/>
          <w:highlight w:val="none"/>
          <w:lang w:val="en-US" w:eastAsia="zh-CN"/>
        </w:rPr>
        <w:t>4.35</w:t>
      </w:r>
      <w:r>
        <w:rPr>
          <w:rFonts w:hint="eastAsia" w:ascii="Times New Roman" w:hAnsi="Times New Roman" w:eastAsia="仿宋_GB2312"/>
          <w:sz w:val="32"/>
          <w:szCs w:val="32"/>
          <w:highlight w:val="none"/>
        </w:rPr>
        <w:t>万元，决算数大于年初预算数的主要原因是：此项目属预算调整追加项目。</w:t>
      </w:r>
    </w:p>
    <w:p w14:paraId="0B43970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75AAE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810.43</w:t>
      </w:r>
      <w:r>
        <w:rPr>
          <w:rFonts w:ascii="Times New Roman" w:hAnsi="Times New Roman" w:eastAsia="仿宋_GB2312" w:cs="Times New Roman"/>
          <w:sz w:val="32"/>
          <w:szCs w:val="32"/>
        </w:rPr>
        <w:t>万元，其中：</w:t>
      </w:r>
    </w:p>
    <w:p w14:paraId="0BC55A9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750.95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92.66</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w:t>
      </w:r>
      <w:r>
        <w:rPr>
          <w:rFonts w:hint="eastAsia" w:ascii="仿宋" w:hAnsi="仿宋" w:eastAsia="仿宋" w:cs="仿宋"/>
          <w:sz w:val="32"/>
          <w:szCs w:val="32"/>
          <w:shd w:val="clear" w:color="auto" w:fill="FFFFFF"/>
          <w:lang w:bidi="ar"/>
        </w:rPr>
        <w:t>养老保险、职业年金、医疗保险、其他社会保障缴费、住房公积金、其他工资福利、退休费、抚恤金、生活补助、其他对个人和家庭的补助</w:t>
      </w:r>
      <w:r>
        <w:rPr>
          <w:rFonts w:ascii="Times New Roman" w:hAnsi="Times New Roman" w:eastAsia="仿宋_GB2312" w:cs="Times New Roman"/>
          <w:sz w:val="32"/>
          <w:szCs w:val="32"/>
        </w:rPr>
        <w:t>。</w:t>
      </w:r>
    </w:p>
    <w:p w14:paraId="4298FEBF">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59.48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7.34</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主要包括办公费、水费、电费、邮电费、物业管理费、差旅费、维修（护）费、</w:t>
      </w:r>
      <w:r>
        <w:rPr>
          <w:rFonts w:hint="eastAsia" w:ascii="Times New Roman" w:hAnsi="Times New Roman" w:eastAsia="仿宋_GB2312"/>
          <w:sz w:val="32"/>
          <w:szCs w:val="32"/>
          <w:lang w:val="en-US" w:eastAsia="zh-CN"/>
        </w:rPr>
        <w:t>会议费</w:t>
      </w:r>
      <w:r>
        <w:rPr>
          <w:rFonts w:hint="eastAsia" w:ascii="Times New Roman" w:hAnsi="Times New Roman" w:eastAsia="仿宋_GB2312"/>
          <w:sz w:val="32"/>
          <w:szCs w:val="32"/>
        </w:rPr>
        <w:t>、委托业务费、工会经费、公务用车运行维护费、其他交通费、其他商品服务支出</w:t>
      </w:r>
      <w:r>
        <w:rPr>
          <w:rFonts w:ascii="Times New Roman" w:hAnsi="Times New Roman" w:eastAsia="仿宋_GB2312" w:cs="Times New Roman"/>
          <w:sz w:val="32"/>
          <w:szCs w:val="32"/>
        </w:rPr>
        <w:t>。</w:t>
      </w:r>
    </w:p>
    <w:p w14:paraId="40CFD39E">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C6F0D4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413FE4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131.94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18.55</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白蚁防治施工车辆运行维护费计入公务用车运行维护费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白蚁防治施工车辆运行维护费计入公务用车运行维护费</w:t>
      </w:r>
      <w:r>
        <w:rPr>
          <w:rFonts w:ascii="Times New Roman" w:hAnsi="Times New Roman" w:eastAsia="仿宋_GB2312" w:cs="Times New Roman"/>
          <w:sz w:val="32"/>
          <w:szCs w:val="32"/>
        </w:rPr>
        <w:t>。</w:t>
      </w:r>
    </w:p>
    <w:p w14:paraId="4628E43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F65D2E9">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sz w:val="32"/>
          <w:szCs w:val="32"/>
        </w:rPr>
        <w:t>安排因公出国（境）团组0个，累计0人次</w:t>
      </w:r>
      <w:r>
        <w:rPr>
          <w:rFonts w:hint="eastAsia" w:ascii="Times New Roman" w:hAnsi="Times New Roman" w:eastAsia="仿宋_GB2312"/>
          <w:sz w:val="32"/>
          <w:szCs w:val="32"/>
          <w:lang w:eastAsia="zh-CN"/>
        </w:rPr>
        <w:t>。</w:t>
      </w:r>
    </w:p>
    <w:p w14:paraId="6DF8057D">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157.31</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18.55</w:t>
      </w:r>
      <w:r>
        <w:rPr>
          <w:rFonts w:ascii="Times New Roman" w:hAnsi="Times New Roman" w:eastAsia="仿宋_GB2312" w:cs="Times New Roman"/>
          <w:sz w:val="32"/>
          <w:szCs w:val="32"/>
        </w:rPr>
        <w:t>%。其中：</w:t>
      </w:r>
    </w:p>
    <w:p w14:paraId="4B6F430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怀化市住房保障服务中心</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2569DBC8">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4.09</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油料费、保险费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157.31</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18.55</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val="en-US" w:eastAsia="zh-CN"/>
        </w:rPr>
        <w:t>白蚁防治施工车辆运行维护费计入公务用车运行维护费</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白蚁防治施工车辆运行维护费计入公务用车运行维护费</w:t>
      </w:r>
      <w:r>
        <w:rPr>
          <w:rFonts w:ascii="Times New Roman" w:hAnsi="Times New Roman" w:eastAsia="仿宋_GB2312" w:cs="Times New Roman"/>
          <w:sz w:val="32"/>
          <w:szCs w:val="32"/>
        </w:rPr>
        <w:t>。截止</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sz w:val="32"/>
          <w:szCs w:val="32"/>
        </w:rPr>
        <w:t>2辆，其中一辆为特种专业技术车辆</w:t>
      </w:r>
      <w:r>
        <w:rPr>
          <w:rFonts w:ascii="Times New Roman" w:hAnsi="Times New Roman" w:eastAsia="仿宋_GB2312" w:cs="Times New Roman"/>
          <w:sz w:val="32"/>
          <w:szCs w:val="32"/>
        </w:rPr>
        <w:t>。</w:t>
      </w:r>
    </w:p>
    <w:p w14:paraId="004237D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2FA2498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43BE430">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20CC40B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城乡社区支出（类）</w:t>
      </w:r>
      <w:r>
        <w:rPr>
          <w:rFonts w:hint="eastAsia" w:ascii="Times New Roman" w:hAnsi="Times New Roman" w:eastAsia="仿宋_GB2312" w:cs="Times New Roman"/>
          <w:sz w:val="32"/>
          <w:szCs w:val="32"/>
          <w:lang w:val="en-US" w:eastAsia="zh-CN"/>
        </w:rPr>
        <w:t>城市基础设施配套费安排的支出</w:t>
      </w:r>
      <w:r>
        <w:rPr>
          <w:rFonts w:hint="eastAsia" w:ascii="Times New Roman" w:hAnsi="Times New Roman" w:eastAsia="仿宋_GB2312" w:cs="Times New Roman"/>
          <w:sz w:val="32"/>
          <w:szCs w:val="32"/>
        </w:rPr>
        <w:t>（款）其他</w:t>
      </w:r>
      <w:r>
        <w:rPr>
          <w:rFonts w:hint="eastAsia" w:ascii="Times New Roman" w:hAnsi="Times New Roman" w:eastAsia="仿宋_GB2312" w:cs="Times New Roman"/>
          <w:sz w:val="32"/>
          <w:szCs w:val="32"/>
          <w:lang w:val="en-US" w:eastAsia="zh-CN"/>
        </w:rPr>
        <w:t>城市基础设施配套费安排的支出</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14:paraId="5FADC1A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决算数大于年初预算数的主要原因是：此项目属预算调整追加项目</w:t>
      </w:r>
      <w:r>
        <w:rPr>
          <w:rFonts w:hint="eastAsia" w:ascii="Times New Roman" w:hAnsi="Times New Roman" w:eastAsia="仿宋_GB2312" w:cs="Times New Roman"/>
          <w:sz w:val="32"/>
          <w:szCs w:val="32"/>
          <w:lang w:eastAsia="zh-CN"/>
        </w:rPr>
        <w:t>。</w:t>
      </w:r>
    </w:p>
    <w:p w14:paraId="3CA4C5E4">
      <w:pPr>
        <w:pStyle w:val="14"/>
        <w:spacing w:line="600" w:lineRule="exact"/>
        <w:ind w:firstLine="640" w:firstLineChars="200"/>
        <w:rPr>
          <w:rFonts w:ascii="Times New Roman" w:hAnsi="Times New Roman" w:cs="Times New Roman"/>
          <w:bCs/>
          <w:sz w:val="32"/>
          <w:szCs w:val="32"/>
        </w:rPr>
      </w:pPr>
      <w:r>
        <w:rPr>
          <w:rFonts w:hint="eastAsia" w:ascii="Times New Roman" w:hAnsi="Times New Roman" w:cs="Times New Roman"/>
          <w:bCs/>
          <w:sz w:val="32"/>
          <w:szCs w:val="32"/>
          <w:lang w:val="en-US" w:eastAsia="zh-CN"/>
        </w:rPr>
        <w:t>九、</w:t>
      </w:r>
      <w:r>
        <w:rPr>
          <w:rFonts w:hint="eastAsia" w:ascii="Times New Roman" w:hAnsi="Times New Roman" w:cs="Times New Roman"/>
          <w:bCs/>
          <w:sz w:val="32"/>
          <w:szCs w:val="32"/>
        </w:rPr>
        <w:t>国有资本经营预算财政拨款支出决算情况说明</w:t>
      </w:r>
    </w:p>
    <w:p w14:paraId="44884FEA">
      <w:pPr>
        <w:pStyle w:val="14"/>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rPr>
        <w:t>本单位无国有资本经营预算财政拨款支出。</w:t>
      </w:r>
    </w:p>
    <w:p w14:paraId="19E9D22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36BE40F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59.48</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5.03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8.46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商品和服务支出增加</w:t>
      </w:r>
      <w:r>
        <w:rPr>
          <w:rFonts w:ascii="Times New Roman" w:hAnsi="Times New Roman" w:eastAsia="仿宋_GB2312" w:cs="Times New Roman"/>
          <w:sz w:val="32"/>
          <w:szCs w:val="32"/>
        </w:rPr>
        <w:t>。</w:t>
      </w:r>
    </w:p>
    <w:p w14:paraId="09BDAB9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4EB1B08A">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6A18FEBC">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648315D1">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A17857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17CA06C6">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台（套）</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sz w:val="32"/>
          <w:szCs w:val="32"/>
        </w:rPr>
        <w:t>为GIS数字化平台和城镇个人住房信息系统平台，该两项资产因职能移交，资产未办理转户手续</w:t>
      </w:r>
      <w:r>
        <w:rPr>
          <w:rFonts w:ascii="Times New Roman" w:hAnsi="Times New Roman" w:eastAsia="仿宋_GB2312" w:cs="Times New Roman"/>
          <w:color w:val="auto"/>
          <w:sz w:val="32"/>
          <w:szCs w:val="32"/>
        </w:rPr>
        <w:t>。</w:t>
      </w:r>
    </w:p>
    <w:p w14:paraId="11297DBB">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7DB18385">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7FDA4087">
      <w:pPr>
        <w:overflowPunct w:val="0"/>
        <w:spacing w:line="600" w:lineRule="exact"/>
        <w:ind w:firstLine="640" w:firstLineChars="200"/>
        <w:rPr>
          <w:rFonts w:ascii="Times New Roman" w:hAnsi="Times New Roman" w:eastAsia="楷体" w:cs="Times New Roman"/>
          <w:b/>
          <w:bCs/>
          <w:sz w:val="32"/>
          <w:szCs w:val="32"/>
        </w:rPr>
      </w:pPr>
      <w:r>
        <w:rPr>
          <w:rFonts w:hint="eastAsia" w:ascii="Times New Roman" w:hAnsi="Times New Roman" w:eastAsia="仿宋_GB2312" w:cs="Times New Roman"/>
          <w:kern w:val="0"/>
          <w:sz w:val="32"/>
          <w:szCs w:val="32"/>
          <w:lang w:val="en-US" w:eastAsia="zh-CN"/>
        </w:rPr>
        <w:t>本单位积极</w:t>
      </w:r>
      <w:r>
        <w:rPr>
          <w:rFonts w:ascii="Times New Roman" w:hAnsi="Times New Roman" w:eastAsia="仿宋_GB2312" w:cs="Times New Roman"/>
          <w:b w:val="0"/>
          <w:bCs w:val="0"/>
          <w:kern w:val="0"/>
          <w:sz w:val="32"/>
          <w:szCs w:val="32"/>
        </w:rPr>
        <w:t>组</w:t>
      </w:r>
      <w:r>
        <w:rPr>
          <w:rFonts w:ascii="Times New Roman" w:hAnsi="Times New Roman" w:eastAsia="仿宋_GB2312" w:cs="Times New Roman"/>
          <w:kern w:val="0"/>
          <w:sz w:val="32"/>
          <w:szCs w:val="32"/>
        </w:rPr>
        <w:t>织对</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年度本单位整体支出开展绩效自评，涉及项目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1202.06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50</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4.16</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val="en-US" w:eastAsia="zh-CN"/>
        </w:rPr>
        <w:t>本单位</w:t>
      </w:r>
      <w:r>
        <w:rPr>
          <w:rFonts w:ascii="Times New Roman" w:hAnsi="Times New Roman" w:eastAsia="仿宋_GB2312" w:cs="Times New Roman"/>
          <w:kern w:val="0"/>
          <w:sz w:val="32"/>
          <w:szCs w:val="32"/>
        </w:rPr>
        <w:t>组织对所属单位</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白蚁防治专项资金</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6BEBF9BC">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jc w:val="both"/>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绩效评价结果</w:t>
      </w:r>
    </w:p>
    <w:p w14:paraId="198BD393">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1333.12</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1202.06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90.17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96.32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default" w:ascii="Times New Roman" w:hAnsi="Times New Roman" w:eastAsia="仿宋" w:cs="Times New Roman"/>
          <w:b/>
          <w:color w:val="000000"/>
          <w:sz w:val="32"/>
          <w:szCs w:val="32"/>
        </w:rPr>
        <w:t>1.</w:t>
      </w:r>
      <w:r>
        <w:rPr>
          <w:rFonts w:hint="default" w:ascii="Times New Roman" w:hAnsi="Times New Roman" w:eastAsia="楷体" w:cs="Times New Roman"/>
          <w:b/>
          <w:color w:val="000000"/>
          <w:sz w:val="32"/>
          <w:szCs w:val="32"/>
        </w:rPr>
        <w:t>物业专项维修资金管理工作。</w:t>
      </w:r>
      <w:r>
        <w:rPr>
          <w:rFonts w:hint="default" w:ascii="Times New Roman" w:hAnsi="Times New Roman" w:eastAsia="仿宋" w:cs="Times New Roman"/>
          <w:b/>
          <w:bCs w:val="0"/>
          <w:color w:val="000000"/>
          <w:sz w:val="32"/>
          <w:szCs w:val="32"/>
          <w:lang w:eastAsia="zh-CN"/>
        </w:rPr>
        <w:t>一是归集使用方面，</w:t>
      </w:r>
      <w:r>
        <w:rPr>
          <w:rFonts w:hint="default" w:ascii="Times New Roman" w:hAnsi="Times New Roman" w:eastAsia="仿宋" w:cs="Times New Roman"/>
          <w:b w:val="0"/>
          <w:bCs/>
          <w:color w:val="000000"/>
          <w:sz w:val="32"/>
          <w:szCs w:val="32"/>
        </w:rPr>
        <w:t>2025年维修资金归集0.</w:t>
      </w:r>
      <w:r>
        <w:rPr>
          <w:rFonts w:hint="default" w:ascii="Times New Roman" w:hAnsi="Times New Roman" w:eastAsia="仿宋" w:cs="Times New Roman"/>
          <w:b w:val="0"/>
          <w:bCs/>
          <w:color w:val="000000"/>
          <w:sz w:val="32"/>
          <w:szCs w:val="32"/>
          <w:lang w:val="en-US" w:eastAsia="zh-CN"/>
        </w:rPr>
        <w:t>83</w:t>
      </w:r>
      <w:r>
        <w:rPr>
          <w:rFonts w:hint="default" w:ascii="Times New Roman" w:hAnsi="Times New Roman" w:eastAsia="仿宋" w:cs="Times New Roman"/>
          <w:b w:val="0"/>
          <w:bCs/>
          <w:color w:val="000000"/>
          <w:sz w:val="32"/>
          <w:szCs w:val="32"/>
        </w:rPr>
        <w:t>亿元，使用</w:t>
      </w:r>
      <w:r>
        <w:rPr>
          <w:rFonts w:hint="default" w:ascii="Times New Roman" w:hAnsi="Times New Roman" w:eastAsia="仿宋" w:cs="Times New Roman"/>
          <w:b w:val="0"/>
          <w:bCs/>
          <w:color w:val="000000"/>
          <w:sz w:val="32"/>
          <w:szCs w:val="32"/>
          <w:lang w:val="en-US" w:eastAsia="zh-CN"/>
        </w:rPr>
        <w:t>1260</w:t>
      </w:r>
      <w:r>
        <w:rPr>
          <w:rFonts w:hint="default" w:ascii="Times New Roman" w:hAnsi="Times New Roman" w:eastAsia="仿宋" w:cs="Times New Roman"/>
          <w:b w:val="0"/>
          <w:bCs/>
          <w:color w:val="000000"/>
          <w:sz w:val="32"/>
          <w:szCs w:val="32"/>
        </w:rPr>
        <w:t>万元</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val="0"/>
          <w:bCs/>
          <w:color w:val="000000"/>
          <w:sz w:val="32"/>
          <w:szCs w:val="32"/>
        </w:rPr>
        <w:t>历年来，累计归集2</w:t>
      </w:r>
      <w:r>
        <w:rPr>
          <w:rFonts w:hint="default" w:ascii="Times New Roman" w:hAnsi="Times New Roman" w:eastAsia="仿宋" w:cs="Times New Roman"/>
          <w:b w:val="0"/>
          <w:bCs/>
          <w:color w:val="000000"/>
          <w:sz w:val="32"/>
          <w:szCs w:val="32"/>
          <w:lang w:val="en-US" w:eastAsia="zh-CN"/>
        </w:rPr>
        <w:t>1.23</w:t>
      </w:r>
      <w:r>
        <w:rPr>
          <w:rFonts w:hint="default" w:ascii="Times New Roman" w:hAnsi="Times New Roman" w:eastAsia="仿宋" w:cs="Times New Roman"/>
          <w:b w:val="0"/>
          <w:bCs/>
          <w:color w:val="000000"/>
          <w:sz w:val="32"/>
          <w:szCs w:val="32"/>
        </w:rPr>
        <w:t>亿元，累计利息收益</w:t>
      </w:r>
      <w:r>
        <w:rPr>
          <w:rFonts w:hint="default" w:ascii="Times New Roman" w:hAnsi="Times New Roman" w:eastAsia="仿宋" w:cs="Times New Roman"/>
          <w:b w:val="0"/>
          <w:bCs/>
          <w:color w:val="000000"/>
          <w:sz w:val="32"/>
          <w:szCs w:val="32"/>
          <w:lang w:val="en-US" w:eastAsia="zh-CN"/>
        </w:rPr>
        <w:t>3.33</w:t>
      </w:r>
      <w:r>
        <w:rPr>
          <w:rFonts w:hint="default" w:ascii="Times New Roman" w:hAnsi="Times New Roman" w:eastAsia="仿宋" w:cs="Times New Roman"/>
          <w:b w:val="0"/>
          <w:bCs/>
          <w:color w:val="000000"/>
          <w:sz w:val="32"/>
          <w:szCs w:val="32"/>
        </w:rPr>
        <w:t>亿元，累计使用0.</w:t>
      </w:r>
      <w:r>
        <w:rPr>
          <w:rFonts w:hint="default" w:ascii="Times New Roman" w:hAnsi="Times New Roman" w:eastAsia="仿宋" w:cs="Times New Roman"/>
          <w:b w:val="0"/>
          <w:bCs/>
          <w:color w:val="000000"/>
          <w:sz w:val="32"/>
          <w:szCs w:val="32"/>
          <w:lang w:val="en-US" w:eastAsia="zh-CN"/>
        </w:rPr>
        <w:t>96</w:t>
      </w:r>
      <w:r>
        <w:rPr>
          <w:rFonts w:hint="default" w:ascii="Times New Roman" w:hAnsi="Times New Roman" w:eastAsia="仿宋" w:cs="Times New Roman"/>
          <w:b w:val="0"/>
          <w:bCs/>
          <w:color w:val="000000"/>
          <w:sz w:val="32"/>
          <w:szCs w:val="32"/>
        </w:rPr>
        <w:t>亿元；</w:t>
      </w:r>
      <w:r>
        <w:rPr>
          <w:rFonts w:hint="default" w:ascii="Times New Roman" w:hAnsi="Times New Roman" w:eastAsia="仿宋" w:cs="Times New Roman"/>
          <w:b w:val="0"/>
          <w:bCs/>
          <w:color w:val="000000"/>
          <w:sz w:val="32"/>
          <w:szCs w:val="32"/>
          <w:lang w:eastAsia="zh-CN"/>
        </w:rPr>
        <w:t>目前</w:t>
      </w:r>
      <w:r>
        <w:rPr>
          <w:rFonts w:hint="default" w:ascii="Times New Roman" w:hAnsi="Times New Roman" w:eastAsia="仿宋" w:cs="Times New Roman"/>
          <w:b w:val="0"/>
          <w:bCs/>
          <w:color w:val="000000"/>
          <w:sz w:val="32"/>
          <w:szCs w:val="32"/>
        </w:rPr>
        <w:t>维修资金余额2</w:t>
      </w:r>
      <w:r>
        <w:rPr>
          <w:rFonts w:hint="default" w:ascii="Times New Roman" w:hAnsi="Times New Roman" w:eastAsia="仿宋" w:cs="Times New Roman"/>
          <w:b w:val="0"/>
          <w:bCs/>
          <w:color w:val="000000"/>
          <w:sz w:val="32"/>
          <w:szCs w:val="32"/>
          <w:lang w:val="en-US" w:eastAsia="zh-CN"/>
        </w:rPr>
        <w:t>3.6</w:t>
      </w:r>
      <w:r>
        <w:rPr>
          <w:rFonts w:hint="default" w:ascii="Times New Roman" w:hAnsi="Times New Roman" w:eastAsia="仿宋" w:cs="Times New Roman"/>
          <w:b w:val="0"/>
          <w:bCs/>
          <w:color w:val="000000"/>
          <w:sz w:val="32"/>
          <w:szCs w:val="32"/>
        </w:rPr>
        <w:t>亿元</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bCs w:val="0"/>
          <w:color w:val="000000"/>
          <w:sz w:val="32"/>
          <w:szCs w:val="32"/>
          <w:lang w:eastAsia="zh-CN"/>
        </w:rPr>
        <w:t>二是维修资金追缴工作方面，</w:t>
      </w:r>
      <w:r>
        <w:rPr>
          <w:rFonts w:hint="default" w:ascii="Times New Roman" w:hAnsi="Times New Roman" w:eastAsia="仿宋" w:cs="Times New Roman"/>
          <w:b w:val="0"/>
          <w:bCs/>
          <w:color w:val="000000"/>
          <w:sz w:val="32"/>
          <w:szCs w:val="32"/>
          <w:lang w:eastAsia="zh-CN"/>
        </w:rPr>
        <w:t>对信息系统内607个小区数据全面清理，摸清欠交底数，建立工作台账，按各楼盘实际情况分类制定追缴方案；入小区</w:t>
      </w:r>
      <w:r>
        <w:rPr>
          <w:rFonts w:hint="default" w:ascii="Times New Roman" w:hAnsi="Times New Roman" w:eastAsia="仿宋" w:cs="Times New Roman"/>
          <w:b w:val="0"/>
          <w:bCs/>
          <w:color w:val="000000"/>
          <w:sz w:val="32"/>
          <w:szCs w:val="32"/>
        </w:rPr>
        <w:t>张贴欠缴公示</w:t>
      </w:r>
      <w:r>
        <w:rPr>
          <w:rFonts w:hint="default" w:ascii="Times New Roman" w:hAnsi="Times New Roman" w:eastAsia="仿宋" w:cs="Times New Roman"/>
          <w:b w:val="0"/>
          <w:bCs/>
          <w:color w:val="000000"/>
          <w:sz w:val="32"/>
          <w:szCs w:val="32"/>
          <w:lang w:val="en-US" w:eastAsia="zh-CN"/>
        </w:rPr>
        <w:t>49</w:t>
      </w:r>
      <w:r>
        <w:rPr>
          <w:rFonts w:hint="default" w:ascii="Times New Roman" w:hAnsi="Times New Roman" w:eastAsia="仿宋" w:cs="Times New Roman"/>
          <w:b w:val="0"/>
          <w:bCs/>
          <w:color w:val="000000"/>
          <w:sz w:val="32"/>
          <w:szCs w:val="32"/>
        </w:rPr>
        <w:t>个项目，向首期个人账户不足30% 的项目送达续筹告知书29个；处遗项目送达催缴通知书</w:t>
      </w:r>
      <w:r>
        <w:rPr>
          <w:rFonts w:hint="default" w:ascii="Times New Roman" w:hAnsi="Times New Roman" w:eastAsia="仿宋" w:cs="Times New Roman"/>
          <w:b w:val="0"/>
          <w:bCs/>
          <w:color w:val="000000"/>
          <w:sz w:val="32"/>
          <w:szCs w:val="32"/>
          <w:lang w:val="en-US" w:eastAsia="zh-CN"/>
        </w:rPr>
        <w:t>40</w:t>
      </w:r>
      <w:r>
        <w:rPr>
          <w:rFonts w:hint="default" w:ascii="Times New Roman" w:hAnsi="Times New Roman" w:eastAsia="仿宋" w:cs="Times New Roman"/>
          <w:b w:val="0"/>
          <w:bCs/>
          <w:color w:val="000000"/>
          <w:sz w:val="32"/>
          <w:szCs w:val="32"/>
        </w:rPr>
        <w:t>个小区</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_GB2312" w:cs="Times New Roman"/>
          <w:b w:val="0"/>
          <w:bCs w:val="0"/>
          <w:color w:val="000000"/>
          <w:sz w:val="32"/>
          <w:szCs w:val="32"/>
          <w:lang w:val="en-US" w:eastAsia="zh-CN"/>
        </w:rPr>
        <w:t>将开发企业代收未缴维修资金纳入优先债权或共益债务，18个破产项目已向管理人申报债权8个，其他破产项目持续跟踪中；积极组织业主通过民事诉讼途径追缴，目前已在鹤城区法院和市仲裁委员会立案审理16件</w:t>
      </w:r>
      <w:r>
        <w:rPr>
          <w:rFonts w:hint="default" w:ascii="Times New Roman" w:hAnsi="Times New Roman" w:eastAsia="仿宋_GB2312" w:cs="Times New Roman"/>
          <w:b w:val="0"/>
          <w:bCs w:val="0"/>
          <w:color w:val="000000"/>
          <w:spacing w:val="-6"/>
          <w:sz w:val="32"/>
          <w:szCs w:val="32"/>
          <w:lang w:val="en-US" w:eastAsia="zh-CN"/>
        </w:rPr>
        <w:t>全部胜诉</w:t>
      </w:r>
      <w:r>
        <w:rPr>
          <w:rFonts w:hint="default" w:ascii="Times New Roman" w:hAnsi="Times New Roman" w:eastAsia="仿宋_GB2312" w:cs="Times New Roman"/>
          <w:b w:val="0"/>
          <w:bCs w:val="0"/>
          <w:color w:val="000000"/>
          <w:sz w:val="32"/>
          <w:szCs w:val="32"/>
          <w:lang w:val="en-US" w:eastAsia="zh-CN"/>
        </w:rPr>
        <w:t>，其中，</w:t>
      </w:r>
      <w:r>
        <w:rPr>
          <w:rFonts w:hint="default" w:ascii="Times New Roman" w:hAnsi="Times New Roman" w:eastAsia="仿宋_GB2312" w:cs="Times New Roman"/>
          <w:b w:val="0"/>
          <w:bCs w:val="0"/>
          <w:color w:val="000000"/>
          <w:spacing w:val="-6"/>
          <w:sz w:val="32"/>
          <w:szCs w:val="32"/>
          <w:lang w:val="en-US" w:eastAsia="zh-CN"/>
        </w:rPr>
        <w:t>金御名都第一、二批13名业主向鹤城区法院提起诉讼并开庭审理判决13件，锦绣山河小区第一批</w:t>
      </w:r>
      <w:r>
        <w:rPr>
          <w:rFonts w:hint="default" w:ascii="Times New Roman" w:hAnsi="Times New Roman" w:eastAsia="仿宋" w:cs="Times New Roman"/>
          <w:color w:val="000000"/>
          <w:sz w:val="32"/>
          <w:szCs w:val="32"/>
        </w:rPr>
        <w:t>仲裁案</w:t>
      </w:r>
      <w:r>
        <w:rPr>
          <w:rFonts w:hint="default" w:ascii="Times New Roman" w:hAnsi="Times New Roman" w:eastAsia="仿宋_GB2312" w:cs="Times New Roman"/>
          <w:b w:val="0"/>
          <w:bCs w:val="0"/>
          <w:color w:val="000000"/>
          <w:spacing w:val="-6"/>
          <w:sz w:val="32"/>
          <w:szCs w:val="32"/>
          <w:lang w:val="en-US" w:eastAsia="zh-CN"/>
        </w:rPr>
        <w:t>3</w:t>
      </w:r>
      <w:r>
        <w:rPr>
          <w:rFonts w:hint="default" w:ascii="Times New Roman" w:hAnsi="Times New Roman" w:eastAsia="仿宋" w:cs="Times New Roman"/>
          <w:color w:val="000000"/>
          <w:sz w:val="32"/>
          <w:szCs w:val="32"/>
        </w:rPr>
        <w:t>件</w:t>
      </w:r>
      <w:r>
        <w:rPr>
          <w:rFonts w:hint="default" w:ascii="Times New Roman" w:hAnsi="Times New Roman" w:eastAsia="仿宋" w:cs="Times New Roman"/>
          <w:b w:val="0"/>
          <w:bCs/>
          <w:color w:val="000000"/>
          <w:sz w:val="32"/>
          <w:szCs w:val="32"/>
          <w:lang w:eastAsia="zh-CN"/>
        </w:rPr>
        <w:t>。另外，</w:t>
      </w:r>
      <w:r>
        <w:rPr>
          <w:rFonts w:hint="default" w:ascii="Times New Roman" w:hAnsi="Times New Roman" w:eastAsia="仿宋" w:cs="Times New Roman"/>
          <w:b w:val="0"/>
          <w:bCs/>
          <w:color w:val="000000"/>
          <w:sz w:val="32"/>
          <w:szCs w:val="32"/>
        </w:rPr>
        <w:t>柒星国瑞小区10起案件前期准备工作全部准备完毕</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b w:val="0"/>
          <w:bCs/>
          <w:color w:val="000000"/>
          <w:sz w:val="32"/>
          <w:szCs w:val="32"/>
        </w:rPr>
        <w:t>奥都公馆小区正在收集相关业主资料</w:t>
      </w:r>
      <w:r>
        <w:rPr>
          <w:rFonts w:hint="default" w:ascii="Times New Roman" w:hAnsi="Times New Roman" w:eastAsia="仿宋" w:cs="Times New Roman"/>
          <w:b w:val="0"/>
          <w:bCs/>
          <w:color w:val="000000"/>
          <w:sz w:val="32"/>
          <w:szCs w:val="32"/>
          <w:lang w:eastAsia="zh-CN"/>
        </w:rPr>
        <w:t>；根据市社会治理和平安建设领导小组《关于印发</w:t>
      </w:r>
      <w:r>
        <w:rPr>
          <w:rFonts w:hint="default" w:ascii="Times New Roman" w:hAnsi="Times New Roman" w:eastAsia="仿宋" w:cs="Times New Roman"/>
          <w:b w:val="0"/>
          <w:bCs/>
          <w:color w:val="000000"/>
          <w:sz w:val="32"/>
          <w:szCs w:val="32"/>
          <w:lang w:val="en-US" w:eastAsia="zh-CN"/>
        </w:rPr>
        <w:t>&lt;怀化市房地产领域突出问题专项打击整治工作方案&gt;的通知</w:t>
      </w:r>
      <w:r>
        <w:rPr>
          <w:rFonts w:hint="default" w:ascii="Times New Roman" w:hAnsi="Times New Roman" w:eastAsia="仿宋" w:cs="Times New Roman"/>
          <w:b w:val="0"/>
          <w:bCs/>
          <w:color w:val="000000"/>
          <w:sz w:val="32"/>
          <w:szCs w:val="32"/>
          <w:lang w:eastAsia="zh-CN"/>
        </w:rPr>
        <w:t>》</w:t>
      </w:r>
      <w:r>
        <w:rPr>
          <w:rFonts w:hint="default" w:ascii="Times New Roman" w:hAnsi="Times New Roman" w:eastAsia="仿宋" w:cs="Times New Roman"/>
          <w:color w:val="000000"/>
          <w:sz w:val="32"/>
          <w:szCs w:val="32"/>
        </w:rPr>
        <w:t>（怀</w:t>
      </w:r>
      <w:r>
        <w:rPr>
          <w:rFonts w:hint="default" w:ascii="Times New Roman" w:hAnsi="Times New Roman" w:eastAsia="仿宋" w:cs="Times New Roman"/>
          <w:color w:val="000000"/>
          <w:sz w:val="32"/>
          <w:szCs w:val="32"/>
          <w:lang w:eastAsia="zh-CN"/>
        </w:rPr>
        <w:t>平安</w:t>
      </w:r>
      <w:r>
        <w:rPr>
          <w:rFonts w:hint="default" w:ascii="Times New Roman" w:hAnsi="Times New Roman" w:eastAsia="仿宋" w:cs="Times New Roman"/>
          <w:color w:val="000000"/>
          <w:sz w:val="32"/>
          <w:szCs w:val="32"/>
        </w:rPr>
        <w:t>﹝202</w:t>
      </w:r>
      <w:r>
        <w:rPr>
          <w:rFonts w:hint="default" w:ascii="Times New Roman" w:hAnsi="Times New Roman" w:eastAsia="仿宋" w:cs="Times New Roman"/>
          <w:color w:val="000000"/>
          <w:sz w:val="32"/>
          <w:szCs w:val="32"/>
          <w:lang w:val="en-US" w:eastAsia="zh-CN"/>
        </w:rPr>
        <w:t>5</w:t>
      </w:r>
      <w:r>
        <w:rPr>
          <w:rFonts w:hint="default" w:ascii="Times New Roman" w:hAnsi="Times New Roman" w:eastAsia="仿宋" w:cs="Times New Roman"/>
          <w:color w:val="000000"/>
          <w:sz w:val="32"/>
          <w:szCs w:val="32"/>
        </w:rPr>
        <w:t>﹞9号）</w:t>
      </w:r>
      <w:r>
        <w:rPr>
          <w:rFonts w:hint="default" w:ascii="Times New Roman" w:hAnsi="Times New Roman" w:eastAsia="仿宋" w:cs="Times New Roman"/>
          <w:b w:val="0"/>
          <w:bCs/>
          <w:color w:val="000000"/>
          <w:sz w:val="32"/>
          <w:szCs w:val="32"/>
          <w:lang w:eastAsia="zh-CN"/>
        </w:rPr>
        <w:t>文件精神，我中心梳理并向市</w:t>
      </w:r>
      <w:r>
        <w:rPr>
          <w:rFonts w:hint="default" w:ascii="Times New Roman" w:hAnsi="Times New Roman" w:eastAsia="仿宋" w:cs="Times New Roman"/>
          <w:b w:val="0"/>
          <w:bCs/>
          <w:color w:val="000000"/>
          <w:sz w:val="32"/>
          <w:szCs w:val="32"/>
          <w:lang w:val="en-US" w:eastAsia="zh-CN"/>
        </w:rPr>
        <w:t>专项打击整治工作专班查办打击组报送了41个项目开发商涉嫌挪用侵占代收业主的维修资金问题线索和证据材料。2025</w:t>
      </w:r>
      <w:r>
        <w:rPr>
          <w:rFonts w:hint="default" w:ascii="Times New Roman" w:hAnsi="Times New Roman" w:eastAsia="仿宋" w:cs="Times New Roman"/>
          <w:b w:val="0"/>
          <w:bCs/>
          <w:color w:val="000000"/>
          <w:sz w:val="32"/>
          <w:szCs w:val="32"/>
          <w:lang w:eastAsia="zh-CN"/>
        </w:rPr>
        <w:t>年以来，</w:t>
      </w:r>
      <w:r>
        <w:rPr>
          <w:rFonts w:hint="default" w:ascii="Times New Roman" w:hAnsi="Times New Roman" w:eastAsia="仿宋" w:cs="Times New Roman"/>
          <w:b w:val="0"/>
          <w:bCs/>
          <w:color w:val="000000"/>
          <w:sz w:val="32"/>
          <w:szCs w:val="32"/>
        </w:rPr>
        <w:t>维修资金追缴入库</w:t>
      </w:r>
      <w:r>
        <w:rPr>
          <w:rFonts w:hint="default" w:ascii="Times New Roman" w:hAnsi="Times New Roman" w:eastAsia="仿宋" w:cs="Times New Roman"/>
          <w:b w:val="0"/>
          <w:bCs/>
          <w:color w:val="000000"/>
          <w:sz w:val="32"/>
          <w:szCs w:val="32"/>
          <w:lang w:eastAsia="zh-CN"/>
        </w:rPr>
        <w:t>共计</w:t>
      </w:r>
      <w:r>
        <w:rPr>
          <w:rFonts w:hint="default" w:ascii="Times New Roman" w:hAnsi="Times New Roman" w:eastAsia="仿宋" w:cs="Times New Roman"/>
          <w:color w:val="000000"/>
          <w:sz w:val="32"/>
          <w:szCs w:val="32"/>
        </w:rPr>
        <w:t>2767.98</w:t>
      </w:r>
      <w:r>
        <w:rPr>
          <w:rFonts w:hint="default" w:ascii="Times New Roman" w:hAnsi="Times New Roman" w:eastAsia="仿宋" w:cs="Times New Roman"/>
          <w:b w:val="0"/>
          <w:bCs/>
          <w:color w:val="000000"/>
          <w:sz w:val="32"/>
          <w:szCs w:val="32"/>
        </w:rPr>
        <w:t>万元。</w:t>
      </w:r>
      <w:r>
        <w:rPr>
          <w:rFonts w:hint="default" w:ascii="Times New Roman" w:hAnsi="Times New Roman" w:eastAsia="仿宋" w:cs="Times New Roman"/>
          <w:b/>
          <w:bCs w:val="0"/>
          <w:color w:val="000000"/>
          <w:sz w:val="32"/>
          <w:szCs w:val="32"/>
          <w:lang w:eastAsia="zh-CN"/>
        </w:rPr>
        <w:t>三是电梯维修保险</w:t>
      </w:r>
      <w:r>
        <w:rPr>
          <w:rFonts w:hint="default" w:ascii="Times New Roman" w:hAnsi="Times New Roman" w:eastAsia="仿宋" w:cs="Times New Roman"/>
          <w:b/>
          <w:bCs w:val="0"/>
          <w:color w:val="000000"/>
          <w:sz w:val="32"/>
          <w:szCs w:val="32"/>
        </w:rPr>
        <w:t>业务办理</w:t>
      </w:r>
      <w:r>
        <w:rPr>
          <w:rFonts w:hint="default" w:ascii="Times New Roman" w:hAnsi="Times New Roman" w:eastAsia="仿宋" w:cs="Times New Roman"/>
          <w:b/>
          <w:bCs w:val="0"/>
          <w:color w:val="000000"/>
          <w:sz w:val="32"/>
          <w:szCs w:val="32"/>
          <w:lang w:eastAsia="zh-CN"/>
        </w:rPr>
        <w:t>方面</w:t>
      </w:r>
      <w:r>
        <w:rPr>
          <w:rFonts w:hint="default" w:ascii="Times New Roman" w:hAnsi="Times New Roman" w:eastAsia="仿宋" w:cs="Times New Roman"/>
          <w:b/>
          <w:bCs w:val="0"/>
          <w:color w:val="000000"/>
          <w:sz w:val="32"/>
          <w:szCs w:val="32"/>
        </w:rPr>
        <w:t>，</w:t>
      </w:r>
      <w:r>
        <w:rPr>
          <w:rFonts w:hint="default" w:ascii="Times New Roman" w:hAnsi="Times New Roman" w:eastAsia="仿宋" w:cs="Times New Roman"/>
          <w:color w:val="000000"/>
          <w:sz w:val="32"/>
          <w:szCs w:val="32"/>
        </w:rPr>
        <w:t>自2023年12月启动维修资金增值收益引入电梯维修保险改革试点工作</w:t>
      </w:r>
      <w:r>
        <w:rPr>
          <w:rFonts w:hint="default" w:ascii="Times New Roman" w:hAnsi="Times New Roman" w:eastAsia="仿宋" w:cs="Times New Roman"/>
          <w:color w:val="000000"/>
          <w:sz w:val="32"/>
          <w:szCs w:val="32"/>
          <w:lang w:val="en-US" w:eastAsia="zh-CN"/>
        </w:rPr>
        <w:t>以来</w:t>
      </w:r>
      <w:r>
        <w:rPr>
          <w:rFonts w:hint="default" w:ascii="Times New Roman" w:hAnsi="Times New Roman" w:eastAsia="仿宋" w:cs="Times New Roman"/>
          <w:color w:val="000000"/>
          <w:sz w:val="32"/>
          <w:szCs w:val="32"/>
        </w:rPr>
        <w:t>，累计投保电梯600台，累计拨付保费217.95万元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b w:val="0"/>
          <w:bCs/>
          <w:color w:val="000000"/>
          <w:sz w:val="32"/>
          <w:szCs w:val="32"/>
          <w:lang w:val="en-US" w:eastAsia="zh-CN"/>
        </w:rPr>
        <w:t>2025年新增投保电梯377台，</w:t>
      </w:r>
      <w:r>
        <w:rPr>
          <w:rFonts w:hint="default" w:ascii="Times New Roman" w:hAnsi="Times New Roman" w:eastAsia="仿宋" w:cs="Times New Roman"/>
          <w:color w:val="000000"/>
          <w:sz w:val="32"/>
          <w:szCs w:val="32"/>
        </w:rPr>
        <w:t>拨付保费136.05万元</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w:t>
      </w:r>
      <w:r>
        <w:rPr>
          <w:rFonts w:hint="default" w:ascii="Times New Roman" w:hAnsi="Times New Roman" w:eastAsia="仿宋_GB2312" w:cs="Times New Roman"/>
          <w:b w:val="0"/>
          <w:bCs w:val="0"/>
          <w:color w:val="000000"/>
          <w:sz w:val="32"/>
          <w:szCs w:val="32"/>
          <w:lang w:val="en-US" w:eastAsia="zh-CN"/>
        </w:rPr>
        <w:t>通过</w:t>
      </w:r>
      <w:r>
        <w:rPr>
          <w:rFonts w:hint="default" w:ascii="Times New Roman" w:hAnsi="Times New Roman" w:eastAsia="仿宋_GB2312" w:cs="Times New Roman"/>
          <w:color w:val="000000"/>
          <w:sz w:val="32"/>
          <w:szCs w:val="32"/>
          <w:lang w:val="en-US" w:eastAsia="zh-CN"/>
        </w:rPr>
        <w:t>引入专业第三方机构参与电梯维修“管、保、用、修”全过程，减轻业主负担，投保电梯维修实现业主“零成本”“零投诉”。</w:t>
      </w:r>
      <w:r>
        <w:rPr>
          <w:rFonts w:hint="default" w:ascii="Times New Roman" w:hAnsi="Times New Roman" w:eastAsia="仿宋_GB2312" w:cs="Times New Roman"/>
          <w:b/>
          <w:bCs/>
          <w:color w:val="000000"/>
          <w:sz w:val="32"/>
          <w:szCs w:val="32"/>
          <w:lang w:val="en-US" w:eastAsia="zh-CN"/>
        </w:rPr>
        <w:t>四是监督指导鹤城区住建局开展维修资金使用审批工作。</w:t>
      </w:r>
      <w:r>
        <w:rPr>
          <w:rFonts w:hint="default" w:ascii="Times New Roman" w:hAnsi="Times New Roman" w:eastAsia="仿宋" w:cs="Times New Roman"/>
          <w:color w:val="000000"/>
          <w:sz w:val="32"/>
          <w:szCs w:val="32"/>
        </w:rPr>
        <w:t>2025年6月，我</w:t>
      </w:r>
      <w:r>
        <w:rPr>
          <w:rFonts w:hint="default" w:ascii="Times New Roman" w:hAnsi="Times New Roman" w:eastAsia="仿宋" w:cs="Times New Roman"/>
          <w:color w:val="000000"/>
          <w:sz w:val="32"/>
          <w:szCs w:val="32"/>
          <w:lang w:eastAsia="zh-CN"/>
        </w:rPr>
        <w:t>中心</w:t>
      </w:r>
      <w:r>
        <w:rPr>
          <w:rFonts w:hint="default" w:ascii="Times New Roman" w:hAnsi="Times New Roman" w:eastAsia="仿宋" w:cs="Times New Roman"/>
          <w:color w:val="000000"/>
          <w:sz w:val="32"/>
          <w:szCs w:val="32"/>
        </w:rPr>
        <w:t>对</w:t>
      </w:r>
      <w:r>
        <w:rPr>
          <w:rFonts w:hint="default" w:ascii="Times New Roman" w:hAnsi="Times New Roman" w:eastAsia="仿宋" w:cs="Times New Roman"/>
          <w:color w:val="000000"/>
          <w:sz w:val="32"/>
          <w:szCs w:val="32"/>
          <w:lang w:eastAsia="zh-CN"/>
        </w:rPr>
        <w:t>鹤城区住建局</w:t>
      </w:r>
      <w:r>
        <w:rPr>
          <w:rFonts w:hint="default" w:ascii="Times New Roman" w:hAnsi="Times New Roman" w:eastAsia="仿宋" w:cs="Times New Roman"/>
          <w:color w:val="000000"/>
          <w:sz w:val="32"/>
          <w:szCs w:val="32"/>
          <w:lang w:val="en-US" w:eastAsia="zh-CN"/>
        </w:rPr>
        <w:t>2024年元月以来</w:t>
      </w:r>
      <w:r>
        <w:rPr>
          <w:rFonts w:hint="default" w:ascii="Times New Roman" w:hAnsi="Times New Roman" w:eastAsia="仿宋" w:cs="Times New Roman"/>
          <w:color w:val="000000"/>
          <w:sz w:val="32"/>
          <w:szCs w:val="32"/>
        </w:rPr>
        <w:t>受理的549宗维修资金使用审批业务进行了抽查检查，并于6月26日</w:t>
      </w:r>
      <w:r>
        <w:rPr>
          <w:rFonts w:hint="default" w:ascii="Times New Roman" w:hAnsi="Times New Roman" w:eastAsia="仿宋" w:cs="Times New Roman"/>
          <w:color w:val="000000"/>
          <w:sz w:val="32"/>
          <w:szCs w:val="32"/>
          <w:lang w:eastAsia="zh-CN"/>
        </w:rPr>
        <w:t>提请市住建局</w:t>
      </w:r>
      <w:r>
        <w:rPr>
          <w:rFonts w:hint="default" w:ascii="Times New Roman" w:hAnsi="Times New Roman" w:eastAsia="仿宋" w:cs="Times New Roman"/>
          <w:color w:val="000000"/>
          <w:sz w:val="32"/>
          <w:szCs w:val="32"/>
        </w:rPr>
        <w:t>下发</w:t>
      </w:r>
      <w:r>
        <w:rPr>
          <w:rFonts w:hint="default" w:ascii="Times New Roman" w:hAnsi="Times New Roman" w:eastAsia="仿宋" w:cs="Times New Roman"/>
          <w:color w:val="000000"/>
          <w:sz w:val="32"/>
          <w:szCs w:val="32"/>
          <w:lang w:eastAsia="zh-CN"/>
        </w:rPr>
        <w:t>了</w:t>
      </w:r>
      <w:r>
        <w:rPr>
          <w:rFonts w:hint="default" w:ascii="Times New Roman" w:hAnsi="Times New Roman" w:eastAsia="仿宋" w:cs="Times New Roman"/>
          <w:color w:val="000000"/>
          <w:sz w:val="32"/>
          <w:szCs w:val="32"/>
        </w:rPr>
        <w:t>《关于进一步规范物业专项维修资金使用审批工作的函》，</w:t>
      </w:r>
      <w:r>
        <w:rPr>
          <w:rFonts w:hint="default" w:ascii="Times New Roman" w:hAnsi="Times New Roman" w:eastAsia="仿宋" w:cs="Times New Roman"/>
          <w:color w:val="000000"/>
          <w:sz w:val="32"/>
          <w:szCs w:val="32"/>
          <w:lang w:eastAsia="zh-CN"/>
        </w:rPr>
        <w:t>指出</w:t>
      </w:r>
      <w:r>
        <w:rPr>
          <w:rFonts w:hint="default" w:ascii="Times New Roman" w:hAnsi="Times New Roman" w:eastAsia="仿宋" w:cs="Times New Roman"/>
          <w:color w:val="000000"/>
          <w:sz w:val="32"/>
          <w:szCs w:val="32"/>
        </w:rPr>
        <w:t>了“申请资料不完整、预算审核不严格、资金拨付不合规、档案管理不规范、资料上传不及时”等5个方面的问题，要求</w:t>
      </w:r>
      <w:r>
        <w:rPr>
          <w:rFonts w:hint="default" w:ascii="Times New Roman" w:hAnsi="Times New Roman" w:eastAsia="仿宋" w:cs="Times New Roman"/>
          <w:color w:val="000000"/>
          <w:sz w:val="32"/>
          <w:szCs w:val="32"/>
          <w:lang w:eastAsia="zh-CN"/>
        </w:rPr>
        <w:t>鹤城区住建局</w:t>
      </w:r>
      <w:r>
        <w:rPr>
          <w:rFonts w:hint="default" w:ascii="Times New Roman" w:hAnsi="Times New Roman" w:eastAsia="仿宋" w:cs="Times New Roman"/>
          <w:color w:val="000000"/>
          <w:sz w:val="32"/>
          <w:szCs w:val="32"/>
        </w:rPr>
        <w:t>对相关问题予以整改。9月1日</w:t>
      </w:r>
      <w:r>
        <w:rPr>
          <w:rFonts w:hint="default" w:ascii="Times New Roman" w:hAnsi="Times New Roman" w:eastAsia="仿宋" w:cs="Times New Roman"/>
          <w:color w:val="000000"/>
          <w:sz w:val="32"/>
          <w:szCs w:val="32"/>
          <w:lang w:eastAsia="zh-CN"/>
        </w:rPr>
        <w:t>，该局</w:t>
      </w:r>
      <w:r>
        <w:rPr>
          <w:rFonts w:hint="default" w:ascii="Times New Roman" w:hAnsi="Times New Roman" w:eastAsia="仿宋" w:cs="Times New Roman"/>
          <w:color w:val="000000"/>
          <w:sz w:val="32"/>
          <w:szCs w:val="32"/>
        </w:rPr>
        <w:t>报送了书面整改情况和相关佐证资料</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9月8日至10月15日，我</w:t>
      </w:r>
      <w:r>
        <w:rPr>
          <w:rFonts w:hint="default" w:ascii="Times New Roman" w:hAnsi="Times New Roman" w:eastAsia="仿宋" w:cs="Times New Roman"/>
          <w:color w:val="000000"/>
          <w:sz w:val="32"/>
          <w:szCs w:val="32"/>
          <w:lang w:eastAsia="zh-CN"/>
        </w:rPr>
        <w:t>中心又</w:t>
      </w:r>
      <w:r>
        <w:rPr>
          <w:rFonts w:hint="default" w:ascii="Times New Roman" w:hAnsi="Times New Roman" w:eastAsia="仿宋" w:cs="Times New Roman"/>
          <w:color w:val="000000"/>
          <w:sz w:val="32"/>
          <w:szCs w:val="32"/>
        </w:rPr>
        <w:t>对整改情况开展了核查，</w:t>
      </w:r>
      <w:r>
        <w:rPr>
          <w:rFonts w:hint="default" w:ascii="Times New Roman" w:hAnsi="Times New Roman" w:eastAsia="仿宋" w:cs="Times New Roman"/>
          <w:color w:val="000000"/>
          <w:sz w:val="32"/>
          <w:szCs w:val="32"/>
          <w:lang w:eastAsia="zh-CN"/>
        </w:rPr>
        <w:t>并于</w:t>
      </w:r>
      <w:r>
        <w:rPr>
          <w:rFonts w:hint="default" w:ascii="Times New Roman" w:hAnsi="Times New Roman" w:eastAsia="仿宋" w:cs="Times New Roman"/>
          <w:color w:val="000000"/>
          <w:sz w:val="32"/>
          <w:szCs w:val="32"/>
        </w:rPr>
        <w:t>11月</w:t>
      </w:r>
      <w:r>
        <w:rPr>
          <w:rFonts w:hint="default" w:ascii="Times New Roman" w:hAnsi="Times New Roman" w:eastAsia="仿宋" w:cs="Times New Roman"/>
          <w:color w:val="000000"/>
          <w:sz w:val="32"/>
          <w:szCs w:val="32"/>
          <w:lang w:val="en-US" w:eastAsia="zh-CN"/>
        </w:rPr>
        <w:t>20</w:t>
      </w:r>
      <w:r>
        <w:rPr>
          <w:rFonts w:hint="default" w:ascii="Times New Roman" w:hAnsi="Times New Roman" w:eastAsia="仿宋" w:cs="Times New Roman"/>
          <w:color w:val="000000"/>
          <w:sz w:val="32"/>
          <w:szCs w:val="32"/>
        </w:rPr>
        <w:t>日</w:t>
      </w:r>
      <w:r>
        <w:rPr>
          <w:rFonts w:hint="default" w:ascii="Times New Roman" w:hAnsi="Times New Roman" w:eastAsia="仿宋" w:cs="Times New Roman"/>
          <w:color w:val="000000"/>
          <w:sz w:val="32"/>
          <w:szCs w:val="32"/>
          <w:lang w:eastAsia="zh-CN"/>
        </w:rPr>
        <w:t>下发了《关于物业专项维修资金使用问题整改核查情况的反馈意见》，并对后续整改和下步工作提出了具体要求。</w:t>
      </w:r>
      <w:r>
        <w:rPr>
          <w:rFonts w:hint="default" w:ascii="Times New Roman" w:hAnsi="Times New Roman" w:eastAsia="仿宋" w:cs="Times New Roman"/>
          <w:b/>
          <w:bCs/>
          <w:color w:val="000000"/>
          <w:sz w:val="32"/>
          <w:szCs w:val="32"/>
          <w:lang w:eastAsia="zh-CN"/>
        </w:rPr>
        <w:t>五是系统账户建立情况及派息情况。</w:t>
      </w:r>
      <w:r>
        <w:rPr>
          <w:rFonts w:hint="default" w:ascii="Times New Roman" w:hAnsi="Times New Roman" w:eastAsia="仿宋" w:cs="Times New Roman"/>
          <w:color w:val="000000"/>
          <w:sz w:val="32"/>
          <w:szCs w:val="32"/>
          <w:lang w:eastAsia="zh-CN"/>
        </w:rPr>
        <w:t>截止2025年12月底，系统已建账户且余额未清零的共计609个小区，累计利息收益3.337亿元，已向603个小区个人账户派发利息1.864亿元（其中，2025年按时间节点派息22.96万户2685.2万元）；因历史原因无法建立个人账户的小区23个或者经业主表决同意捆绑使用的小区3个等特殊情况，派息到小区98万元；对557个符合条件的小区建立了分幢账户，派发增值收益7446万元。账面未派发利息总额7073万元（其中6110万元为2025年1-12月新增利息收益，963万元为利差部分），属2026年6月30日个人账户派息和2025年12月分幢账户派发增值收益范畴。</w:t>
      </w:r>
    </w:p>
    <w:p w14:paraId="7DBE5813">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b/>
          <w:color w:val="000000"/>
          <w:sz w:val="32"/>
          <w:szCs w:val="32"/>
        </w:rPr>
        <w:t>2.公租房后续管理工作。</w:t>
      </w:r>
      <w:r>
        <w:rPr>
          <w:rFonts w:hint="default" w:ascii="Times New Roman" w:hAnsi="Times New Roman" w:eastAsia="仿宋" w:cs="Times New Roman"/>
          <w:color w:val="000000"/>
          <w:sz w:val="32"/>
          <w:szCs w:val="32"/>
          <w:lang w:eastAsia="zh-CN"/>
        </w:rPr>
        <w:t>为配合政府化债工作，根据市委市政府安排，经公开招投标，</w:t>
      </w:r>
      <w:r>
        <w:rPr>
          <w:rFonts w:hint="default" w:ascii="Times New Roman" w:hAnsi="Times New Roman" w:eastAsia="仿宋" w:cs="Times New Roman"/>
          <w:color w:val="000000"/>
          <w:sz w:val="32"/>
          <w:szCs w:val="32"/>
        </w:rPr>
        <w:t>于</w:t>
      </w:r>
      <w:r>
        <w:rPr>
          <w:rFonts w:hint="default" w:ascii="Times New Roman" w:hAnsi="Times New Roman" w:eastAsia="仿宋" w:cs="Times New Roman"/>
          <w:color w:val="000000"/>
          <w:sz w:val="32"/>
          <w:szCs w:val="32"/>
          <w:lang w:val="en-US" w:eastAsia="zh-CN"/>
        </w:rPr>
        <w:t>2024年12月底</w:t>
      </w:r>
      <w:r>
        <w:rPr>
          <w:rFonts w:hint="default" w:ascii="Times New Roman" w:hAnsi="Times New Roman" w:eastAsia="仿宋" w:cs="Times New Roman"/>
          <w:color w:val="000000"/>
          <w:sz w:val="32"/>
          <w:szCs w:val="32"/>
          <w:lang w:eastAsia="zh-CN"/>
        </w:rPr>
        <w:t>将</w:t>
      </w:r>
      <w:r>
        <w:rPr>
          <w:rFonts w:hint="default" w:ascii="Times New Roman" w:hAnsi="Times New Roman" w:eastAsia="仿宋" w:cs="Times New Roman"/>
          <w:color w:val="000000"/>
          <w:sz w:val="32"/>
          <w:szCs w:val="32"/>
        </w:rPr>
        <w:t>市本级城东、城南、城北</w:t>
      </w:r>
      <w:r>
        <w:rPr>
          <w:rFonts w:hint="default" w:ascii="Times New Roman" w:hAnsi="Times New Roman" w:eastAsia="仿宋" w:cs="Times New Roman"/>
          <w:color w:val="000000"/>
          <w:sz w:val="32"/>
          <w:szCs w:val="32"/>
          <w:lang w:eastAsia="zh-CN"/>
        </w:rPr>
        <w:t>三</w:t>
      </w:r>
      <w:r>
        <w:rPr>
          <w:rFonts w:hint="default" w:ascii="Times New Roman" w:hAnsi="Times New Roman" w:eastAsia="仿宋" w:cs="Times New Roman"/>
          <w:color w:val="000000"/>
          <w:sz w:val="32"/>
          <w:szCs w:val="32"/>
        </w:rPr>
        <w:t>个公租房小区特许经营权</w:t>
      </w:r>
      <w:r>
        <w:rPr>
          <w:rFonts w:hint="default" w:ascii="Times New Roman" w:hAnsi="Times New Roman" w:eastAsia="仿宋" w:cs="Times New Roman"/>
          <w:color w:val="000000"/>
          <w:sz w:val="32"/>
          <w:szCs w:val="32"/>
          <w:lang w:eastAsia="zh-CN"/>
        </w:rPr>
        <w:t>出让给了市城发集团下属子公司</w:t>
      </w:r>
      <w:r>
        <w:rPr>
          <w:rFonts w:hint="default" w:ascii="Times New Roman" w:hAnsi="Times New Roman" w:eastAsia="仿宋" w:cs="Times New Roman"/>
          <w:color w:val="000000"/>
          <w:sz w:val="32"/>
          <w:szCs w:val="32"/>
        </w:rPr>
        <w:t>怀化城市资产经营有限公司</w:t>
      </w:r>
      <w:r>
        <w:rPr>
          <w:rFonts w:hint="default" w:ascii="Times New Roman" w:hAnsi="Times New Roman" w:eastAsia="仿宋" w:cs="Times New Roman"/>
          <w:color w:val="000000"/>
          <w:sz w:val="32"/>
          <w:szCs w:val="32"/>
          <w:lang w:eastAsia="zh-CN"/>
        </w:rPr>
        <w:t>。现我中心负责承租户准入和退出的审核审批工作，同时监督指导该公司开展三个公租房小区的现场运营管理</w:t>
      </w:r>
      <w:r>
        <w:rPr>
          <w:rFonts w:hint="default" w:ascii="Times New Roman" w:hAnsi="Times New Roman" w:eastAsia="仿宋" w:cs="Times New Roman"/>
          <w:color w:val="000000"/>
          <w:sz w:val="32"/>
          <w:szCs w:val="32"/>
          <w:lang w:val="en-US" w:eastAsia="zh-CN"/>
        </w:rPr>
        <w:t>。</w:t>
      </w:r>
    </w:p>
    <w:p w14:paraId="7267AADC">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rPr>
        <w:t>市本级城东、城南、城北三个公租房小区共有住房54</w:t>
      </w:r>
      <w:r>
        <w:rPr>
          <w:rFonts w:hint="default" w:ascii="Times New Roman" w:hAnsi="Times New Roman" w:eastAsia="仿宋" w:cs="Times New Roman"/>
          <w:color w:val="000000"/>
          <w:sz w:val="32"/>
          <w:szCs w:val="32"/>
          <w:lang w:val="en-US" w:eastAsia="zh-CN"/>
        </w:rPr>
        <w:t>90</w:t>
      </w:r>
      <w:r>
        <w:rPr>
          <w:rFonts w:hint="default" w:ascii="Times New Roman" w:hAnsi="Times New Roman" w:eastAsia="仿宋" w:cs="Times New Roman"/>
          <w:color w:val="000000"/>
          <w:sz w:val="32"/>
          <w:szCs w:val="32"/>
        </w:rPr>
        <w:t>套</w:t>
      </w:r>
      <w:r>
        <w:rPr>
          <w:rFonts w:hint="default" w:ascii="Times New Roman" w:hAnsi="Times New Roman" w:eastAsia="仿宋" w:cs="Times New Roman"/>
          <w:color w:val="000000"/>
          <w:sz w:val="32"/>
          <w:szCs w:val="32"/>
          <w:lang w:eastAsia="zh-CN"/>
        </w:rPr>
        <w:t>，居住总人数约1.5万，居住人群包括城镇低保低收入家庭、退休下岗职工、残障人士、孤寡老人、退伍军人、拆迁过渡安置户等。</w:t>
      </w:r>
      <w:r>
        <w:rPr>
          <w:rFonts w:hint="default" w:ascii="Times New Roman" w:hAnsi="Times New Roman" w:eastAsia="仿宋" w:cs="Times New Roman"/>
          <w:b/>
          <w:bCs/>
          <w:color w:val="000000"/>
          <w:sz w:val="32"/>
          <w:szCs w:val="32"/>
          <w:lang w:eastAsia="zh-CN"/>
        </w:rPr>
        <w:t>一是</w:t>
      </w:r>
      <w:r>
        <w:rPr>
          <w:rFonts w:hint="default" w:ascii="Times New Roman" w:hAnsi="Times New Roman" w:eastAsia="仿宋" w:cs="Times New Roman"/>
          <w:color w:val="000000"/>
          <w:sz w:val="32"/>
          <w:szCs w:val="32"/>
          <w:lang w:val="en-US" w:eastAsia="zh-CN"/>
        </w:rPr>
        <w:t>2025</w:t>
      </w:r>
      <w:r>
        <w:rPr>
          <w:rFonts w:hint="default" w:ascii="Times New Roman" w:hAnsi="Times New Roman" w:eastAsia="仿宋" w:cs="Times New Roman"/>
          <w:color w:val="000000"/>
          <w:sz w:val="32"/>
          <w:szCs w:val="32"/>
          <w:lang w:eastAsia="zh-CN"/>
        </w:rPr>
        <w:t>年</w:t>
      </w:r>
      <w:r>
        <w:rPr>
          <w:rFonts w:hint="default" w:ascii="Times New Roman" w:hAnsi="Times New Roman" w:eastAsia="仿宋" w:cs="Times New Roman"/>
          <w:color w:val="000000"/>
          <w:sz w:val="32"/>
          <w:szCs w:val="32"/>
        </w:rPr>
        <w:t>新分配入住</w:t>
      </w:r>
      <w:r>
        <w:rPr>
          <w:rFonts w:hint="default" w:ascii="Times New Roman" w:hAnsi="Times New Roman" w:eastAsia="仿宋" w:cs="Times New Roman"/>
          <w:bCs/>
          <w:color w:val="000000"/>
          <w:sz w:val="32"/>
          <w:szCs w:val="32"/>
          <w:lang w:val="en-US" w:eastAsia="zh-CN"/>
        </w:rPr>
        <w:t>203</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，现实际</w:t>
      </w:r>
      <w:r>
        <w:rPr>
          <w:rFonts w:hint="default" w:ascii="Times New Roman" w:hAnsi="Times New Roman" w:eastAsia="仿宋" w:cs="Times New Roman"/>
          <w:color w:val="000000"/>
          <w:sz w:val="32"/>
          <w:szCs w:val="32"/>
        </w:rPr>
        <w:t>分配入住</w:t>
      </w:r>
      <w:r>
        <w:rPr>
          <w:rFonts w:hint="default" w:ascii="Times New Roman" w:hAnsi="Times New Roman" w:eastAsia="仿宋" w:cs="Times New Roman"/>
          <w:color w:val="000000"/>
          <w:sz w:val="32"/>
          <w:szCs w:val="32"/>
          <w:lang w:eastAsia="zh-CN"/>
        </w:rPr>
        <w:t>52</w:t>
      </w:r>
      <w:r>
        <w:rPr>
          <w:rFonts w:hint="default" w:ascii="Times New Roman" w:hAnsi="Times New Roman" w:eastAsia="仿宋" w:cs="Times New Roman"/>
          <w:color w:val="000000"/>
          <w:sz w:val="32"/>
          <w:szCs w:val="32"/>
          <w:lang w:val="en-US" w:eastAsia="zh-CN"/>
        </w:rPr>
        <w:t>53</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，全年</w:t>
      </w:r>
      <w:r>
        <w:rPr>
          <w:rFonts w:hint="default" w:ascii="Times New Roman" w:hAnsi="Times New Roman" w:eastAsia="仿宋" w:cs="Times New Roman"/>
          <w:color w:val="000000"/>
          <w:sz w:val="32"/>
          <w:szCs w:val="32"/>
        </w:rPr>
        <w:t>收取租金</w:t>
      </w:r>
      <w:r>
        <w:rPr>
          <w:rFonts w:hint="default" w:ascii="Times New Roman" w:hAnsi="Times New Roman" w:eastAsia="仿宋" w:cs="Times New Roman"/>
          <w:color w:val="000000"/>
          <w:sz w:val="32"/>
          <w:szCs w:val="32"/>
          <w:lang w:val="en-US" w:eastAsia="zh-CN"/>
        </w:rPr>
        <w:t>828.73</w:t>
      </w:r>
      <w:r>
        <w:rPr>
          <w:rFonts w:hint="default" w:ascii="Times New Roman" w:hAnsi="Times New Roman" w:eastAsia="仿宋" w:cs="Times New Roman"/>
          <w:color w:val="000000"/>
          <w:sz w:val="32"/>
          <w:szCs w:val="32"/>
        </w:rPr>
        <w:t>万元</w:t>
      </w:r>
      <w:r>
        <w:rPr>
          <w:rFonts w:hint="default" w:ascii="Times New Roman" w:hAnsi="Times New Roman" w:eastAsia="仿宋" w:cs="Times New Roman"/>
          <w:color w:val="000000"/>
          <w:sz w:val="32"/>
          <w:szCs w:val="32"/>
          <w:lang w:eastAsia="zh-CN"/>
        </w:rPr>
        <w:t>，已</w:t>
      </w:r>
      <w:r>
        <w:rPr>
          <w:rFonts w:hint="default" w:ascii="Times New Roman" w:hAnsi="Times New Roman" w:eastAsia="仿宋" w:cs="Times New Roman"/>
          <w:color w:val="000000"/>
          <w:sz w:val="32"/>
          <w:szCs w:val="32"/>
        </w:rPr>
        <w:t>完成年审</w:t>
      </w:r>
      <w:r>
        <w:rPr>
          <w:rFonts w:hint="default" w:ascii="Times New Roman" w:hAnsi="Times New Roman" w:eastAsia="仿宋" w:cs="Times New Roman"/>
          <w:color w:val="000000"/>
          <w:sz w:val="32"/>
          <w:szCs w:val="32"/>
          <w:lang w:val="en-US" w:eastAsia="zh-CN"/>
        </w:rPr>
        <w:t>4999</w:t>
      </w:r>
      <w:r>
        <w:rPr>
          <w:rFonts w:hint="default" w:ascii="Times New Roman" w:hAnsi="Times New Roman" w:eastAsia="仿宋" w:cs="Times New Roman"/>
          <w:color w:val="000000"/>
          <w:sz w:val="32"/>
          <w:szCs w:val="32"/>
        </w:rPr>
        <w:t>户</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lang w:val="en-US" w:eastAsia="zh-CN"/>
        </w:rPr>
        <w:t>完成</w:t>
      </w:r>
      <w:r>
        <w:rPr>
          <w:rFonts w:hint="default" w:ascii="Times New Roman" w:hAnsi="Times New Roman" w:eastAsia="仿宋" w:cs="Times New Roman"/>
          <w:color w:val="000000"/>
          <w:sz w:val="32"/>
          <w:szCs w:val="32"/>
          <w:lang w:eastAsia="zh-CN"/>
        </w:rPr>
        <w:t>入户调查</w:t>
      </w:r>
      <w:r>
        <w:rPr>
          <w:rFonts w:hint="default" w:ascii="Times New Roman" w:hAnsi="Times New Roman" w:eastAsia="仿宋" w:cs="Times New Roman"/>
          <w:color w:val="000000"/>
          <w:sz w:val="32"/>
          <w:szCs w:val="32"/>
          <w:lang w:val="en-US" w:eastAsia="zh-CN"/>
        </w:rPr>
        <w:t>2078户（三年全覆盖），公租房日常维修</w:t>
      </w:r>
      <w:r>
        <w:rPr>
          <w:rFonts w:hint="default" w:ascii="Times New Roman" w:hAnsi="Times New Roman" w:eastAsia="仿宋" w:cs="Times New Roman"/>
          <w:bCs/>
          <w:color w:val="000000"/>
          <w:sz w:val="32"/>
          <w:szCs w:val="32"/>
          <w:lang w:val="en-US" w:eastAsia="zh-CN"/>
        </w:rPr>
        <w:t>168</w:t>
      </w:r>
      <w:r>
        <w:rPr>
          <w:rFonts w:hint="default" w:ascii="Times New Roman" w:hAnsi="Times New Roman" w:eastAsia="仿宋" w:cs="Times New Roman"/>
          <w:color w:val="000000"/>
          <w:sz w:val="32"/>
          <w:szCs w:val="32"/>
          <w:lang w:val="en-US" w:eastAsia="zh-CN"/>
        </w:rPr>
        <w:t>笔；</w:t>
      </w:r>
      <w:r>
        <w:rPr>
          <w:rFonts w:hint="default" w:ascii="Times New Roman" w:hAnsi="Times New Roman" w:eastAsia="仿宋" w:cs="Times New Roman"/>
          <w:b/>
          <w:bCs/>
          <w:color w:val="000000"/>
          <w:sz w:val="32"/>
          <w:szCs w:val="32"/>
          <w:lang w:val="en-US" w:eastAsia="zh-CN"/>
        </w:rPr>
        <w:t>二是</w:t>
      </w:r>
      <w:r>
        <w:rPr>
          <w:rFonts w:hint="default" w:ascii="Times New Roman" w:hAnsi="Times New Roman" w:eastAsia="仿宋" w:cs="Times New Roman"/>
          <w:bCs/>
          <w:color w:val="000000"/>
          <w:sz w:val="32"/>
          <w:szCs w:val="32"/>
          <w:lang w:eastAsia="zh-CN"/>
        </w:rPr>
        <w:t>按政策</w:t>
      </w:r>
      <w:r>
        <w:rPr>
          <w:rFonts w:hint="default" w:ascii="Times New Roman" w:hAnsi="Times New Roman" w:eastAsia="仿宋" w:cs="Times New Roman"/>
          <w:bCs/>
          <w:color w:val="000000"/>
          <w:sz w:val="32"/>
          <w:szCs w:val="32"/>
        </w:rPr>
        <w:t>减免</w:t>
      </w:r>
      <w:r>
        <w:rPr>
          <w:rFonts w:hint="default" w:ascii="Times New Roman" w:hAnsi="Times New Roman" w:eastAsia="仿宋" w:cs="Times New Roman"/>
          <w:bCs/>
          <w:color w:val="000000"/>
          <w:sz w:val="32"/>
          <w:szCs w:val="32"/>
          <w:lang w:eastAsia="zh-CN"/>
        </w:rPr>
        <w:t>租金</w:t>
      </w:r>
      <w:r>
        <w:rPr>
          <w:rFonts w:hint="default" w:ascii="Times New Roman" w:hAnsi="Times New Roman" w:eastAsia="仿宋" w:cs="Times New Roman"/>
          <w:bCs/>
          <w:color w:val="000000"/>
          <w:sz w:val="32"/>
          <w:szCs w:val="32"/>
          <w:lang w:val="en-US" w:eastAsia="zh-CN"/>
        </w:rPr>
        <w:t>96.79万</w:t>
      </w:r>
      <w:r>
        <w:rPr>
          <w:rFonts w:hint="default" w:ascii="Times New Roman" w:hAnsi="Times New Roman" w:eastAsia="仿宋" w:cs="Times New Roman"/>
          <w:bCs/>
          <w:color w:val="000000"/>
          <w:sz w:val="32"/>
          <w:szCs w:val="32"/>
        </w:rPr>
        <w:t>元</w:t>
      </w:r>
      <w:r>
        <w:rPr>
          <w:rFonts w:hint="default" w:ascii="Times New Roman" w:hAnsi="Times New Roman" w:eastAsia="仿宋" w:cs="Times New Roman"/>
          <w:bCs/>
          <w:color w:val="000000"/>
          <w:sz w:val="32"/>
          <w:szCs w:val="32"/>
          <w:lang w:eastAsia="zh-CN"/>
        </w:rPr>
        <w:t>，惠及</w:t>
      </w:r>
      <w:r>
        <w:rPr>
          <w:rFonts w:hint="default" w:ascii="Times New Roman" w:hAnsi="Times New Roman" w:eastAsia="仿宋" w:cs="Times New Roman"/>
          <w:color w:val="000000"/>
          <w:sz w:val="32"/>
          <w:szCs w:val="32"/>
        </w:rPr>
        <w:t>残障人士、孤寡老人、退伍军人</w:t>
      </w:r>
      <w:r>
        <w:rPr>
          <w:rFonts w:hint="default" w:ascii="Times New Roman" w:hAnsi="Times New Roman" w:eastAsia="仿宋" w:cs="Times New Roman"/>
          <w:color w:val="000000"/>
          <w:sz w:val="32"/>
          <w:szCs w:val="32"/>
          <w:lang w:eastAsia="zh-CN"/>
        </w:rPr>
        <w:t>等</w:t>
      </w:r>
      <w:r>
        <w:rPr>
          <w:rFonts w:hint="default" w:ascii="Times New Roman" w:hAnsi="Times New Roman" w:eastAsia="仿宋" w:cs="Times New Roman"/>
          <w:bCs/>
          <w:color w:val="000000"/>
          <w:sz w:val="32"/>
          <w:szCs w:val="32"/>
          <w:lang w:val="en-US" w:eastAsia="zh-CN"/>
        </w:rPr>
        <w:t>1078</w:t>
      </w:r>
      <w:r>
        <w:rPr>
          <w:rFonts w:hint="default" w:ascii="Times New Roman" w:hAnsi="Times New Roman" w:eastAsia="仿宋" w:cs="Times New Roman"/>
          <w:bCs/>
          <w:color w:val="000000"/>
          <w:sz w:val="32"/>
          <w:szCs w:val="32"/>
        </w:rPr>
        <w:t>户</w:t>
      </w:r>
      <w:r>
        <w:rPr>
          <w:rFonts w:hint="default" w:ascii="Times New Roman" w:hAnsi="Times New Roman" w:eastAsia="仿宋" w:cs="Times New Roman"/>
          <w:bCs/>
          <w:color w:val="000000"/>
          <w:sz w:val="32"/>
          <w:szCs w:val="32"/>
          <w:lang w:eastAsia="zh-CN"/>
        </w:rPr>
        <w:t>；</w:t>
      </w:r>
      <w:r>
        <w:rPr>
          <w:rFonts w:hint="default" w:ascii="Times New Roman" w:hAnsi="Times New Roman" w:eastAsia="仿宋" w:cs="Times New Roman"/>
          <w:b/>
          <w:bCs/>
          <w:color w:val="000000"/>
          <w:sz w:val="32"/>
          <w:szCs w:val="32"/>
          <w:lang w:val="en-US" w:eastAsia="zh-CN"/>
        </w:rPr>
        <w:t>三是</w:t>
      </w:r>
      <w:r>
        <w:rPr>
          <w:rFonts w:hint="default" w:ascii="Times New Roman" w:hAnsi="Times New Roman" w:eastAsia="仿宋" w:cs="Times New Roman"/>
          <w:color w:val="000000"/>
          <w:sz w:val="32"/>
          <w:szCs w:val="32"/>
          <w:lang w:val="en-US" w:eastAsia="zh-CN"/>
        </w:rPr>
        <w:t>办理退房</w:t>
      </w:r>
      <w:r>
        <w:rPr>
          <w:rFonts w:hint="default" w:ascii="Times New Roman" w:hAnsi="Times New Roman" w:eastAsia="仿宋" w:cs="Times New Roman"/>
          <w:bCs/>
          <w:color w:val="000000"/>
          <w:sz w:val="32"/>
          <w:szCs w:val="32"/>
          <w:lang w:val="en-US" w:eastAsia="zh-CN"/>
        </w:rPr>
        <w:t>221</w:t>
      </w:r>
      <w:r>
        <w:rPr>
          <w:rFonts w:hint="default" w:ascii="Times New Roman" w:hAnsi="Times New Roman" w:eastAsia="仿宋" w:cs="Times New Roman"/>
          <w:color w:val="000000"/>
          <w:sz w:val="32"/>
          <w:szCs w:val="32"/>
          <w:lang w:val="en-US" w:eastAsia="zh-CN"/>
        </w:rPr>
        <w:t>户，入户调查发现转租转借14户全部清退，数据按时上报至市住建局深化整治全市住建领域群众身边不正之风和腐败问题（“三湘安居”专项行动）工作专班；</w:t>
      </w:r>
      <w:r>
        <w:rPr>
          <w:rFonts w:hint="default" w:ascii="Times New Roman" w:hAnsi="Times New Roman" w:eastAsia="仿宋" w:cs="Times New Roman"/>
          <w:b/>
          <w:bCs/>
          <w:color w:val="000000"/>
          <w:sz w:val="32"/>
          <w:szCs w:val="32"/>
          <w:lang w:val="en-US" w:eastAsia="zh-CN"/>
        </w:rPr>
        <w:t>四是</w:t>
      </w:r>
      <w:r>
        <w:rPr>
          <w:rFonts w:hint="default" w:ascii="Times New Roman" w:hAnsi="Times New Roman" w:eastAsia="仿宋" w:cs="Times New Roman"/>
          <w:color w:val="000000"/>
          <w:sz w:val="32"/>
          <w:szCs w:val="32"/>
          <w:lang w:val="en-US" w:eastAsia="zh-CN"/>
        </w:rPr>
        <w:t>分别于3月28日和</w:t>
      </w:r>
      <w:r>
        <w:rPr>
          <w:rFonts w:hint="default" w:ascii="Times New Roman" w:hAnsi="Times New Roman" w:eastAsia="仿宋_GB2312" w:cs="Times New Roman"/>
          <w:color w:val="000000"/>
          <w:sz w:val="32"/>
          <w:szCs w:val="32"/>
          <w:lang w:val="en-US" w:eastAsia="zh-CN"/>
        </w:rPr>
        <w:t>12月4日</w:t>
      </w:r>
      <w:r>
        <w:rPr>
          <w:rFonts w:hint="default" w:ascii="Times New Roman" w:hAnsi="Times New Roman" w:eastAsia="仿宋" w:cs="Times New Roman"/>
          <w:color w:val="000000"/>
          <w:sz w:val="32"/>
          <w:szCs w:val="32"/>
          <w:lang w:val="en-US" w:eastAsia="zh-CN"/>
        </w:rPr>
        <w:t>给</w:t>
      </w:r>
      <w:r>
        <w:rPr>
          <w:rFonts w:hint="default" w:ascii="Times New Roman" w:hAnsi="Times New Roman" w:eastAsia="仿宋" w:cs="Times New Roman"/>
          <w:color w:val="000000"/>
          <w:sz w:val="32"/>
          <w:szCs w:val="32"/>
          <w:lang w:eastAsia="zh-CN"/>
        </w:rPr>
        <w:t>特许经营权受让方</w:t>
      </w:r>
      <w:r>
        <w:rPr>
          <w:rFonts w:hint="default" w:ascii="Times New Roman" w:hAnsi="Times New Roman" w:eastAsia="仿宋" w:cs="Times New Roman"/>
          <w:color w:val="000000"/>
          <w:sz w:val="32"/>
          <w:szCs w:val="32"/>
        </w:rPr>
        <w:t>怀化城市资产经营</w:t>
      </w:r>
      <w:r>
        <w:rPr>
          <w:rFonts w:hint="default" w:ascii="Times New Roman" w:hAnsi="Times New Roman" w:eastAsia="仿宋" w:cs="Times New Roman"/>
          <w:color w:val="000000"/>
          <w:sz w:val="32"/>
          <w:szCs w:val="32"/>
          <w:lang w:eastAsia="zh-CN"/>
        </w:rPr>
        <w:t>有限</w:t>
      </w:r>
      <w:r>
        <w:rPr>
          <w:rFonts w:hint="default" w:ascii="Times New Roman" w:hAnsi="Times New Roman" w:eastAsia="仿宋" w:cs="Times New Roman"/>
          <w:color w:val="000000"/>
          <w:sz w:val="32"/>
          <w:szCs w:val="32"/>
        </w:rPr>
        <w:t>公司</w:t>
      </w:r>
      <w:r>
        <w:rPr>
          <w:rFonts w:hint="default" w:ascii="Times New Roman" w:hAnsi="Times New Roman" w:eastAsia="仿宋" w:cs="Times New Roman"/>
          <w:color w:val="000000"/>
          <w:sz w:val="32"/>
          <w:szCs w:val="32"/>
          <w:lang w:eastAsia="zh-CN"/>
        </w:rPr>
        <w:t>致《安全生产工作提示函》和《关于加强公租房小区冬春季安全生产和火灾事故防控工作的提示函》，要求</w:t>
      </w:r>
      <w:r>
        <w:rPr>
          <w:rFonts w:hint="default" w:ascii="Times New Roman" w:hAnsi="Times New Roman" w:eastAsia="仿宋" w:cs="Times New Roman"/>
          <w:color w:val="000000"/>
          <w:sz w:val="32"/>
          <w:szCs w:val="32"/>
        </w:rPr>
        <w:t>加强</w:t>
      </w:r>
      <w:r>
        <w:rPr>
          <w:rFonts w:hint="default" w:ascii="Times New Roman" w:hAnsi="Times New Roman" w:eastAsia="仿宋" w:cs="Times New Roman"/>
          <w:color w:val="000000"/>
          <w:sz w:val="32"/>
          <w:szCs w:val="32"/>
          <w:lang w:eastAsia="zh-CN"/>
        </w:rPr>
        <w:t>三个公租房小区</w:t>
      </w:r>
      <w:r>
        <w:rPr>
          <w:rFonts w:hint="default" w:ascii="Times New Roman" w:hAnsi="Times New Roman" w:eastAsia="仿宋" w:cs="Times New Roman"/>
          <w:color w:val="000000"/>
          <w:sz w:val="32"/>
          <w:szCs w:val="32"/>
        </w:rPr>
        <w:t>安全管理，扛牢压实安全生产和火灾事故风险防范责任</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开展安全隐患排查整治</w:t>
      </w:r>
      <w:r>
        <w:rPr>
          <w:rFonts w:hint="default" w:ascii="Times New Roman" w:hAnsi="Times New Roman" w:eastAsia="仿宋" w:cs="Times New Roman"/>
          <w:color w:val="000000"/>
          <w:sz w:val="32"/>
          <w:szCs w:val="32"/>
          <w:lang w:eastAsia="zh-CN"/>
        </w:rPr>
        <w:t>，</w:t>
      </w:r>
      <w:r>
        <w:rPr>
          <w:rFonts w:hint="default" w:ascii="Times New Roman" w:hAnsi="Times New Roman" w:eastAsia="仿宋" w:cs="Times New Roman"/>
          <w:color w:val="000000"/>
          <w:sz w:val="32"/>
          <w:szCs w:val="32"/>
        </w:rPr>
        <w:t>防范高空坠物</w:t>
      </w:r>
      <w:r>
        <w:rPr>
          <w:rFonts w:hint="default" w:ascii="Times New Roman" w:hAnsi="Times New Roman" w:eastAsia="仿宋" w:cs="Times New Roman"/>
          <w:color w:val="000000"/>
          <w:sz w:val="32"/>
          <w:szCs w:val="32"/>
          <w:lang w:eastAsia="zh-CN"/>
        </w:rPr>
        <w:t>、冬春季安全生产和火灾事故</w:t>
      </w:r>
      <w:r>
        <w:rPr>
          <w:rFonts w:hint="default" w:ascii="Times New Roman" w:hAnsi="Times New Roman" w:eastAsia="仿宋" w:cs="Times New Roman"/>
          <w:color w:val="000000"/>
          <w:sz w:val="32"/>
          <w:szCs w:val="32"/>
        </w:rPr>
        <w:t>等安全风险，完善应急预案与处置机制</w:t>
      </w:r>
      <w:r>
        <w:rPr>
          <w:rFonts w:hint="default" w:ascii="Times New Roman" w:hAnsi="Times New Roman" w:eastAsia="仿宋" w:cs="Times New Roman"/>
          <w:color w:val="000000"/>
          <w:sz w:val="32"/>
          <w:szCs w:val="32"/>
          <w:lang w:eastAsia="zh-CN"/>
        </w:rPr>
        <w:t>，确保承租户</w:t>
      </w:r>
      <w:r>
        <w:rPr>
          <w:rFonts w:hint="default" w:ascii="Times New Roman" w:hAnsi="Times New Roman" w:eastAsia="仿宋" w:cs="Times New Roman"/>
          <w:color w:val="000000"/>
          <w:sz w:val="32"/>
          <w:szCs w:val="32"/>
        </w:rPr>
        <w:t>生命</w:t>
      </w:r>
      <w:r>
        <w:rPr>
          <w:rFonts w:hint="default" w:ascii="Times New Roman" w:hAnsi="Times New Roman" w:eastAsia="仿宋" w:cs="Times New Roman"/>
          <w:color w:val="000000"/>
          <w:sz w:val="32"/>
          <w:szCs w:val="32"/>
          <w:lang w:eastAsia="zh-CN"/>
        </w:rPr>
        <w:t>和</w:t>
      </w:r>
      <w:r>
        <w:rPr>
          <w:rFonts w:hint="default" w:ascii="Times New Roman" w:hAnsi="Times New Roman" w:eastAsia="仿宋" w:cs="Times New Roman"/>
          <w:color w:val="000000"/>
          <w:sz w:val="32"/>
          <w:szCs w:val="32"/>
        </w:rPr>
        <w:t>财产安全</w:t>
      </w:r>
      <w:r>
        <w:rPr>
          <w:rFonts w:hint="default" w:ascii="Times New Roman" w:hAnsi="Times New Roman" w:eastAsia="仿宋" w:cs="Times New Roman"/>
          <w:color w:val="000000"/>
          <w:sz w:val="32"/>
          <w:szCs w:val="32"/>
          <w:lang w:eastAsia="zh-CN"/>
        </w:rPr>
        <w:t>。</w:t>
      </w:r>
    </w:p>
    <w:p w14:paraId="00482889">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3.白蚁防治工作情况。</w:t>
      </w:r>
      <w:r>
        <w:rPr>
          <w:rFonts w:hint="default" w:ascii="Times New Roman" w:hAnsi="Times New Roman" w:eastAsia="仿宋" w:cs="Times New Roman"/>
          <w:b w:val="0"/>
          <w:bCs/>
          <w:color w:val="000000"/>
          <w:sz w:val="32"/>
          <w:szCs w:val="32"/>
        </w:rPr>
        <w:t>202</w:t>
      </w:r>
      <w:r>
        <w:rPr>
          <w:rFonts w:hint="default" w:ascii="Times New Roman" w:hAnsi="Times New Roman" w:eastAsia="仿宋" w:cs="Times New Roman"/>
          <w:b w:val="0"/>
          <w:bCs/>
          <w:color w:val="000000"/>
          <w:sz w:val="32"/>
          <w:szCs w:val="32"/>
          <w:lang w:val="en-US" w:eastAsia="zh-CN"/>
        </w:rPr>
        <w:t>5</w:t>
      </w:r>
      <w:r>
        <w:rPr>
          <w:rFonts w:hint="default" w:ascii="Times New Roman" w:hAnsi="Times New Roman" w:eastAsia="仿宋" w:cs="Times New Roman"/>
          <w:b w:val="0"/>
          <w:bCs/>
          <w:color w:val="000000"/>
          <w:sz w:val="32"/>
          <w:szCs w:val="32"/>
        </w:rPr>
        <w:t>年，</w:t>
      </w:r>
      <w:r>
        <w:rPr>
          <w:rFonts w:hint="default" w:ascii="Times New Roman" w:hAnsi="Times New Roman" w:eastAsia="仿宋" w:cs="Times New Roman"/>
          <w:b/>
          <w:bCs/>
          <w:color w:val="000000"/>
          <w:sz w:val="32"/>
          <w:szCs w:val="32"/>
          <w:lang w:eastAsia="zh-CN"/>
        </w:rPr>
        <w:t>一是</w:t>
      </w:r>
      <w:r>
        <w:rPr>
          <w:rFonts w:hint="default" w:ascii="Times New Roman" w:hAnsi="Times New Roman" w:eastAsia="仿宋" w:cs="Times New Roman"/>
          <w:color w:val="000000"/>
          <w:sz w:val="32"/>
          <w:szCs w:val="32"/>
          <w:lang w:eastAsia="zh-CN"/>
        </w:rPr>
        <w:t>新建房屋白蚁预防申请受理10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栋面积114.</w:t>
      </w:r>
      <w:r>
        <w:rPr>
          <w:rFonts w:hint="default" w:ascii="Times New Roman" w:hAnsi="Times New Roman" w:eastAsia="仿宋" w:cs="Times New Roman"/>
          <w:color w:val="000000"/>
          <w:sz w:val="32"/>
          <w:szCs w:val="32"/>
          <w:lang w:val="en-US" w:eastAsia="zh-CN"/>
        </w:rPr>
        <w:t>78</w:t>
      </w:r>
      <w:r>
        <w:rPr>
          <w:rFonts w:hint="default" w:ascii="Times New Roman" w:hAnsi="Times New Roman" w:eastAsia="仿宋" w:cs="Times New Roman"/>
          <w:color w:val="000000"/>
          <w:sz w:val="32"/>
          <w:szCs w:val="32"/>
          <w:lang w:eastAsia="zh-CN"/>
        </w:rPr>
        <w:t>万㎡，发放城市房屋白蚁预防实施证明10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份；</w:t>
      </w:r>
      <w:r>
        <w:rPr>
          <w:rFonts w:hint="default" w:ascii="Times New Roman" w:hAnsi="Times New Roman" w:eastAsia="仿宋" w:cs="Times New Roman"/>
          <w:b/>
          <w:bCs/>
          <w:color w:val="000000"/>
          <w:sz w:val="32"/>
          <w:szCs w:val="32"/>
          <w:lang w:eastAsia="zh-CN"/>
        </w:rPr>
        <w:t>二是</w:t>
      </w:r>
      <w:r>
        <w:rPr>
          <w:rFonts w:hint="default" w:ascii="Times New Roman" w:hAnsi="Times New Roman" w:eastAsia="仿宋" w:cs="Times New Roman"/>
          <w:color w:val="000000"/>
          <w:sz w:val="32"/>
          <w:szCs w:val="32"/>
          <w:lang w:eastAsia="zh-CN"/>
        </w:rPr>
        <w:t>新建房屋白蚁预防施工10</w:t>
      </w:r>
      <w:r>
        <w:rPr>
          <w:rFonts w:hint="default" w:ascii="Times New Roman" w:hAnsi="Times New Roman" w:eastAsia="仿宋" w:cs="Times New Roman"/>
          <w:color w:val="000000"/>
          <w:sz w:val="32"/>
          <w:szCs w:val="32"/>
          <w:lang w:val="en-US" w:eastAsia="zh-CN"/>
        </w:rPr>
        <w:t>8</w:t>
      </w:r>
      <w:r>
        <w:rPr>
          <w:rFonts w:hint="default" w:ascii="Times New Roman" w:hAnsi="Times New Roman" w:eastAsia="仿宋" w:cs="Times New Roman"/>
          <w:color w:val="000000"/>
          <w:sz w:val="32"/>
          <w:szCs w:val="32"/>
          <w:lang w:eastAsia="zh-CN"/>
        </w:rPr>
        <w:t>栋面积114.</w:t>
      </w:r>
      <w:r>
        <w:rPr>
          <w:rFonts w:hint="default" w:ascii="Times New Roman" w:hAnsi="Times New Roman" w:eastAsia="仿宋" w:cs="Times New Roman"/>
          <w:color w:val="000000"/>
          <w:sz w:val="32"/>
          <w:szCs w:val="32"/>
          <w:lang w:val="en-US" w:eastAsia="zh-CN"/>
        </w:rPr>
        <w:t>78</w:t>
      </w:r>
      <w:r>
        <w:rPr>
          <w:rFonts w:hint="default" w:ascii="Times New Roman" w:hAnsi="Times New Roman" w:eastAsia="仿宋" w:cs="Times New Roman"/>
          <w:color w:val="000000"/>
          <w:sz w:val="32"/>
          <w:szCs w:val="32"/>
          <w:lang w:eastAsia="zh-CN"/>
        </w:rPr>
        <w:t>万㎡；</w:t>
      </w:r>
      <w:r>
        <w:rPr>
          <w:rFonts w:hint="default" w:ascii="Times New Roman" w:hAnsi="Times New Roman" w:eastAsia="仿宋" w:cs="Times New Roman"/>
          <w:b/>
          <w:bCs/>
          <w:color w:val="000000"/>
          <w:sz w:val="32"/>
          <w:szCs w:val="32"/>
          <w:lang w:eastAsia="zh-CN"/>
        </w:rPr>
        <w:t>三是</w:t>
      </w:r>
      <w:r>
        <w:rPr>
          <w:rFonts w:hint="default" w:ascii="Times New Roman" w:hAnsi="Times New Roman" w:eastAsia="仿宋" w:cs="Times New Roman"/>
          <w:color w:val="000000"/>
          <w:sz w:val="32"/>
          <w:szCs w:val="32"/>
          <w:lang w:eastAsia="zh-CN"/>
        </w:rPr>
        <w:t>白蚁灭治施工，实施白蚁灭治施工12处；</w:t>
      </w:r>
      <w:r>
        <w:rPr>
          <w:rFonts w:hint="default" w:ascii="Times New Roman" w:hAnsi="Times New Roman" w:eastAsia="仿宋" w:cs="Times New Roman"/>
          <w:b/>
          <w:bCs/>
          <w:color w:val="000000"/>
          <w:sz w:val="32"/>
          <w:szCs w:val="32"/>
          <w:lang w:eastAsia="zh-CN"/>
        </w:rPr>
        <w:t>四是</w:t>
      </w:r>
      <w:r>
        <w:rPr>
          <w:rFonts w:hint="default" w:ascii="Times New Roman" w:hAnsi="Times New Roman" w:eastAsia="仿宋" w:cs="Times New Roman"/>
          <w:color w:val="000000"/>
          <w:sz w:val="32"/>
          <w:szCs w:val="32"/>
          <w:lang w:eastAsia="zh-CN"/>
        </w:rPr>
        <w:t>受理</w:t>
      </w:r>
      <w:r>
        <w:rPr>
          <w:rFonts w:hint="default" w:ascii="Times New Roman" w:hAnsi="Times New Roman" w:eastAsia="仿宋" w:cs="Times New Roman"/>
          <w:color w:val="000000"/>
          <w:sz w:val="32"/>
          <w:szCs w:val="32"/>
        </w:rPr>
        <w:t>市长热线</w:t>
      </w:r>
      <w:r>
        <w:rPr>
          <w:rFonts w:hint="default" w:ascii="Times New Roman" w:hAnsi="Times New Roman" w:eastAsia="仿宋" w:cs="Times New Roman"/>
          <w:color w:val="000000"/>
          <w:sz w:val="32"/>
          <w:szCs w:val="32"/>
          <w:lang w:eastAsia="zh-CN"/>
        </w:rPr>
        <w:t>关于白蚁防治求助来电8件，通过电话联系和现场查看均不在白蚁防治包治期服务内，但是</w:t>
      </w:r>
      <w:r>
        <w:rPr>
          <w:rFonts w:hint="default" w:ascii="Times New Roman" w:hAnsi="Times New Roman" w:eastAsia="仿宋" w:cs="Times New Roman"/>
          <w:color w:val="000000"/>
          <w:sz w:val="32"/>
          <w:szCs w:val="32"/>
        </w:rPr>
        <w:t>工作人员针对不同类型的房屋和白蚁危害程度，</w:t>
      </w:r>
      <w:r>
        <w:rPr>
          <w:rFonts w:hint="default" w:ascii="Times New Roman" w:hAnsi="Times New Roman" w:eastAsia="仿宋" w:cs="Times New Roman"/>
          <w:color w:val="000000"/>
          <w:sz w:val="32"/>
          <w:szCs w:val="32"/>
          <w:lang w:eastAsia="zh-CN"/>
        </w:rPr>
        <w:t>均按照白蚁防治技术指导来电人防治方法和白蚁防治专用药物选购；</w:t>
      </w:r>
      <w:r>
        <w:rPr>
          <w:rFonts w:hint="default" w:ascii="Times New Roman" w:hAnsi="Times New Roman" w:eastAsia="仿宋" w:cs="Times New Roman"/>
          <w:b/>
          <w:bCs/>
          <w:color w:val="000000"/>
          <w:sz w:val="32"/>
          <w:szCs w:val="32"/>
          <w:lang w:eastAsia="zh-CN"/>
        </w:rPr>
        <w:t>五是</w:t>
      </w:r>
      <w:r>
        <w:rPr>
          <w:rFonts w:hint="default" w:ascii="Times New Roman" w:hAnsi="Times New Roman" w:eastAsia="仿宋" w:cs="Times New Roman"/>
          <w:color w:val="000000"/>
          <w:sz w:val="32"/>
          <w:szCs w:val="32"/>
          <w:lang w:eastAsia="zh-CN"/>
        </w:rPr>
        <w:t>对市城区</w:t>
      </w:r>
      <w:r>
        <w:rPr>
          <w:rFonts w:hint="default" w:ascii="Times New Roman" w:hAnsi="Times New Roman" w:eastAsia="仿宋" w:cs="Times New Roman"/>
          <w:color w:val="000000"/>
          <w:sz w:val="32"/>
          <w:szCs w:val="32"/>
        </w:rPr>
        <w:t>15年</w:t>
      </w:r>
      <w:r>
        <w:rPr>
          <w:rFonts w:hint="default" w:ascii="Times New Roman" w:hAnsi="Times New Roman" w:eastAsia="仿宋" w:cs="Times New Roman"/>
          <w:color w:val="000000"/>
          <w:sz w:val="32"/>
          <w:szCs w:val="32"/>
          <w:lang w:eastAsia="zh-CN"/>
        </w:rPr>
        <w:t>内</w:t>
      </w:r>
      <w:r>
        <w:rPr>
          <w:rFonts w:hint="default" w:ascii="Times New Roman" w:hAnsi="Times New Roman" w:eastAsia="仿宋" w:cs="Times New Roman"/>
          <w:color w:val="000000"/>
          <w:sz w:val="32"/>
          <w:szCs w:val="32"/>
        </w:rPr>
        <w:t>包治期的</w:t>
      </w:r>
      <w:r>
        <w:rPr>
          <w:rFonts w:hint="default" w:ascii="Times New Roman" w:hAnsi="Times New Roman" w:eastAsia="仿宋" w:cs="Times New Roman"/>
          <w:color w:val="000000"/>
          <w:sz w:val="32"/>
          <w:szCs w:val="32"/>
          <w:lang w:eastAsia="zh-CN"/>
        </w:rPr>
        <w:t>房屋，按照每4年回访复查一次要求，白蚁防治回访复查房屋578栋，回访面积639.4万㎡</w:t>
      </w:r>
      <w:r>
        <w:rPr>
          <w:rFonts w:hint="default" w:ascii="Times New Roman" w:hAnsi="Times New Roman" w:eastAsia="仿宋" w:cs="Times New Roman"/>
          <w:color w:val="000000"/>
          <w:sz w:val="32"/>
          <w:szCs w:val="32"/>
        </w:rPr>
        <w:t>。</w:t>
      </w:r>
    </w:p>
    <w:p w14:paraId="6A2C3FDB">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hint="default" w:ascii="Times New Roman" w:hAnsi="Times New Roman" w:eastAsia="仿宋" w:cs="Times New Roman"/>
          <w:color w:val="000000"/>
          <w:sz w:val="32"/>
          <w:szCs w:val="32"/>
        </w:rPr>
      </w:pPr>
      <w:r>
        <w:rPr>
          <w:rFonts w:hint="default" w:ascii="Times New Roman" w:hAnsi="Times New Roman" w:eastAsia="仿宋" w:cs="Times New Roman"/>
          <w:b/>
          <w:color w:val="000000"/>
          <w:sz w:val="32"/>
          <w:szCs w:val="32"/>
        </w:rPr>
        <w:t>4.购房补贴发放工作情况。</w:t>
      </w:r>
      <w:r>
        <w:rPr>
          <w:rFonts w:hint="default" w:ascii="Times New Roman" w:hAnsi="Times New Roman" w:eastAsia="仿宋" w:cs="Times New Roman"/>
          <w:color w:val="000000"/>
          <w:sz w:val="32"/>
          <w:szCs w:val="32"/>
          <w:lang w:eastAsia="zh-CN"/>
        </w:rPr>
        <w:t>该项</w:t>
      </w:r>
      <w:r>
        <w:rPr>
          <w:rFonts w:hint="default" w:ascii="Times New Roman" w:hAnsi="Times New Roman" w:eastAsia="仿宋" w:cs="Times New Roman"/>
          <w:color w:val="000000"/>
          <w:sz w:val="32"/>
          <w:szCs w:val="32"/>
        </w:rPr>
        <w:t>工作自2023年5月正式启动以来，共完成补贴申请资料审核13248户，</w:t>
      </w:r>
      <w:r>
        <w:rPr>
          <w:rFonts w:hint="default" w:ascii="Times New Roman" w:hAnsi="Times New Roman" w:eastAsia="仿宋" w:cs="Times New Roman"/>
          <w:color w:val="000000"/>
          <w:sz w:val="32"/>
          <w:szCs w:val="32"/>
          <w:lang w:eastAsia="zh-CN"/>
        </w:rPr>
        <w:t>涉及房屋</w:t>
      </w:r>
      <w:r>
        <w:rPr>
          <w:rFonts w:hint="default" w:ascii="Times New Roman" w:hAnsi="Times New Roman" w:eastAsia="仿宋" w:cs="Times New Roman"/>
          <w:color w:val="000000"/>
          <w:sz w:val="32"/>
          <w:szCs w:val="32"/>
        </w:rPr>
        <w:t>交易面积共计162.3万㎡（其中住宅12202套面积152.48万㎡，非住宅1046套面积9.82万㎡），成交总金额82.52亿元；实现契税征缴金额1.41亿元，应发放购房补贴共计8488.86万元。</w:t>
      </w:r>
    </w:p>
    <w:p w14:paraId="14D947B4">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40" w:firstLineChars="200"/>
        <w:jc w:val="both"/>
        <w:textAlignment w:val="auto"/>
        <w:rPr>
          <w:rFonts w:ascii="仿宋" w:hAnsi="仿宋" w:eastAsia="仿宋" w:cstheme="minorEastAsia"/>
          <w:color w:val="auto"/>
          <w:sz w:val="32"/>
          <w:szCs w:val="32"/>
        </w:rPr>
      </w:pPr>
      <w:r>
        <w:rPr>
          <w:rFonts w:hint="default" w:ascii="Times New Roman" w:hAnsi="Times New Roman" w:eastAsia="仿宋" w:cs="Times New Roman"/>
          <w:color w:val="000000"/>
          <w:sz w:val="32"/>
          <w:szCs w:val="32"/>
          <w:lang w:val="en-US" w:eastAsia="zh-CN"/>
        </w:rPr>
        <w:t>2025年因市财政紧张未拨付购房补贴资金，购房补贴发放工作未有实质性进展</w:t>
      </w:r>
      <w:r>
        <w:rPr>
          <w:rFonts w:hint="default" w:ascii="Times New Roman" w:hAnsi="Times New Roman" w:eastAsia="仿宋" w:cs="Times New Roman"/>
          <w:color w:val="000000"/>
          <w:sz w:val="32"/>
          <w:szCs w:val="32"/>
        </w:rPr>
        <w:t>。</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rPr>
        <w:t>截至</w:t>
      </w:r>
      <w:r>
        <w:rPr>
          <w:rFonts w:hint="default" w:ascii="Times New Roman" w:hAnsi="Times New Roman" w:eastAsia="仿宋" w:cs="Times New Roman"/>
          <w:color w:val="000000"/>
          <w:sz w:val="32"/>
          <w:szCs w:val="32"/>
          <w:lang w:val="en-US" w:eastAsia="zh-CN"/>
        </w:rPr>
        <w:t>2024年底</w:t>
      </w:r>
      <w:r>
        <w:rPr>
          <w:rFonts w:hint="default" w:ascii="Times New Roman" w:hAnsi="Times New Roman" w:eastAsia="仿宋" w:cs="Times New Roman"/>
          <w:color w:val="000000"/>
          <w:sz w:val="32"/>
          <w:szCs w:val="32"/>
        </w:rPr>
        <w:t>，已完成</w:t>
      </w:r>
      <w:r>
        <w:rPr>
          <w:rFonts w:hint="default" w:ascii="Times New Roman" w:hAnsi="Times New Roman" w:eastAsia="仿宋" w:cs="Times New Roman"/>
          <w:color w:val="000000"/>
          <w:sz w:val="32"/>
          <w:szCs w:val="32"/>
          <w:lang w:eastAsia="zh-CN"/>
        </w:rPr>
        <w:t>前四批</w:t>
      </w:r>
      <w:r>
        <w:rPr>
          <w:rFonts w:hint="default" w:ascii="Times New Roman" w:hAnsi="Times New Roman" w:eastAsia="仿宋" w:cs="Times New Roman"/>
          <w:color w:val="000000"/>
          <w:sz w:val="32"/>
          <w:szCs w:val="32"/>
        </w:rPr>
        <w:t>3442户</w:t>
      </w:r>
      <w:r>
        <w:rPr>
          <w:rFonts w:hint="default" w:ascii="Times New Roman" w:hAnsi="Times New Roman" w:eastAsia="仿宋" w:cs="Times New Roman"/>
          <w:color w:val="000000"/>
          <w:sz w:val="32"/>
          <w:szCs w:val="32"/>
          <w:lang w:eastAsia="zh-CN"/>
        </w:rPr>
        <w:t>首年资金的发放以及</w:t>
      </w:r>
      <w:r>
        <w:rPr>
          <w:rFonts w:hint="default" w:ascii="Times New Roman" w:hAnsi="Times New Roman" w:eastAsia="仿宋" w:cs="Times New Roman"/>
          <w:color w:val="000000"/>
          <w:sz w:val="32"/>
          <w:szCs w:val="32"/>
        </w:rPr>
        <w:t>前三批2054户</w:t>
      </w:r>
      <w:r>
        <w:rPr>
          <w:rFonts w:hint="default" w:ascii="Times New Roman" w:hAnsi="Times New Roman" w:eastAsia="仿宋" w:cs="Times New Roman"/>
          <w:color w:val="000000"/>
          <w:sz w:val="32"/>
          <w:szCs w:val="32"/>
          <w:lang w:eastAsia="zh-CN"/>
        </w:rPr>
        <w:t>第二年资金的</w:t>
      </w:r>
      <w:r>
        <w:rPr>
          <w:rFonts w:hint="default" w:ascii="Times New Roman" w:hAnsi="Times New Roman" w:eastAsia="仿宋" w:cs="Times New Roman"/>
          <w:color w:val="000000"/>
          <w:sz w:val="32"/>
          <w:szCs w:val="32"/>
        </w:rPr>
        <w:t>发放</w:t>
      </w:r>
      <w:r>
        <w:rPr>
          <w:rFonts w:hint="default" w:ascii="Times New Roman" w:hAnsi="Times New Roman" w:eastAsia="仿宋" w:cs="Times New Roman"/>
          <w:color w:val="000000"/>
          <w:sz w:val="32"/>
          <w:szCs w:val="32"/>
          <w:lang w:val="en-US" w:eastAsia="zh-CN"/>
        </w:rPr>
        <w:t>）</w:t>
      </w:r>
      <w:r>
        <w:rPr>
          <w:rFonts w:hint="default" w:ascii="Times New Roman" w:hAnsi="Times New Roman" w:eastAsia="仿宋" w:cs="Times New Roman"/>
          <w:color w:val="000000"/>
          <w:sz w:val="32"/>
          <w:szCs w:val="32"/>
        </w:rPr>
        <w:t>。</w:t>
      </w:r>
    </w:p>
    <w:p w14:paraId="60258238">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jc w:val="both"/>
        <w:textAlignment w:val="auto"/>
        <w:rPr>
          <w:rFonts w:ascii="Times New Roman" w:hAnsi="Times New Roman" w:eastAsia="仿宋_GB2312" w:cs="Times New Roman"/>
          <w:color w:val="auto"/>
          <w:sz w:val="32"/>
          <w:szCs w:val="32"/>
        </w:rPr>
      </w:pPr>
      <w:r>
        <w:rPr>
          <w:rFonts w:ascii="Times New Roman" w:hAnsi="Times New Roman" w:eastAsia="楷体_GB2312" w:cs="Times New Roman"/>
          <w:b/>
          <w:bCs/>
          <w:sz w:val="32"/>
          <w:szCs w:val="32"/>
        </w:rPr>
        <w:t>评价结果应用情况</w:t>
      </w:r>
    </w:p>
    <w:p w14:paraId="440F2AE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r>
        <w:rPr>
          <w:rFonts w:hint="eastAsia" w:ascii="仿宋" w:hAnsi="仿宋" w:eastAsia="仿宋"/>
          <w:color w:val="auto"/>
          <w:sz w:val="32"/>
          <w:szCs w:val="32"/>
        </w:rPr>
        <w:t>科学性、规范性、操作性、可靠性强的</w:t>
      </w:r>
      <w:r>
        <w:rPr>
          <w:rFonts w:hint="eastAsia" w:ascii="仿宋" w:hAnsi="仿宋" w:eastAsia="仿宋"/>
          <w:color w:val="auto"/>
          <w:sz w:val="32"/>
          <w:szCs w:val="32"/>
          <w:lang w:val="en-US" w:eastAsia="zh-CN"/>
        </w:rPr>
        <w:t>以及</w:t>
      </w:r>
      <w:r>
        <w:rPr>
          <w:rFonts w:hint="eastAsia" w:ascii="仿宋" w:hAnsi="仿宋" w:eastAsia="仿宋"/>
          <w:color w:val="auto"/>
          <w:sz w:val="32"/>
          <w:szCs w:val="32"/>
        </w:rPr>
        <w:t>有效兼顾定性指标和定量指标、财务指标与非财务指标</w:t>
      </w:r>
      <w:r>
        <w:rPr>
          <w:rFonts w:hint="eastAsia" w:ascii="仿宋" w:hAnsi="仿宋" w:eastAsia="仿宋"/>
          <w:color w:val="auto"/>
          <w:sz w:val="32"/>
          <w:szCs w:val="32"/>
          <w:lang w:val="en-US" w:eastAsia="zh-CN"/>
        </w:rPr>
        <w:t>的目标体系</w:t>
      </w:r>
      <w:r>
        <w:rPr>
          <w:rFonts w:hint="eastAsia" w:ascii="仿宋" w:hAnsi="仿宋" w:eastAsia="仿宋"/>
          <w:color w:val="auto"/>
          <w:sz w:val="32"/>
          <w:szCs w:val="32"/>
        </w:rPr>
        <w:t>，能够保障实现行政、事业的社会公共服务职能和公益属性。如制定绩效目标的编报流程、职责分工、绩效目标设定范围和标准，涉及采购的符合政府采购要求的编报执行制度，采购资产、实施项目预算进度和达到何种绩效目标等均需明确相应要求，</w:t>
      </w:r>
      <w:r>
        <w:rPr>
          <w:rFonts w:hint="eastAsia" w:ascii="仿宋" w:hAnsi="仿宋" w:eastAsia="仿宋"/>
          <w:color w:val="auto"/>
          <w:sz w:val="32"/>
          <w:szCs w:val="32"/>
          <w:lang w:val="en-US" w:eastAsia="zh-CN"/>
        </w:rPr>
        <w:t>能够</w:t>
      </w:r>
      <w:r>
        <w:rPr>
          <w:rFonts w:hint="eastAsia" w:ascii="仿宋" w:hAnsi="仿宋" w:eastAsia="仿宋"/>
          <w:color w:val="auto"/>
          <w:sz w:val="32"/>
          <w:szCs w:val="32"/>
        </w:rPr>
        <w:t>保证预算执行有章可循</w:t>
      </w:r>
      <w:r>
        <w:rPr>
          <w:rFonts w:ascii="Times New Roman" w:hAnsi="Times New Roman" w:eastAsia="仿宋_GB2312" w:cs="Times New Roman"/>
          <w:color w:val="auto"/>
          <w:sz w:val="32"/>
          <w:szCs w:val="32"/>
        </w:rPr>
        <w:t>。</w:t>
      </w:r>
    </w:p>
    <w:p w14:paraId="7BBAFD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仿宋_GB2312" w:cs="Times New Roman"/>
          <w:color w:val="auto"/>
          <w:sz w:val="32"/>
          <w:szCs w:val="32"/>
        </w:rPr>
      </w:pPr>
    </w:p>
    <w:p w14:paraId="2FAF5456">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7DA76C07">
      <w:pPr>
        <w:pStyle w:val="2"/>
        <w:rPr>
          <w:rFonts w:ascii="Times New Roman" w:hAnsi="Times New Roman" w:eastAsia="仿宋_GB2312" w:cs="Times New Roman"/>
          <w:color w:val="auto"/>
          <w:sz w:val="32"/>
          <w:szCs w:val="32"/>
        </w:rPr>
      </w:pPr>
    </w:p>
    <w:p w14:paraId="77B03EF9"/>
    <w:p w14:paraId="32F1E379">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3CFFEBA8">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19A15555">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6B40B828">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624ED1C6">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0632C921">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03E75FBF">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10BF6A4C">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37901BC4">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6C30F2D5">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4A8A4372">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6E5F7C84">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6676FB1C">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76A6FD64">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13940690">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68221ABD">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56650BAF">
      <w:pPr>
        <w:keepNext w:val="0"/>
        <w:keepLines w:val="0"/>
        <w:pageBreakBefore w:val="0"/>
        <w:widowControl w:val="0"/>
        <w:numPr>
          <w:ilvl w:val="0"/>
          <w:numId w:val="0"/>
        </w:numPr>
        <w:kinsoku/>
        <w:wordWrap/>
        <w:overflowPunct/>
        <w:topLinePunct w:val="0"/>
        <w:autoSpaceDE/>
        <w:autoSpaceDN/>
        <w:bidi w:val="0"/>
        <w:spacing w:line="560" w:lineRule="exact"/>
        <w:jc w:val="both"/>
        <w:textAlignment w:val="auto"/>
        <w:rPr>
          <w:rFonts w:ascii="Times New Roman" w:hAnsi="Times New Roman" w:eastAsia="仿宋_GB2312" w:cs="Times New Roman"/>
          <w:color w:val="auto"/>
          <w:sz w:val="32"/>
          <w:szCs w:val="32"/>
        </w:rPr>
      </w:pPr>
    </w:p>
    <w:p w14:paraId="76376B20">
      <w:pPr>
        <w:pStyle w:val="14"/>
        <w:spacing w:line="360" w:lineRule="auto"/>
        <w:jc w:val="center"/>
        <w:rPr>
          <w:rFonts w:ascii="Times New Roman" w:hAnsi="Times New Roman" w:eastAsia="方正小标宋_GBK" w:cs="Times New Roman"/>
          <w:sz w:val="52"/>
          <w:szCs w:val="52"/>
        </w:rPr>
      </w:pPr>
    </w:p>
    <w:p w14:paraId="11E95D0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4E253C8">
      <w:pPr>
        <w:widowControl/>
        <w:jc w:val="left"/>
        <w:rPr>
          <w:rFonts w:ascii="Times New Roman" w:hAnsi="Times New Roman" w:cs="Times New Roman"/>
          <w:color w:val="000000"/>
          <w:kern w:val="0"/>
          <w:sz w:val="32"/>
          <w:szCs w:val="32"/>
        </w:rPr>
      </w:pPr>
    </w:p>
    <w:p w14:paraId="728DCCF0">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一、财政拨款收入：指单位本年度从市级财政部门取得的财政拨款。</w:t>
      </w:r>
    </w:p>
    <w:p w14:paraId="44FC0A19">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二、上级补助收入：指事业单位从主管部门和上级单位取得的非财政补助收入。</w:t>
      </w:r>
    </w:p>
    <w:p w14:paraId="141C451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三、事业收入：指事业单位开展专业业务活动及其辅助活动取得的收入，事业单位收到的财政专户实际核拨的教育收费等资金在此反映。</w:t>
      </w:r>
    </w:p>
    <w:p w14:paraId="1B942FD2">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四、经营收入：指事业单位在专业业务活动及其辅助活动之外开展非独立核算经营活动取得的收入。</w:t>
      </w:r>
    </w:p>
    <w:p w14:paraId="1EFB4D4E">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五、附属单位缴款：指事业单位附属独立核算单位按照有关规定上缴的收入。</w:t>
      </w:r>
    </w:p>
    <w:p w14:paraId="29D15DCA">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六、其他收入：指单位取得的除上述“财政拨款收入”、“事业收入”、“经营收入”等以外的各项收入。</w:t>
      </w:r>
    </w:p>
    <w:p w14:paraId="6007C78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七、用事业基金弥补收支差额：指事业单位用事业基金弥补当年收支差额的数额。</w:t>
      </w:r>
    </w:p>
    <w:p w14:paraId="257F5CC4">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八、年初结转和结余：指单位上年结转本年使用的基本支出结转、项目支出结转和结余和经营结余。</w:t>
      </w:r>
    </w:p>
    <w:p w14:paraId="22169E4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九、一般公共服务（类）人大事务（款）行政运行（项）：指人大常委会办公厅用于保障机构正常运行、开展日常工作的基本支出。</w:t>
      </w:r>
    </w:p>
    <w:p w14:paraId="58C3B44E">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十、结余分配：指事业单位按规定对非财政补助结余资金提取的职工福利基金、事业基金和缴纳的所得税，以及减少单位按规定应缴回的基本建设竣工项目结余资金。</w:t>
      </w:r>
    </w:p>
    <w:p w14:paraId="66E90759">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十一、年末结转和结余资金：指本年度或以前年度预算安排、因客观条件发生变化无法按原计划实施，需要延迟到以后年度按有关规定继续使用的资金。</w:t>
      </w:r>
    </w:p>
    <w:p w14:paraId="14CBDA92">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十二、基本支出：指为保障机构正常运转、完成日常工作任务而发生的人员支出和公用支出。</w:t>
      </w:r>
    </w:p>
    <w:p w14:paraId="6B8CC277">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十三、项目支出：指在基本支出之外为完成特定的行政任务或事业发展目标所发生的支出。</w:t>
      </w:r>
    </w:p>
    <w:p w14:paraId="120D4E9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十四、上缴上级支出：指事业单位按照财政部门和主管部门的规定上缴上级单位的支出。</w:t>
      </w:r>
    </w:p>
    <w:p w14:paraId="238D886C">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十五、经营支出：指事业单位在专业业务活动及其辅助活动之外开展非独立核算经营活动发生的支出。</w:t>
      </w:r>
    </w:p>
    <w:p w14:paraId="07B7513C">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十六、对附属单位补助支出：指事业单位用财政补助收入之外的收入对附属单位补助发生的支出。</w:t>
      </w:r>
    </w:p>
    <w:p w14:paraId="1EB40E8A">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0EEF2FE5">
      <w:pPr>
        <w:pStyle w:val="14"/>
        <w:jc w:val="center"/>
        <w:rPr>
          <w:rFonts w:ascii="Times New Roman" w:hAnsi="Times New Roman" w:cs="Times New Roman"/>
          <w:sz w:val="72"/>
          <w:szCs w:val="72"/>
        </w:rPr>
      </w:pPr>
    </w:p>
    <w:p w14:paraId="0E06A5DB">
      <w:pPr>
        <w:pStyle w:val="14"/>
        <w:jc w:val="center"/>
        <w:rPr>
          <w:rFonts w:ascii="Times New Roman" w:hAnsi="Times New Roman" w:cs="Times New Roman"/>
          <w:sz w:val="72"/>
          <w:szCs w:val="72"/>
        </w:rPr>
      </w:pPr>
    </w:p>
    <w:p w14:paraId="581630A6">
      <w:pPr>
        <w:pStyle w:val="14"/>
        <w:jc w:val="both"/>
        <w:rPr>
          <w:rFonts w:ascii="Times New Roman" w:hAnsi="Times New Roman" w:cs="Times New Roman"/>
          <w:sz w:val="72"/>
          <w:szCs w:val="72"/>
        </w:rPr>
      </w:pPr>
    </w:p>
    <w:p w14:paraId="4856BFDA">
      <w:pPr>
        <w:pStyle w:val="14"/>
        <w:jc w:val="both"/>
        <w:rPr>
          <w:rFonts w:ascii="Times New Roman" w:hAnsi="Times New Roman" w:cs="Times New Roman"/>
          <w:sz w:val="72"/>
          <w:szCs w:val="72"/>
        </w:rPr>
      </w:pPr>
    </w:p>
    <w:p w14:paraId="247BB5D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3D08C54">
      <w:pPr>
        <w:rPr>
          <w:rFonts w:ascii="Times New Roman" w:hAnsi="Times New Roman" w:cs="Times New Roman"/>
          <w:sz w:val="72"/>
          <w:szCs w:val="72"/>
        </w:rPr>
      </w:pPr>
    </w:p>
    <w:p w14:paraId="220D82A8">
      <w:pPr>
        <w:pStyle w:val="14"/>
        <w:spacing w:line="600" w:lineRule="exact"/>
        <w:ind w:firstLine="640" w:firstLineChars="200"/>
        <w:rPr>
          <w:rFonts w:hint="default" w:ascii="Times New Roman" w:hAnsi="Times New Roman" w:eastAsia="仿宋_GB2312" w:cs="Times New Roman"/>
          <w:b/>
          <w:bCs/>
          <w:sz w:val="32"/>
          <w:szCs w:val="32"/>
          <w:lang w:val="en-US" w:eastAsia="zh-CN"/>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val="en-US" w:eastAsia="zh-CN"/>
        </w:rPr>
        <w:t>怀化市住房保障服务中心2025年决算表</w:t>
      </w:r>
    </w:p>
    <w:p w14:paraId="2A4C9574">
      <w:pPr>
        <w:pStyle w:val="14"/>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二、</w:t>
      </w:r>
      <w:r>
        <w:rPr>
          <w:rFonts w:hint="eastAsia" w:ascii="Times New Roman" w:hAnsi="Times New Roman" w:eastAsia="仿宋_GB2312" w:cs="Times New Roman"/>
          <w:sz w:val="32"/>
          <w:szCs w:val="32"/>
        </w:rPr>
        <w:t>怀化市住房保障服务中心</w:t>
      </w:r>
      <w:r>
        <w:rPr>
          <w:rFonts w:hint="eastAsia" w:ascii="Times New Roman" w:hAnsi="Times New Roman" w:eastAsia="仿宋_GB2312" w:cs="Times New Roman"/>
          <w:sz w:val="32"/>
          <w:szCs w:val="32"/>
          <w:lang w:eastAsia="zh-CN"/>
        </w:rPr>
        <w:t>2025</w:t>
      </w:r>
      <w:r>
        <w:rPr>
          <w:rFonts w:hint="eastAsia" w:ascii="Times New Roman" w:hAnsi="Times New Roman" w:eastAsia="仿宋_GB2312" w:cs="Times New Roman"/>
          <w:sz w:val="32"/>
          <w:szCs w:val="32"/>
        </w:rPr>
        <w:t>年部门绩效自评报</w:t>
      </w:r>
      <w:r>
        <w:rPr>
          <w:rFonts w:hint="eastAsia" w:ascii="Times New Roman" w:hAnsi="Times New Roman" w:eastAsia="仿宋_GB2312" w:cs="Times New Roman"/>
          <w:sz w:val="32"/>
          <w:szCs w:val="32"/>
          <w:lang w:val="en-US" w:eastAsia="zh-CN"/>
        </w:rPr>
        <w:t>告</w:t>
      </w:r>
    </w:p>
    <w:p w14:paraId="3D752022">
      <w:pPr>
        <w:pStyle w:val="14"/>
        <w:jc w:val="center"/>
        <w:rPr>
          <w:rFonts w:ascii="Times New Roman" w:hAnsi="Times New Roman" w:cs="Times New Roman"/>
          <w:sz w:val="72"/>
          <w:szCs w:val="72"/>
        </w:rPr>
      </w:pPr>
    </w:p>
    <w:p w14:paraId="0474171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0B8F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9804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CACE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25DC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8525DC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6731E"/>
    <w:multiLevelType w:val="singleLevel"/>
    <w:tmpl w:val="2016731E"/>
    <w:lvl w:ilvl="0" w:tentative="0">
      <w:start w:val="7"/>
      <w:numFmt w:val="decimal"/>
      <w:suff w:val="nothing"/>
      <w:lvlText w:val="%1、"/>
      <w:lvlJc w:val="left"/>
    </w:lvl>
  </w:abstractNum>
  <w:abstractNum w:abstractNumId="1">
    <w:nsid w:val="73023BF2"/>
    <w:multiLevelType w:val="singleLevel"/>
    <w:tmpl w:val="73023BF2"/>
    <w:lvl w:ilvl="0" w:tentative="0">
      <w:start w:val="2"/>
      <w:numFmt w:val="chineseCounting"/>
      <w:suff w:val="nothing"/>
      <w:lvlText w:val="（%1）"/>
      <w:lvlJc w:val="left"/>
      <w:rPr>
        <w:rFonts w:hint="eastAsia" w:ascii="楷体" w:hAnsi="楷体" w:eastAsia="楷体" w:cs="楷体"/>
        <w:b/>
        <w:bC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2755C0"/>
    <w:rsid w:val="021B4775"/>
    <w:rsid w:val="05111DAD"/>
    <w:rsid w:val="0AC51722"/>
    <w:rsid w:val="18CF0AF0"/>
    <w:rsid w:val="1A976BD8"/>
    <w:rsid w:val="1CA51076"/>
    <w:rsid w:val="1D907B65"/>
    <w:rsid w:val="1D97DEFF"/>
    <w:rsid w:val="1DFF72E5"/>
    <w:rsid w:val="1EFC6F07"/>
    <w:rsid w:val="20633846"/>
    <w:rsid w:val="23C2284B"/>
    <w:rsid w:val="259A02D8"/>
    <w:rsid w:val="2AE61278"/>
    <w:rsid w:val="2EB0108F"/>
    <w:rsid w:val="2FDF85B8"/>
    <w:rsid w:val="2FFFEE04"/>
    <w:rsid w:val="34321327"/>
    <w:rsid w:val="34DF85B0"/>
    <w:rsid w:val="356B689E"/>
    <w:rsid w:val="36C56482"/>
    <w:rsid w:val="39535FC7"/>
    <w:rsid w:val="3A6A4D3C"/>
    <w:rsid w:val="3B8F36BC"/>
    <w:rsid w:val="3CA74F18"/>
    <w:rsid w:val="40D04912"/>
    <w:rsid w:val="46B61944"/>
    <w:rsid w:val="491FF225"/>
    <w:rsid w:val="4970480F"/>
    <w:rsid w:val="4A372D9B"/>
    <w:rsid w:val="4CEA2347"/>
    <w:rsid w:val="4FFD214C"/>
    <w:rsid w:val="517C44D4"/>
    <w:rsid w:val="524A4202"/>
    <w:rsid w:val="5777D4F5"/>
    <w:rsid w:val="58AD0DF8"/>
    <w:rsid w:val="59DD8326"/>
    <w:rsid w:val="5DEF592A"/>
    <w:rsid w:val="5FC6BB1E"/>
    <w:rsid w:val="5FF720F1"/>
    <w:rsid w:val="67FF5C0B"/>
    <w:rsid w:val="69360996"/>
    <w:rsid w:val="6C07661A"/>
    <w:rsid w:val="6D1F4F66"/>
    <w:rsid w:val="6EFC0924"/>
    <w:rsid w:val="6FB74722"/>
    <w:rsid w:val="6FEF8B7E"/>
    <w:rsid w:val="7080699B"/>
    <w:rsid w:val="71A6591B"/>
    <w:rsid w:val="737D59BA"/>
    <w:rsid w:val="73E07E7C"/>
    <w:rsid w:val="77C37683"/>
    <w:rsid w:val="79D19834"/>
    <w:rsid w:val="79FF515B"/>
    <w:rsid w:val="7B3C2E3B"/>
    <w:rsid w:val="7BE71511"/>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7540</Words>
  <Characters>8264</Characters>
  <Lines>69</Lines>
  <Paragraphs>19</Paragraphs>
  <TotalTime>1</TotalTime>
  <ScaleCrop>false</ScaleCrop>
  <LinksUpToDate>false</LinksUpToDate>
  <CharactersWithSpaces>8293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卡戎</cp:lastModifiedBy>
  <cp:lastPrinted>2024-08-08T18:20:00Z</cp:lastPrinted>
  <dcterms:modified xsi:type="dcterms:W3CDTF">2026-09-16T01:19:25Z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eyJoZGlkIjoiY2VlMTgzMWEwZWExMTFiYmNjODYxYzlkNThkYzVlYWUiLCJ1c2VySWQiOiIyODIyMDY3NzYifQ==</vt:lpwstr>
  </property>
</Properties>
</file>