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24748">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2025年度怀化市住房和城乡建设局</w:t>
      </w:r>
    </w:p>
    <w:p w14:paraId="0B8B3AB3">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整体支出绩效自评报告</w:t>
      </w:r>
    </w:p>
    <w:p w14:paraId="14987CA1">
      <w:pPr>
        <w:keepNext w:val="0"/>
        <w:keepLines w:val="0"/>
        <w:pageBreakBefore w:val="0"/>
        <w:widowControl w:val="0"/>
        <w:shd w:val="clear" w:color="auto" w:fill="auto"/>
        <w:kinsoku/>
        <w:wordWrap/>
        <w:overflowPunct/>
        <w:topLinePunct/>
        <w:autoSpaceDE/>
        <w:autoSpaceDN/>
        <w:bidi w:val="0"/>
        <w:spacing w:line="600" w:lineRule="exact"/>
        <w:ind w:firstLine="635" w:firstLineChars="200"/>
        <w:jc w:val="both"/>
        <w:textAlignment w:val="auto"/>
        <w:rPr>
          <w:rFonts w:hint="default" w:ascii="Times New Roman" w:hAnsi="Times New Roman" w:eastAsia="黑体" w:cs="Times New Roman"/>
          <w:b/>
          <w:color w:val="000000"/>
          <w:spacing w:val="-2"/>
          <w:sz w:val="32"/>
          <w:szCs w:val="32"/>
        </w:rPr>
      </w:pPr>
    </w:p>
    <w:p w14:paraId="25919CF9">
      <w:pPr>
        <w:keepNext w:val="0"/>
        <w:keepLines w:val="0"/>
        <w:pageBreakBefore w:val="0"/>
        <w:widowControl w:val="0"/>
        <w:shd w:val="clear" w:color="auto" w:fill="auto"/>
        <w:kinsoku/>
        <w:wordWrap/>
        <w:overflowPunct/>
        <w:topLinePunct/>
        <w:autoSpaceDE/>
        <w:autoSpaceDN/>
        <w:bidi w:val="0"/>
        <w:spacing w:line="600" w:lineRule="exact"/>
        <w:ind w:firstLine="632" w:firstLineChars="200"/>
        <w:jc w:val="both"/>
        <w:textAlignment w:val="auto"/>
        <w:rPr>
          <w:rFonts w:hint="default" w:ascii="Times New Roman" w:hAnsi="Times New Roman" w:eastAsia="黑体" w:cs="Times New Roman"/>
          <w:b w:val="0"/>
          <w:bCs/>
          <w:color w:val="000000"/>
          <w:spacing w:val="-2"/>
          <w:sz w:val="32"/>
          <w:szCs w:val="21"/>
          <w:lang w:val="en-US" w:eastAsia="zh-CN"/>
        </w:rPr>
      </w:pPr>
      <w:r>
        <w:rPr>
          <w:rFonts w:hint="default" w:ascii="Times New Roman" w:hAnsi="Times New Roman" w:eastAsia="黑体" w:cs="Times New Roman"/>
          <w:b w:val="0"/>
          <w:bCs/>
          <w:color w:val="000000"/>
          <w:spacing w:val="-2"/>
          <w:sz w:val="32"/>
          <w:szCs w:val="32"/>
        </w:rPr>
        <w:t>一、部门</w:t>
      </w:r>
      <w:r>
        <w:rPr>
          <w:rFonts w:hint="default" w:ascii="Times New Roman" w:hAnsi="Times New Roman" w:eastAsia="黑体" w:cs="Times New Roman"/>
          <w:b w:val="0"/>
          <w:bCs/>
          <w:color w:val="000000"/>
          <w:spacing w:val="-2"/>
          <w:sz w:val="32"/>
          <w:szCs w:val="32"/>
          <w:lang w:val="en-US" w:eastAsia="zh-CN"/>
        </w:rPr>
        <w:t>基本情况</w:t>
      </w:r>
    </w:p>
    <w:p w14:paraId="4A25E69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right="0" w:firstLine="635" w:firstLineChars="200"/>
        <w:jc w:val="both"/>
        <w:textAlignment w:val="auto"/>
        <w:rPr>
          <w:rFonts w:hint="default" w:ascii="Times New Roman" w:hAnsi="Times New Roman" w:eastAsia="微软雅黑" w:cs="Times New Roman"/>
          <w:b w:val="0"/>
          <w:bCs/>
          <w:i w:val="0"/>
          <w:caps w:val="0"/>
          <w:color w:val="000000"/>
          <w:spacing w:val="0"/>
          <w:sz w:val="24"/>
          <w:szCs w:val="24"/>
        </w:rPr>
      </w:pPr>
      <w:r>
        <w:rPr>
          <w:rFonts w:hint="default" w:ascii="Times New Roman" w:hAnsi="Times New Roman" w:eastAsia="楷体" w:cs="Times New Roman"/>
          <w:b/>
          <w:bCs/>
          <w:color w:val="000000"/>
          <w:spacing w:val="-2"/>
          <w:sz w:val="32"/>
          <w:szCs w:val="32"/>
        </w:rPr>
        <w:t>（一）机构设置情况</w:t>
      </w:r>
    </w:p>
    <w:p w14:paraId="20F603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0" w:firstLineChars="200"/>
        <w:jc w:val="both"/>
        <w:textAlignment w:val="auto"/>
        <w:rPr>
          <w:rFonts w:hint="default" w:ascii="Times New Roman" w:hAnsi="Times New Roman" w:cs="Times New Roman"/>
          <w:color w:val="000000"/>
          <w:sz w:val="32"/>
          <w:szCs w:val="32"/>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怀化市住房和城乡建设局是市政府正处级工作部门，局机关内设办公室、人事科、计划财务科（加挂审计科牌子）、村镇建设科、房地产业监督管理服务科、城市更新和住房保障科、科技与设计管理科、政策法规科（行政审批服务科）、建筑工程管理科、建设工程消防审验科、</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安全监督管理科（</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房屋维护管理科</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城乡历史文化科、局基础设施办、机关党委等14个内设机构。下设</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3</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个独立核算财政全额拨款事业单位，即怀化市</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城乡建设事务中心</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、怀化市城乡建设档案馆、怀化市建设工程质量安全监督管理站。</w:t>
      </w:r>
    </w:p>
    <w:p w14:paraId="06307D3B">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right="0" w:firstLine="635" w:firstLineChars="200"/>
        <w:jc w:val="both"/>
        <w:textAlignment w:val="auto"/>
        <w:rPr>
          <w:rFonts w:hint="default" w:ascii="Times New Roman" w:hAnsi="Times New Roman" w:eastAsia="楷体" w:cs="Times New Roman"/>
          <w:b/>
          <w:bCs/>
          <w:color w:val="000000"/>
          <w:spacing w:val="-2"/>
          <w:sz w:val="32"/>
          <w:szCs w:val="32"/>
        </w:rPr>
      </w:pPr>
      <w:r>
        <w:rPr>
          <w:rFonts w:hint="default" w:ascii="Times New Roman" w:hAnsi="Times New Roman" w:eastAsia="楷体" w:cs="Times New Roman"/>
          <w:b/>
          <w:bCs/>
          <w:color w:val="000000"/>
          <w:spacing w:val="-2"/>
          <w:sz w:val="32"/>
          <w:szCs w:val="32"/>
        </w:rPr>
        <w:t>人员编制情况</w:t>
      </w:r>
    </w:p>
    <w:p w14:paraId="134C68A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right="0" w:rightChars="0" w:firstLine="640" w:firstLineChars="200"/>
        <w:jc w:val="both"/>
        <w:textAlignment w:val="auto"/>
        <w:rPr>
          <w:rFonts w:hint="default" w:ascii="Times New Roman" w:hAnsi="Times New Roman" w:eastAsia="楷体" w:cs="Times New Roman"/>
          <w:b/>
          <w:bCs/>
          <w:color w:val="000000"/>
          <w:spacing w:val="-2"/>
          <w:sz w:val="32"/>
          <w:szCs w:val="32"/>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我单位2025年人员编制数53人，年末在职在编人员51人。</w:t>
      </w:r>
    </w:p>
    <w:p w14:paraId="74F72F1F">
      <w:pPr>
        <w:pStyle w:val="3"/>
        <w:keepNext w:val="0"/>
        <w:keepLines w:val="0"/>
        <w:pageBreakBefore w:val="0"/>
        <w:widowControl w:val="0"/>
        <w:numPr>
          <w:ilvl w:val="0"/>
          <w:numId w:val="0"/>
        </w:numPr>
        <w:shd w:val="clear" w:color="auto" w:fill="auto"/>
        <w:kinsoku/>
        <w:wordWrap/>
        <w:overflowPunct/>
        <w:topLinePunct/>
        <w:autoSpaceDE/>
        <w:autoSpaceDN/>
        <w:bidi w:val="0"/>
        <w:spacing w:line="600" w:lineRule="exact"/>
        <w:ind w:firstLine="360" w:firstLineChars="200"/>
        <w:jc w:val="both"/>
        <w:textAlignment w:val="auto"/>
        <w:rPr>
          <w:rFonts w:hint="default" w:ascii="Times New Roman" w:hAnsi="Times New Roman" w:cs="Times New Roman"/>
          <w:color w:val="000000"/>
        </w:rPr>
      </w:pPr>
    </w:p>
    <w:p w14:paraId="115914B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right="0" w:firstLine="635" w:firstLineChars="200"/>
        <w:jc w:val="both"/>
        <w:textAlignment w:val="auto"/>
        <w:rPr>
          <w:rFonts w:hint="default" w:ascii="Times New Roman" w:hAnsi="Times New Roman" w:eastAsia="楷体" w:cs="Times New Roman"/>
          <w:b w:val="0"/>
          <w:bCs/>
          <w:i w:val="0"/>
          <w:caps w:val="0"/>
          <w:color w:val="000000"/>
          <w:spacing w:val="0"/>
          <w:sz w:val="24"/>
          <w:szCs w:val="24"/>
          <w:lang w:val="en-US" w:eastAsia="zh-CN"/>
        </w:rPr>
      </w:pPr>
      <w:r>
        <w:rPr>
          <w:rFonts w:hint="default" w:ascii="Times New Roman" w:hAnsi="Times New Roman" w:eastAsia="楷体" w:cs="Times New Roman"/>
          <w:b/>
          <w:bCs/>
          <w:color w:val="000000"/>
          <w:spacing w:val="-2"/>
          <w:sz w:val="32"/>
          <w:szCs w:val="32"/>
        </w:rPr>
        <w:t>（</w:t>
      </w:r>
      <w:r>
        <w:rPr>
          <w:rFonts w:hint="default" w:ascii="Times New Roman" w:hAnsi="Times New Roman" w:eastAsia="楷体" w:cs="Times New Roman"/>
          <w:b/>
          <w:bCs/>
          <w:color w:val="000000"/>
          <w:spacing w:val="-2"/>
          <w:sz w:val="32"/>
          <w:szCs w:val="32"/>
          <w:lang w:val="en-US" w:eastAsia="zh-CN"/>
        </w:rPr>
        <w:t>三</w:t>
      </w:r>
      <w:r>
        <w:rPr>
          <w:rFonts w:hint="default" w:ascii="Times New Roman" w:hAnsi="Times New Roman" w:eastAsia="楷体" w:cs="Times New Roman"/>
          <w:b/>
          <w:bCs/>
          <w:color w:val="000000"/>
          <w:spacing w:val="-2"/>
          <w:sz w:val="32"/>
          <w:szCs w:val="32"/>
        </w:rPr>
        <w:t>）</w:t>
      </w:r>
      <w:r>
        <w:rPr>
          <w:rFonts w:hint="default" w:ascii="Times New Roman" w:hAnsi="Times New Roman" w:eastAsia="楷体" w:cs="Times New Roman"/>
          <w:b/>
          <w:bCs/>
          <w:color w:val="000000"/>
          <w:spacing w:val="-2"/>
          <w:sz w:val="32"/>
          <w:szCs w:val="32"/>
          <w:lang w:val="en-US" w:eastAsia="zh-CN"/>
        </w:rPr>
        <w:t>主要职能职责</w:t>
      </w:r>
    </w:p>
    <w:p w14:paraId="28FFF61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1.协同推进全市新型城镇化战略工作。参与研究全市新型城镇化战略，参与拟订全市新型城镇化发展规划和重大政策措施，配合做好相关工作。</w:t>
      </w:r>
    </w:p>
    <w:p w14:paraId="092C8EE7">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2.推进全市住房发展和住房制度改革。拟订全市住房发展规划并指导实施。</w:t>
      </w:r>
    </w:p>
    <w:p w14:paraId="6FFEBC82">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3.贯彻住房保障相关政策并指导实施。编制全市城镇保障性住房发展规划及年度计划并监督实施。指导全市规划建设保障性住房、城中村和城镇棚户区（城市危旧房）改造工作。指导全市规范保障性住房的运营管理。</w:t>
      </w:r>
    </w:p>
    <w:p w14:paraId="44D2B1B3">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4.贯彻物业服务行业政策，拟订全市物业服务发展规划和服务标准。</w:t>
      </w:r>
    </w:p>
    <w:p w14:paraId="6231B2E3">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5.拟订全市房屋(含居民自建房)施工建设、结构安全管理及结构安全隐患排查整治相关政策并指导实施。牵头指导全市居民自建房安全隐患排查整治。负责全市居民自建房安全综合监督管理工作。</w:t>
      </w:r>
    </w:p>
    <w:p w14:paraId="11578812">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6.拟订全市城市体检、城市更新的政策及专项规划并监督实施。</w:t>
      </w:r>
    </w:p>
    <w:p w14:paraId="10F1620F">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7.会同有关部门拟定全市村庄和小城镇建设政策并指导实施。</w:t>
      </w:r>
    </w:p>
    <w:p w14:paraId="5042B3C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8.会同有关部门拟订全市城乡历史文化保护传承政策并指导实施。</w:t>
      </w:r>
    </w:p>
    <w:p w14:paraId="4355002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9.指导和管理全市建筑活动，拟订建筑业的行业发展战略、改革方案、产业政策、技术政策并指导实施。</w:t>
      </w:r>
    </w:p>
    <w:p w14:paraId="1717EE2A">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10.拟订全市房屋建筑和市政基础设施工程项目质量、安全生产和竣工验收备案政策并监督实施。</w:t>
      </w:r>
    </w:p>
    <w:p w14:paraId="665EC26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11.拟订全市房屋建筑和市政基础设施工程勘察设计行业相关政策并监督实施。</w:t>
      </w:r>
    </w:p>
    <w:p w14:paraId="73B877F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12.指导全市建筑工程消防设计审查、验收和备案抽查工作。</w:t>
      </w:r>
    </w:p>
    <w:p w14:paraId="5560F851">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13.指导全市贯彻执行建筑节能、绿色建筑和建筑工业化发展政策、规划并监督实施。</w:t>
      </w:r>
    </w:p>
    <w:p w14:paraId="0C3B23C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14.指导全市住建行业人才队伍建设，承担全市住建行业专业技术职称考试、职业资格管理有关工作。开展全市住房城乡建设方面的对外交流与合作。</w:t>
      </w:r>
    </w:p>
    <w:p w14:paraId="50A33F52">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15.负责城建资金使用监督和管理，负责市本级城市基础设施配套费、污水处理费等建设行业行政规费的征收。</w:t>
      </w:r>
    </w:p>
    <w:p w14:paraId="17A6BA2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16.完成市委、市人民政府交办的其他任务。</w:t>
      </w:r>
    </w:p>
    <w:p w14:paraId="4C90989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5" w:firstLineChars="200"/>
        <w:jc w:val="both"/>
        <w:textAlignment w:val="auto"/>
        <w:rPr>
          <w:rFonts w:hint="default" w:ascii="Times New Roman" w:hAnsi="Times New Roman" w:eastAsia="楷体" w:cs="Times New Roman"/>
          <w:b/>
          <w:bCs/>
          <w:color w:val="000000"/>
          <w:spacing w:val="-2"/>
          <w:sz w:val="32"/>
          <w:szCs w:val="32"/>
          <w:highlight w:val="none"/>
          <w:lang w:val="en-US" w:eastAsia="zh-CN"/>
        </w:rPr>
      </w:pPr>
      <w:r>
        <w:rPr>
          <w:rFonts w:hint="default" w:ascii="Times New Roman" w:hAnsi="Times New Roman" w:eastAsia="楷体" w:cs="Times New Roman"/>
          <w:b/>
          <w:bCs/>
          <w:color w:val="000000"/>
          <w:spacing w:val="-2"/>
          <w:sz w:val="32"/>
          <w:szCs w:val="32"/>
          <w:highlight w:val="none"/>
        </w:rPr>
        <w:t>（</w:t>
      </w:r>
      <w:r>
        <w:rPr>
          <w:rFonts w:hint="default" w:ascii="Times New Roman" w:hAnsi="Times New Roman" w:eastAsia="楷体" w:cs="Times New Roman"/>
          <w:b/>
          <w:bCs/>
          <w:color w:val="000000"/>
          <w:spacing w:val="-2"/>
          <w:sz w:val="32"/>
          <w:szCs w:val="32"/>
          <w:highlight w:val="none"/>
          <w:lang w:val="en-US" w:eastAsia="zh-CN"/>
        </w:rPr>
        <w:t>四</w:t>
      </w:r>
      <w:r>
        <w:rPr>
          <w:rFonts w:hint="default" w:ascii="Times New Roman" w:hAnsi="Times New Roman" w:eastAsia="楷体" w:cs="Times New Roman"/>
          <w:b/>
          <w:bCs/>
          <w:color w:val="000000"/>
          <w:spacing w:val="-2"/>
          <w:sz w:val="32"/>
          <w:szCs w:val="32"/>
          <w:highlight w:val="none"/>
        </w:rPr>
        <w:t>）</w:t>
      </w:r>
      <w:r>
        <w:rPr>
          <w:rFonts w:hint="default" w:ascii="Times New Roman" w:hAnsi="Times New Roman" w:eastAsia="楷体" w:cs="Times New Roman"/>
          <w:b/>
          <w:bCs/>
          <w:color w:val="000000"/>
          <w:spacing w:val="-2"/>
          <w:sz w:val="32"/>
          <w:szCs w:val="32"/>
          <w:highlight w:val="none"/>
          <w:lang w:val="en-US" w:eastAsia="zh-CN"/>
        </w:rPr>
        <w:t>绩效目标设定情况</w:t>
      </w:r>
    </w:p>
    <w:p w14:paraId="1830DFF9">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lang w:val="en-US"/>
        </w:rPr>
      </w:pPr>
      <w:r>
        <w:rPr>
          <w:rFonts w:hint="default" w:ascii="Times New Roman" w:hAnsi="Times New Roman" w:eastAsia="仿宋_GB2312" w:cs="Times New Roman"/>
          <w:color w:val="000000"/>
          <w:spacing w:val="-2"/>
          <w:sz w:val="32"/>
          <w:szCs w:val="32"/>
          <w:lang w:val="en-US" w:eastAsia="zh-CN"/>
        </w:rPr>
        <w:t>根据绩效工作要求，已设定2025年部门整体支出绩效目标及项目支出绩效目标。</w:t>
      </w:r>
    </w:p>
    <w:p w14:paraId="0D0F2E28">
      <w:pPr>
        <w:keepNext w:val="0"/>
        <w:keepLines w:val="0"/>
        <w:pageBreakBefore w:val="0"/>
        <w:widowControl w:val="0"/>
        <w:shd w:val="clear" w:color="auto" w:fill="auto"/>
        <w:kinsoku/>
        <w:wordWrap/>
        <w:overflowPunct/>
        <w:topLinePunct/>
        <w:autoSpaceDE/>
        <w:autoSpaceDN/>
        <w:bidi w:val="0"/>
        <w:spacing w:line="600" w:lineRule="exact"/>
        <w:ind w:firstLine="632" w:firstLineChars="200"/>
        <w:jc w:val="both"/>
        <w:textAlignment w:val="auto"/>
        <w:rPr>
          <w:rFonts w:hint="default" w:ascii="Times New Roman" w:hAnsi="Times New Roman" w:eastAsia="黑体" w:cs="Times New Roman"/>
          <w:b w:val="0"/>
          <w:bCs/>
          <w:color w:val="000000"/>
          <w:spacing w:val="-2"/>
          <w:sz w:val="32"/>
          <w:szCs w:val="32"/>
        </w:rPr>
      </w:pPr>
      <w:r>
        <w:rPr>
          <w:rFonts w:hint="default" w:ascii="Times New Roman" w:hAnsi="Times New Roman" w:eastAsia="黑体" w:cs="Times New Roman"/>
          <w:b w:val="0"/>
          <w:bCs/>
          <w:color w:val="000000"/>
          <w:spacing w:val="-2"/>
          <w:sz w:val="32"/>
          <w:szCs w:val="32"/>
        </w:rPr>
        <w:t>二、部门整体支出管理及使用情况</w:t>
      </w:r>
    </w:p>
    <w:p w14:paraId="46E6BD9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3" w:firstLineChars="200"/>
        <w:jc w:val="both"/>
        <w:textAlignment w:val="auto"/>
        <w:rPr>
          <w:rFonts w:hint="default" w:ascii="Times New Roman" w:hAnsi="Times New Roman" w:eastAsia="楷体" w:cs="Times New Roman"/>
          <w:b/>
          <w:bCs/>
          <w:i w:val="0"/>
          <w:caps w:val="0"/>
          <w:color w:val="000000"/>
          <w:spacing w:val="0"/>
          <w:kern w:val="0"/>
          <w:sz w:val="32"/>
          <w:szCs w:val="32"/>
          <w:shd w:val="clear" w:color="auto" w:fill="FFFFFF"/>
          <w:lang w:eastAsia="zh-CN" w:bidi="ar"/>
        </w:rPr>
      </w:pP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（一）预算执行、使用、管理总体情况。</w:t>
      </w:r>
    </w:p>
    <w:p w14:paraId="023004D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0"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2025年年初收入预算数2201.47万元，其中：一般公共预算拨款2201.47万元，政府性基金预算拨款0万元，纳入财政专户管理的非税收入拨款0万元，国有资本经营预算拨款0万元。2025年年初支出预算数2201.47万元，其中：基本支出943.47万元，项目支出1258万元。</w:t>
      </w:r>
    </w:p>
    <w:p w14:paraId="140C239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0"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2025年决算收入数31758.91万元，其中：一般公共预算财政拨款收入3188.04万元，政府性基金预算财政拨款收入28570.87万元。2025年决算支出数31758.91万元，其中：基本支出</w:t>
      </w:r>
      <w:r>
        <w:rPr>
          <w:rFonts w:hint="default" w:ascii="Times New Roman" w:hAnsi="Times New Roman" w:eastAsia="仿宋_GB2312" w:cs="Times New Roman"/>
          <w:color w:val="000000"/>
          <w:spacing w:val="-2"/>
          <w:sz w:val="32"/>
          <w:szCs w:val="32"/>
          <w:lang w:val="en-US" w:eastAsia="zh-CN"/>
        </w:rPr>
        <w:t>923.13</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万元，项目支出</w:t>
      </w:r>
      <w:r>
        <w:rPr>
          <w:rFonts w:hint="default" w:ascii="Times New Roman" w:hAnsi="Times New Roman" w:eastAsia="仿宋_GB2312" w:cs="Times New Roman"/>
          <w:color w:val="000000"/>
          <w:spacing w:val="-2"/>
          <w:sz w:val="32"/>
          <w:szCs w:val="32"/>
          <w:lang w:val="en-US" w:eastAsia="zh-CN"/>
        </w:rPr>
        <w:t>30835.78</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万元。</w:t>
      </w:r>
    </w:p>
    <w:p w14:paraId="00DABF2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二</w:t>
      </w: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部门预算执行</w:t>
      </w: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情况。</w:t>
      </w:r>
    </w:p>
    <w:p w14:paraId="4F88A9C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1.基本支出情况。共支出</w:t>
      </w:r>
      <w:r>
        <w:rPr>
          <w:rFonts w:hint="default" w:ascii="Times New Roman" w:hAnsi="Times New Roman" w:eastAsia="仿宋_GB2312" w:cs="Times New Roman"/>
          <w:color w:val="000000"/>
          <w:spacing w:val="-2"/>
          <w:sz w:val="32"/>
          <w:szCs w:val="32"/>
          <w:lang w:val="en-US" w:eastAsia="zh-CN"/>
        </w:rPr>
        <w:t>923.13</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万元，其中：人员工资福利支出829.25万元，公用经费支出93.88万元。</w:t>
      </w:r>
    </w:p>
    <w:p w14:paraId="3E13D43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2.专项支出情况。共支出</w:t>
      </w:r>
      <w:r>
        <w:rPr>
          <w:rFonts w:hint="default" w:ascii="Times New Roman" w:hAnsi="Times New Roman" w:eastAsia="仿宋_GB2312" w:cs="Times New Roman"/>
          <w:color w:val="000000"/>
          <w:spacing w:val="-2"/>
          <w:sz w:val="32"/>
          <w:szCs w:val="32"/>
          <w:lang w:val="en-US" w:eastAsia="zh-CN"/>
        </w:rPr>
        <w:t>30835.78</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万元，其中：（1）专项业务支出514.78万元，用于专项业务工作开展工作经费；（2）烂尾楼项目盘活奖励金7.16万元；（3）国产电脑更换补贴7.1万元；（4）基建项目支出30306.74万元，用于城市基础设施建设费用。</w:t>
      </w:r>
    </w:p>
    <w:p w14:paraId="206F9ED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楷体" w:cs="Times New Roman"/>
          <w:b/>
          <w:bCs/>
          <w:i w:val="0"/>
          <w:caps w:val="0"/>
          <w:color w:val="000000"/>
          <w:spacing w:val="0"/>
          <w:kern w:val="0"/>
          <w:sz w:val="32"/>
          <w:szCs w:val="32"/>
          <w:shd w:val="clear" w:color="auto" w:fill="FFFFFF"/>
          <w:lang w:eastAsia="zh-CN" w:bidi="ar"/>
        </w:rPr>
      </w:pP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三</w:t>
      </w: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）"三公"经费使用和管理情况</w:t>
      </w:r>
    </w:p>
    <w:p w14:paraId="32E9EF9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“三公经费”指标9.28万元，实际支出49.28万元（其中：公务接待费指标2.88万元，支出0.07万元；公务车辆运行经费指标6.4万元，支出49.21万元，支出超出预算主要原因为2025年采购编制内公务用车2辆；因公出国无。</w:t>
      </w:r>
    </w:p>
    <w:p w14:paraId="41813995">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lang w:val="en-US" w:eastAsia="zh-CN"/>
        </w:rPr>
      </w:pPr>
      <w:r>
        <w:rPr>
          <w:rFonts w:hint="default" w:ascii="Times New Roman" w:hAnsi="Times New Roman" w:eastAsia="黑体" w:cs="Times New Roman"/>
          <w:b w:val="0"/>
          <w:bCs/>
          <w:color w:val="000000"/>
          <w:spacing w:val="-2"/>
          <w:sz w:val="32"/>
          <w:szCs w:val="32"/>
          <w:lang w:val="en-US" w:eastAsia="zh-CN"/>
        </w:rPr>
        <w:t>三</w:t>
      </w:r>
      <w:r>
        <w:rPr>
          <w:rFonts w:hint="default" w:ascii="Times New Roman" w:hAnsi="Times New Roman" w:eastAsia="黑体" w:cs="Times New Roman"/>
          <w:b w:val="0"/>
          <w:bCs/>
          <w:color w:val="000000"/>
          <w:spacing w:val="-2"/>
          <w:sz w:val="32"/>
          <w:szCs w:val="32"/>
          <w:lang w:eastAsia="zh-CN"/>
        </w:rPr>
        <w:t>、</w:t>
      </w:r>
      <w:r>
        <w:rPr>
          <w:rFonts w:hint="default" w:ascii="Times New Roman" w:hAnsi="Times New Roman" w:eastAsia="黑体" w:cs="Times New Roman"/>
          <w:b w:val="0"/>
          <w:bCs/>
          <w:color w:val="000000"/>
          <w:spacing w:val="-2"/>
          <w:sz w:val="32"/>
          <w:szCs w:val="32"/>
          <w:lang w:val="en-US" w:eastAsia="zh-CN"/>
        </w:rPr>
        <w:t>政府性基金预算支出情况</w:t>
      </w:r>
    </w:p>
    <w:p w14:paraId="51B0471F">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政府性基金支出共</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28570.87万元,其中：1.基建项目支出28348.31万元，用于城市基础设施建设费用；2.专项业务支出222.55万元，用于专项业务工作开展工作经费.</w:t>
      </w:r>
    </w:p>
    <w:p w14:paraId="79D3DEF6">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rPr>
      </w:pPr>
      <w:r>
        <w:rPr>
          <w:rFonts w:hint="default" w:ascii="Times New Roman" w:hAnsi="Times New Roman" w:eastAsia="黑体" w:cs="Times New Roman"/>
          <w:b w:val="0"/>
          <w:bCs/>
          <w:color w:val="000000"/>
          <w:spacing w:val="-2"/>
          <w:sz w:val="32"/>
          <w:szCs w:val="32"/>
          <w:lang w:val="en-US" w:eastAsia="zh-CN"/>
        </w:rPr>
        <w:t>四</w:t>
      </w:r>
      <w:r>
        <w:rPr>
          <w:rFonts w:hint="default" w:ascii="Times New Roman" w:hAnsi="Times New Roman" w:eastAsia="黑体" w:cs="Times New Roman"/>
          <w:b w:val="0"/>
          <w:bCs/>
          <w:color w:val="000000"/>
          <w:spacing w:val="-2"/>
          <w:sz w:val="32"/>
          <w:szCs w:val="32"/>
        </w:rPr>
        <w:t>、</w:t>
      </w:r>
      <w:r>
        <w:rPr>
          <w:rFonts w:hint="default" w:ascii="Times New Roman" w:hAnsi="Times New Roman" w:eastAsia="黑体" w:cs="Times New Roman"/>
          <w:b w:val="0"/>
          <w:bCs/>
          <w:color w:val="000000"/>
          <w:spacing w:val="-2"/>
          <w:sz w:val="32"/>
          <w:szCs w:val="32"/>
          <w:lang w:val="en-US" w:eastAsia="zh-CN"/>
        </w:rPr>
        <w:t>国有资本经营预算支出</w:t>
      </w:r>
      <w:r>
        <w:rPr>
          <w:rFonts w:hint="default" w:ascii="Times New Roman" w:hAnsi="Times New Roman" w:eastAsia="黑体" w:cs="Times New Roman"/>
          <w:b w:val="0"/>
          <w:bCs/>
          <w:color w:val="000000"/>
          <w:spacing w:val="-2"/>
          <w:sz w:val="32"/>
          <w:szCs w:val="32"/>
        </w:rPr>
        <w:t>情况</w:t>
      </w:r>
    </w:p>
    <w:p w14:paraId="1CABEA90">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b/>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无。</w:t>
      </w:r>
    </w:p>
    <w:p w14:paraId="72C8F87E">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rPr>
      </w:pPr>
      <w:r>
        <w:rPr>
          <w:rFonts w:hint="eastAsia" w:ascii="Times New Roman" w:hAnsi="Times New Roman" w:eastAsia="黑体" w:cs="Times New Roman"/>
          <w:b w:val="0"/>
          <w:bCs/>
          <w:color w:val="000000"/>
          <w:spacing w:val="-2"/>
          <w:sz w:val="32"/>
          <w:szCs w:val="32"/>
          <w:lang w:val="en-US" w:eastAsia="zh-CN"/>
        </w:rPr>
        <w:t>五、</w:t>
      </w:r>
      <w:r>
        <w:rPr>
          <w:rFonts w:hint="default" w:ascii="Times New Roman" w:hAnsi="Times New Roman" w:eastAsia="黑体" w:cs="Times New Roman"/>
          <w:b w:val="0"/>
          <w:bCs/>
          <w:color w:val="000000"/>
          <w:spacing w:val="-2"/>
          <w:sz w:val="32"/>
          <w:szCs w:val="32"/>
          <w:lang w:val="en-US" w:eastAsia="zh-CN"/>
        </w:rPr>
        <w:t>社会保险基金预算支出</w:t>
      </w:r>
      <w:r>
        <w:rPr>
          <w:rFonts w:hint="default" w:ascii="Times New Roman" w:hAnsi="Times New Roman" w:eastAsia="黑体" w:cs="Times New Roman"/>
          <w:b w:val="0"/>
          <w:bCs/>
          <w:color w:val="000000"/>
          <w:spacing w:val="-2"/>
          <w:sz w:val="32"/>
          <w:szCs w:val="32"/>
        </w:rPr>
        <w:t>情况</w:t>
      </w:r>
    </w:p>
    <w:p w14:paraId="0F8AA10F">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b/>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无。</w:t>
      </w:r>
    </w:p>
    <w:p w14:paraId="7298C197">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rPr>
      </w:pPr>
      <w:r>
        <w:rPr>
          <w:rFonts w:hint="default" w:ascii="Times New Roman" w:hAnsi="Times New Roman" w:eastAsia="黑体" w:cs="Times New Roman"/>
          <w:b w:val="0"/>
          <w:bCs/>
          <w:color w:val="000000"/>
          <w:spacing w:val="-2"/>
          <w:sz w:val="32"/>
          <w:szCs w:val="32"/>
          <w:lang w:val="en-US" w:eastAsia="zh-CN"/>
        </w:rPr>
        <w:t>六</w:t>
      </w:r>
      <w:r>
        <w:rPr>
          <w:rFonts w:hint="default" w:ascii="Times New Roman" w:hAnsi="Times New Roman" w:eastAsia="黑体" w:cs="Times New Roman"/>
          <w:b w:val="0"/>
          <w:bCs/>
          <w:color w:val="000000"/>
          <w:spacing w:val="-2"/>
          <w:sz w:val="32"/>
          <w:szCs w:val="32"/>
        </w:rPr>
        <w:t>、部门整体支出绩效情况</w:t>
      </w:r>
    </w:p>
    <w:p w14:paraId="6DC0AE82">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43" w:firstLineChars="200"/>
        <w:jc w:val="both"/>
        <w:textAlignment w:val="auto"/>
        <w:rPr>
          <w:rFonts w:hint="default" w:ascii="Times New Roman" w:hAnsi="Times New Roman" w:eastAsia="仿宋" w:cs="Times New Roman"/>
          <w:color w:val="000000"/>
          <w:spacing w:val="-2"/>
          <w:sz w:val="32"/>
          <w:szCs w:val="32"/>
          <w:lang w:val="en-US"/>
        </w:rPr>
      </w:pP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一</w:t>
      </w: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综合评价结论</w:t>
      </w:r>
    </w:p>
    <w:p w14:paraId="173C59B5">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我单位积极组织实施了</w:t>
      </w:r>
      <w:r>
        <w:rPr>
          <w:rFonts w:hint="default" w:ascii="Times New Roman" w:hAnsi="Times New Roman" w:eastAsia="仿宋_GB2312" w:cs="Times New Roman"/>
          <w:color w:val="000000"/>
          <w:spacing w:val="-2"/>
          <w:sz w:val="32"/>
          <w:szCs w:val="32"/>
          <w:lang w:eastAsia="zh-CN"/>
        </w:rPr>
        <w:t>202</w:t>
      </w:r>
      <w:r>
        <w:rPr>
          <w:rFonts w:hint="default" w:ascii="Times New Roman" w:hAnsi="Times New Roman" w:eastAsia="仿宋_GB2312" w:cs="Times New Roman"/>
          <w:color w:val="000000"/>
          <w:spacing w:val="-2"/>
          <w:sz w:val="32"/>
          <w:szCs w:val="32"/>
          <w:lang w:val="en-US" w:eastAsia="zh-CN"/>
        </w:rPr>
        <w:t>5</w:t>
      </w:r>
      <w:r>
        <w:rPr>
          <w:rFonts w:hint="default" w:ascii="Times New Roman" w:hAnsi="Times New Roman" w:eastAsia="仿宋_GB2312" w:cs="Times New Roman"/>
          <w:color w:val="000000"/>
          <w:spacing w:val="-2"/>
          <w:sz w:val="32"/>
          <w:szCs w:val="32"/>
        </w:rPr>
        <w:t>年度专项资金管理，建立了专项资金和项目管理制度，规范了实施程序，较好的完成了</w:t>
      </w:r>
      <w:r>
        <w:rPr>
          <w:rFonts w:hint="default" w:ascii="Times New Roman" w:hAnsi="Times New Roman" w:eastAsia="仿宋_GB2312" w:cs="Times New Roman"/>
          <w:color w:val="000000"/>
          <w:spacing w:val="-2"/>
          <w:sz w:val="32"/>
          <w:szCs w:val="32"/>
          <w:lang w:eastAsia="zh-CN"/>
        </w:rPr>
        <w:t>202</w:t>
      </w:r>
      <w:r>
        <w:rPr>
          <w:rFonts w:hint="default" w:ascii="Times New Roman" w:hAnsi="Times New Roman" w:eastAsia="仿宋_GB2312" w:cs="Times New Roman"/>
          <w:color w:val="000000"/>
          <w:spacing w:val="-2"/>
          <w:sz w:val="32"/>
          <w:szCs w:val="32"/>
          <w:lang w:val="en-US" w:eastAsia="zh-CN"/>
        </w:rPr>
        <w:t>5</w:t>
      </w:r>
      <w:r>
        <w:rPr>
          <w:rFonts w:hint="default" w:ascii="Times New Roman" w:hAnsi="Times New Roman" w:eastAsia="仿宋_GB2312" w:cs="Times New Roman"/>
          <w:color w:val="000000"/>
          <w:spacing w:val="-2"/>
          <w:sz w:val="32"/>
          <w:szCs w:val="32"/>
        </w:rPr>
        <w:t>年度工作目标，根据《部门整体支出绩效评价指标表》，</w:t>
      </w:r>
      <w:r>
        <w:rPr>
          <w:rFonts w:hint="default" w:ascii="Times New Roman" w:hAnsi="Times New Roman" w:eastAsia="仿宋_GB2312" w:cs="Times New Roman"/>
          <w:color w:val="000000"/>
          <w:spacing w:val="-2"/>
          <w:sz w:val="32"/>
          <w:szCs w:val="32"/>
          <w:lang w:eastAsia="zh-CN"/>
        </w:rPr>
        <w:t>202</w:t>
      </w:r>
      <w:r>
        <w:rPr>
          <w:rFonts w:hint="default" w:ascii="Times New Roman" w:hAnsi="Times New Roman" w:eastAsia="仿宋_GB2312" w:cs="Times New Roman"/>
          <w:color w:val="000000"/>
          <w:spacing w:val="-2"/>
          <w:sz w:val="32"/>
          <w:szCs w:val="32"/>
          <w:lang w:val="en-US" w:eastAsia="zh-CN"/>
        </w:rPr>
        <w:t>5</w:t>
      </w:r>
      <w:r>
        <w:rPr>
          <w:rFonts w:hint="default" w:ascii="Times New Roman" w:hAnsi="Times New Roman" w:eastAsia="仿宋_GB2312" w:cs="Times New Roman"/>
          <w:color w:val="000000"/>
          <w:spacing w:val="-2"/>
          <w:sz w:val="32"/>
          <w:szCs w:val="32"/>
        </w:rPr>
        <w:t>年度部门整体绩效自评综合</w:t>
      </w:r>
      <w:r>
        <w:rPr>
          <w:rFonts w:hint="default" w:ascii="Times New Roman" w:hAnsi="Times New Roman" w:eastAsia="仿宋_GB2312" w:cs="Times New Roman"/>
          <w:color w:val="000000"/>
          <w:spacing w:val="-2"/>
          <w:sz w:val="32"/>
          <w:szCs w:val="32"/>
          <w:highlight w:val="none"/>
        </w:rPr>
        <w:t>评分为</w:t>
      </w:r>
      <w:r>
        <w:rPr>
          <w:rFonts w:hint="default" w:ascii="Times New Roman" w:hAnsi="Times New Roman" w:eastAsia="仿宋_GB2312" w:cs="Times New Roman"/>
          <w:color w:val="000000"/>
          <w:spacing w:val="-2"/>
          <w:sz w:val="32"/>
          <w:szCs w:val="32"/>
          <w:highlight w:val="none"/>
          <w:lang w:val="en-US" w:eastAsia="zh-CN"/>
        </w:rPr>
        <w:t>95.83</w:t>
      </w:r>
      <w:r>
        <w:rPr>
          <w:rFonts w:hint="default" w:ascii="Times New Roman" w:hAnsi="Times New Roman" w:eastAsia="仿宋_GB2312" w:cs="Times New Roman"/>
          <w:color w:val="000000"/>
          <w:spacing w:val="-2"/>
          <w:sz w:val="32"/>
          <w:szCs w:val="32"/>
          <w:highlight w:val="none"/>
        </w:rPr>
        <w:t>分，</w:t>
      </w:r>
      <w:r>
        <w:rPr>
          <w:rFonts w:hint="default" w:ascii="Times New Roman" w:hAnsi="Times New Roman" w:eastAsia="仿宋_GB2312" w:cs="Times New Roman"/>
          <w:color w:val="000000"/>
          <w:spacing w:val="-2"/>
          <w:sz w:val="32"/>
          <w:szCs w:val="32"/>
        </w:rPr>
        <w:t>评价等级为“优”。</w:t>
      </w:r>
    </w:p>
    <w:p w14:paraId="73AF25F9">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我单位根据往年资金使用情况及本年使用计划编制预算，按照财务制度规定安排支出，严格控制“三公经费”。积极推动项目实施，加快预算执行进度。加强绩效管理，切实履行主体责任，注重绩效结果运用，提高财政资金使用效益。进一步加强全年工作计划及预算精准度。</w:t>
      </w:r>
    </w:p>
    <w:p w14:paraId="6178BF38">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43" w:firstLineChars="200"/>
        <w:jc w:val="both"/>
        <w:textAlignment w:val="auto"/>
        <w:rPr>
          <w:rFonts w:hint="default" w:ascii="Times New Roman" w:hAnsi="Times New Roman" w:eastAsia="仿宋" w:cs="Times New Roman"/>
          <w:color w:val="000000"/>
          <w:spacing w:val="-2"/>
          <w:sz w:val="32"/>
          <w:szCs w:val="32"/>
          <w:lang w:val="en-US"/>
        </w:rPr>
      </w:pP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二</w:t>
      </w:r>
      <w:r>
        <w:rPr>
          <w:rFonts w:hint="default" w:ascii="Times New Roman" w:hAnsi="Times New Roman" w:eastAsia="楷体" w:cs="Times New Roman"/>
          <w:b/>
          <w:bCs/>
          <w:i w:val="0"/>
          <w:caps w:val="0"/>
          <w:color w:val="000000"/>
          <w:spacing w:val="0"/>
          <w:kern w:val="0"/>
          <w:sz w:val="32"/>
          <w:szCs w:val="32"/>
          <w:shd w:val="clear" w:color="auto" w:fill="FFFFFF"/>
          <w:lang w:eastAsia="zh-CN" w:bidi="ar"/>
        </w:rPr>
        <w:t>）</w:t>
      </w:r>
      <w:r>
        <w:rPr>
          <w:rFonts w:hint="default" w:ascii="Times New Roman" w:hAnsi="Times New Roman" w:eastAsia="楷体" w:cs="Times New Roman"/>
          <w:b/>
          <w:bCs/>
          <w:i w:val="0"/>
          <w:caps w:val="0"/>
          <w:color w:val="000000"/>
          <w:spacing w:val="0"/>
          <w:kern w:val="0"/>
          <w:sz w:val="32"/>
          <w:szCs w:val="32"/>
          <w:shd w:val="clear" w:color="auto" w:fill="FFFFFF"/>
          <w:lang w:val="en-US" w:eastAsia="zh-CN" w:bidi="ar"/>
        </w:rPr>
        <w:t>综合评价情况</w:t>
      </w:r>
    </w:p>
    <w:p w14:paraId="2B612E6B">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1、坚决扛牢“保交楼”“保交房”政治责任。面对房地产市场下行压力，将“保交楼”“保交房”作为首要民生工程全力推进。全市95个“保交楼”项目、40个“保交房”项目已全部交付，交付率达100%。稳妥化解恒大项目风险，创新实施精装修货币补偿方案，全面完成恒大精装修补偿兑付4409户，金额4.25亿元。全市11个房屋市政工程获评2025年度湖南省芙蓉优质工程。持续攻坚历史遗留问题，市城区已有208个处遗项目进入办证程序，累计办理产权证9.7万余本，其中，今年新增办证12299本，领证8860本。</w:t>
      </w:r>
    </w:p>
    <w:p w14:paraId="09E7CC8F">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2、持续深化生态环境治理。以太平溪流域治理为重点，专班推进“撇清”“截污”工程。流域水环境持续改善，太平溪从2025年10月开始连续3个月无劣Ⅴ类水质断面，太平溪最终以Ⅴ类水质汇入舞水。</w:t>
      </w:r>
      <w:r>
        <w:rPr>
          <w:rFonts w:hint="default" w:ascii="Times New Roman" w:hAnsi="Times New Roman" w:eastAsia="仿宋_GB2312" w:cs="Times New Roman"/>
          <w:color w:val="000000"/>
          <w:spacing w:val="-2"/>
          <w:sz w:val="32"/>
          <w:szCs w:val="32"/>
          <w:lang w:eastAsia="zh-CN"/>
        </w:rPr>
        <w:t>太平溪溢流量大幅减少，已由2024年</w:t>
      </w:r>
      <w:r>
        <w:rPr>
          <w:rFonts w:hint="default" w:ascii="Times New Roman" w:hAnsi="Times New Roman" w:eastAsia="仿宋_GB2312" w:cs="Times New Roman"/>
          <w:color w:val="000000"/>
          <w:spacing w:val="-2"/>
          <w:sz w:val="32"/>
          <w:szCs w:val="32"/>
          <w:lang w:val="en-US" w:eastAsia="zh-CN"/>
        </w:rPr>
        <w:t>5月的</w:t>
      </w:r>
      <w:r>
        <w:rPr>
          <w:rFonts w:hint="default" w:ascii="Times New Roman" w:hAnsi="Times New Roman" w:eastAsia="仿宋_GB2312" w:cs="Times New Roman"/>
          <w:color w:val="000000"/>
          <w:spacing w:val="-2"/>
          <w:sz w:val="32"/>
          <w:szCs w:val="32"/>
          <w:lang w:eastAsia="zh-CN"/>
        </w:rPr>
        <w:t>5.8万吨/天减至</w:t>
      </w:r>
      <w:r>
        <w:rPr>
          <w:rFonts w:hint="default" w:ascii="Times New Roman" w:hAnsi="Times New Roman" w:eastAsia="仿宋_GB2312" w:cs="Times New Roman"/>
          <w:color w:val="000000"/>
          <w:spacing w:val="-2"/>
          <w:sz w:val="32"/>
          <w:szCs w:val="32"/>
          <w:lang w:val="en-US" w:eastAsia="zh-CN"/>
        </w:rPr>
        <w:t>2025年12月</w:t>
      </w:r>
      <w:r>
        <w:rPr>
          <w:rFonts w:hint="default" w:ascii="Times New Roman" w:hAnsi="Times New Roman" w:eastAsia="仿宋_GB2312" w:cs="Times New Roman"/>
          <w:color w:val="000000"/>
          <w:spacing w:val="-2"/>
          <w:sz w:val="32"/>
          <w:szCs w:val="32"/>
          <w:lang w:eastAsia="zh-CN"/>
        </w:rPr>
        <w:t>的</w:t>
      </w:r>
      <w:r>
        <w:rPr>
          <w:rFonts w:hint="default" w:ascii="Times New Roman" w:hAnsi="Times New Roman" w:eastAsia="仿宋_GB2312" w:cs="Times New Roman"/>
          <w:color w:val="000000"/>
          <w:spacing w:val="-2"/>
          <w:sz w:val="32"/>
          <w:szCs w:val="32"/>
          <w:lang w:val="en-US" w:eastAsia="zh-CN"/>
        </w:rPr>
        <w:t>0.3万</w:t>
      </w:r>
      <w:r>
        <w:rPr>
          <w:rFonts w:hint="default" w:ascii="Times New Roman" w:hAnsi="Times New Roman" w:eastAsia="仿宋_GB2312" w:cs="Times New Roman"/>
          <w:color w:val="000000"/>
          <w:spacing w:val="-2"/>
          <w:sz w:val="32"/>
          <w:szCs w:val="32"/>
          <w:lang w:eastAsia="zh-CN"/>
        </w:rPr>
        <w:t>吨/天。</w:t>
      </w:r>
      <w:r>
        <w:rPr>
          <w:rFonts w:hint="default" w:ascii="Times New Roman" w:hAnsi="Times New Roman" w:eastAsia="仿宋_GB2312" w:cs="Times New Roman"/>
          <w:color w:val="000000"/>
          <w:spacing w:val="-2"/>
          <w:sz w:val="32"/>
          <w:szCs w:val="32"/>
          <w:lang w:val="en-US" w:eastAsia="zh-CN"/>
        </w:rPr>
        <w:t>全市49个国省控断面水质年均值全部达标。生态文明创建成果显著，成功获评国家“绿水青山就是金山银山”实践创新基地1个、国家级生态文明建设示范区5个，率先实现省级生态文明建设示范区全覆盖。茅谷冲溪黑臭水体完成整治销号。</w:t>
      </w:r>
    </w:p>
    <w:p w14:paraId="692B094A">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3、前瞻谋划城市发展项目。紧扣政策导向，超前谋划城东片区雨污分流管网改扩建等3个地下管网重点项目，估算总投资5.31亿元，积极争取超长期特别国债支持。同步启动城市体检与城市更新专项规划编制，为“十五五”城市高质量发展夯实项目基础。</w:t>
      </w:r>
    </w:p>
    <w:p w14:paraId="1E3834DA">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b w:val="0"/>
          <w:bCs w:val="0"/>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color w:val="000000"/>
          <w:spacing w:val="-2"/>
          <w:sz w:val="32"/>
          <w:szCs w:val="32"/>
          <w:lang w:val="en-US" w:eastAsia="zh-CN"/>
        </w:rPr>
        <w:t>4、保障全省旅发大会顺利举办。成立工作专班，全面推行“731”工作法，细化任务、倒排工期、挂图作战，形成闭环管理机制。班子成员一线调度，分管领导现场办公，及时破解项目难题。累计完成主会场、游客集散中心及沿线风貌改造等25个核心项目的质量安全监督与消防验收，靠前服务、加强指导，召开调度会28次，确保所有项目零事故，实现质量、安全、进度全面受控。通过提前开展消防技术咨询，高效完成验收指导，为大会筑牢消防安全与建设保障</w:t>
      </w:r>
      <w:r>
        <w:rPr>
          <w:rFonts w:hint="default" w:ascii="Times New Roman" w:hAnsi="Times New Roman" w:eastAsia="仿宋_GB2312" w:cs="Times New Roman"/>
          <w:color w:val="000000"/>
          <w:spacing w:val="-6"/>
          <w:sz w:val="36"/>
          <w:szCs w:val="36"/>
          <w:lang w:val="en-US" w:eastAsia="zh-CN"/>
        </w:rPr>
        <w:t>。</w:t>
      </w:r>
    </w:p>
    <w:p w14:paraId="7A5CCEC3">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lang w:val="en-US" w:eastAsia="zh-CN"/>
        </w:rPr>
      </w:pPr>
      <w:r>
        <w:rPr>
          <w:rFonts w:hint="default" w:ascii="Times New Roman" w:hAnsi="Times New Roman" w:eastAsia="黑体" w:cs="Times New Roman"/>
          <w:b w:val="0"/>
          <w:bCs/>
          <w:color w:val="000000"/>
          <w:spacing w:val="-2"/>
          <w:sz w:val="32"/>
          <w:szCs w:val="32"/>
          <w:lang w:val="en-US" w:eastAsia="zh-CN"/>
        </w:rPr>
        <w:t>七</w:t>
      </w:r>
      <w:r>
        <w:rPr>
          <w:rFonts w:hint="default" w:ascii="Times New Roman" w:hAnsi="Times New Roman" w:eastAsia="黑体" w:cs="Times New Roman"/>
          <w:b w:val="0"/>
          <w:bCs/>
          <w:color w:val="000000"/>
          <w:spacing w:val="-2"/>
          <w:sz w:val="32"/>
          <w:szCs w:val="32"/>
        </w:rPr>
        <w:t>、存在的问题</w:t>
      </w:r>
      <w:r>
        <w:rPr>
          <w:rFonts w:hint="default" w:ascii="Times New Roman" w:hAnsi="Times New Roman" w:eastAsia="黑体" w:cs="Times New Roman"/>
          <w:b w:val="0"/>
          <w:bCs/>
          <w:color w:val="000000"/>
          <w:spacing w:val="-2"/>
          <w:sz w:val="32"/>
          <w:szCs w:val="32"/>
          <w:lang w:val="en-US" w:eastAsia="zh-CN"/>
        </w:rPr>
        <w:t>及原因分析</w:t>
      </w:r>
    </w:p>
    <w:p w14:paraId="5DB865F8">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 w:cs="Times New Roman"/>
          <w:color w:val="000000"/>
          <w:spacing w:val="-2"/>
          <w:sz w:val="32"/>
          <w:szCs w:val="32"/>
        </w:rPr>
      </w:pPr>
      <w:r>
        <w:rPr>
          <w:rFonts w:hint="default" w:ascii="Times New Roman" w:hAnsi="Times New Roman" w:eastAsia="仿宋" w:cs="Times New Roman"/>
          <w:color w:val="000000"/>
          <w:spacing w:val="-2"/>
          <w:sz w:val="32"/>
          <w:szCs w:val="32"/>
        </w:rPr>
        <w:t>（一）全年预算工作有待完善及精准；</w:t>
      </w:r>
    </w:p>
    <w:p w14:paraId="58FCD628">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 w:cs="Times New Roman"/>
          <w:color w:val="000000"/>
          <w:spacing w:val="-2"/>
          <w:sz w:val="32"/>
          <w:szCs w:val="32"/>
        </w:rPr>
      </w:pPr>
      <w:r>
        <w:rPr>
          <w:rFonts w:hint="default" w:ascii="Times New Roman" w:hAnsi="Times New Roman" w:eastAsia="仿宋" w:cs="Times New Roman"/>
          <w:color w:val="000000"/>
          <w:spacing w:val="-2"/>
          <w:sz w:val="32"/>
          <w:szCs w:val="32"/>
        </w:rPr>
        <w:t>（二）需进一步加强预算管理，在预算内开展全年工作；</w:t>
      </w:r>
    </w:p>
    <w:p w14:paraId="31DAD993">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（三）公用经费缺口较大，机关正常运转仅依靠城市基础设施配套费征收成本返还经费。</w:t>
      </w:r>
    </w:p>
    <w:p w14:paraId="783FB9E9">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lang w:val="en-US" w:eastAsia="zh-CN"/>
        </w:rPr>
      </w:pPr>
      <w:r>
        <w:rPr>
          <w:rFonts w:hint="default" w:ascii="Times New Roman" w:hAnsi="Times New Roman" w:eastAsia="黑体" w:cs="Times New Roman"/>
          <w:b w:val="0"/>
          <w:bCs/>
          <w:color w:val="000000"/>
          <w:spacing w:val="-2"/>
          <w:sz w:val="32"/>
          <w:szCs w:val="32"/>
          <w:lang w:val="en-US" w:eastAsia="zh-CN"/>
        </w:rPr>
        <w:t>八</w:t>
      </w:r>
      <w:r>
        <w:rPr>
          <w:rFonts w:hint="default" w:ascii="Times New Roman" w:hAnsi="Times New Roman" w:eastAsia="黑体" w:cs="Times New Roman"/>
          <w:b w:val="0"/>
          <w:bCs/>
          <w:color w:val="000000"/>
          <w:spacing w:val="-2"/>
          <w:sz w:val="32"/>
          <w:szCs w:val="32"/>
        </w:rPr>
        <w:t>、</w:t>
      </w:r>
      <w:r>
        <w:rPr>
          <w:rFonts w:hint="default" w:ascii="Times New Roman" w:hAnsi="Times New Roman" w:eastAsia="黑体" w:cs="Times New Roman"/>
          <w:b w:val="0"/>
          <w:bCs/>
          <w:color w:val="000000"/>
          <w:spacing w:val="-2"/>
          <w:sz w:val="32"/>
          <w:szCs w:val="32"/>
          <w:lang w:val="en-US" w:eastAsia="zh-CN"/>
        </w:rPr>
        <w:t>下一步改进措施</w:t>
      </w:r>
    </w:p>
    <w:p w14:paraId="15E1CDCC">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 w:cs="Times New Roman"/>
          <w:color w:val="000000"/>
          <w:spacing w:val="-2"/>
          <w:sz w:val="32"/>
          <w:szCs w:val="32"/>
        </w:rPr>
      </w:pPr>
      <w:r>
        <w:rPr>
          <w:rFonts w:hint="default" w:ascii="Times New Roman" w:hAnsi="Times New Roman" w:eastAsia="仿宋" w:cs="Times New Roman"/>
          <w:color w:val="000000"/>
          <w:spacing w:val="-2"/>
          <w:sz w:val="32"/>
          <w:szCs w:val="32"/>
        </w:rPr>
        <w:t>（一）进一步加强全年工作预算精准度，严格预算执行，完善内部控制，加强财务管理，贯彻落实政府过紧日子要求，提高资金使用效益。</w:t>
      </w:r>
    </w:p>
    <w:p w14:paraId="499AA958">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（二）建议对专项工作经费予以纳入财政年初预算保障，确保专项工作顺利运转。</w:t>
      </w:r>
    </w:p>
    <w:p w14:paraId="02363AF8">
      <w:pPr>
        <w:keepNext w:val="0"/>
        <w:keepLines w:val="0"/>
        <w:pageBreakBefore w:val="0"/>
        <w:widowControl w:val="0"/>
        <w:shd w:val="clear" w:color="auto" w:fill="auto"/>
        <w:kinsoku/>
        <w:wordWrap/>
        <w:overflowPunct/>
        <w:topLinePunct/>
        <w:autoSpaceDE/>
        <w:autoSpaceDN/>
        <w:bidi w:val="0"/>
        <w:spacing w:line="560" w:lineRule="exact"/>
        <w:ind w:firstLine="632" w:firstLineChars="200"/>
        <w:jc w:val="both"/>
        <w:textAlignment w:val="auto"/>
        <w:rPr>
          <w:rFonts w:hint="default" w:ascii="Times New Roman" w:hAnsi="Times New Roman" w:eastAsia="黑体" w:cs="Times New Roman"/>
          <w:b w:val="0"/>
          <w:bCs/>
          <w:color w:val="000000"/>
          <w:spacing w:val="-2"/>
          <w:sz w:val="32"/>
          <w:szCs w:val="32"/>
          <w:lang w:val="en-US" w:eastAsia="zh-CN"/>
        </w:rPr>
      </w:pPr>
      <w:r>
        <w:rPr>
          <w:rFonts w:hint="default" w:ascii="Times New Roman" w:hAnsi="Times New Roman" w:eastAsia="黑体" w:cs="Times New Roman"/>
          <w:b w:val="0"/>
          <w:bCs/>
          <w:color w:val="000000"/>
          <w:spacing w:val="-2"/>
          <w:sz w:val="32"/>
          <w:szCs w:val="32"/>
          <w:lang w:val="en-US" w:eastAsia="zh-CN"/>
        </w:rPr>
        <w:t>九</w:t>
      </w:r>
      <w:r>
        <w:rPr>
          <w:rFonts w:hint="default" w:ascii="Times New Roman" w:hAnsi="Times New Roman" w:eastAsia="黑体" w:cs="Times New Roman"/>
          <w:b w:val="0"/>
          <w:bCs/>
          <w:color w:val="000000"/>
          <w:spacing w:val="-2"/>
          <w:sz w:val="32"/>
          <w:szCs w:val="32"/>
        </w:rPr>
        <w:t>、</w:t>
      </w:r>
      <w:r>
        <w:rPr>
          <w:rFonts w:hint="default" w:ascii="Times New Roman" w:hAnsi="Times New Roman" w:eastAsia="黑体" w:cs="Times New Roman"/>
          <w:b w:val="0"/>
          <w:bCs/>
          <w:color w:val="000000"/>
          <w:spacing w:val="-2"/>
          <w:sz w:val="32"/>
          <w:szCs w:val="32"/>
          <w:lang w:val="en-US" w:eastAsia="zh-CN"/>
        </w:rPr>
        <w:t>其他需要说明的情况</w:t>
      </w:r>
    </w:p>
    <w:p w14:paraId="4E1C1E95">
      <w:pPr>
        <w:keepNext w:val="0"/>
        <w:keepLines w:val="0"/>
        <w:pageBreakBefore w:val="0"/>
        <w:widowControl w:val="0"/>
        <w:shd w:val="clear" w:color="auto" w:fill="auto"/>
        <w:kinsoku/>
        <w:wordWrap/>
        <w:overflowPunct/>
        <w:topLinePunct/>
        <w:autoSpaceDE/>
        <w:autoSpaceDN/>
        <w:bidi w:val="0"/>
        <w:adjustRightInd w:val="0"/>
        <w:snapToGrid w:val="0"/>
        <w:spacing w:line="560" w:lineRule="exact"/>
        <w:ind w:firstLine="632" w:firstLineChars="200"/>
        <w:jc w:val="both"/>
        <w:textAlignment w:val="auto"/>
        <w:rPr>
          <w:rFonts w:hint="default" w:ascii="Times New Roman" w:hAnsi="Times New Roman" w:eastAsia="仿宋" w:cs="Times New Roman"/>
          <w:color w:val="000000"/>
          <w:spacing w:val="-2"/>
          <w:sz w:val="32"/>
          <w:szCs w:val="32"/>
          <w:lang w:val="en-US" w:eastAsia="zh-CN"/>
        </w:rPr>
      </w:pPr>
      <w:r>
        <w:rPr>
          <w:rFonts w:hint="default" w:ascii="Times New Roman" w:hAnsi="Times New Roman" w:eastAsia="仿宋" w:cs="Times New Roman"/>
          <w:color w:val="000000"/>
          <w:spacing w:val="-2"/>
          <w:sz w:val="32"/>
          <w:szCs w:val="32"/>
          <w:lang w:val="en-US" w:eastAsia="zh-CN"/>
        </w:rPr>
        <w:t>无。</w:t>
      </w:r>
    </w:p>
    <w:p w14:paraId="36239E2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9A95B"/>
    <w:multiLevelType w:val="singleLevel"/>
    <w:tmpl w:val="FED9A95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0026B5"/>
    <w:rsid w:val="3D002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2026-09-16T01:14:00Z</dcterms:created>
  <dc:creator>卡戎</dc:creator>
  <cp:lastModifiedBy>卡戎</cp:lastModifiedBy>
  <dcterms:modified xsi:type="dcterms:W3CDTF">2026-09-16T01:15:36Z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B9D7968BDF044B9FB7E026BB0988BF7C_11</vt:lpwstr>
  </property>
  <property fmtid="{D5CDD505-2E9C-101B-9397-08002B2CF9AE}" pid="4" name="KSOTemplateDocerSaveRecord">
    <vt:lpwstr>eyJoZGlkIjoiY2VlMTgzMWEwZWExMTFiYmNjODYxYzlkNThkYzVlYWUiLCJ1c2VySWQiOiIyODIyMDY3NzYifQ==</vt:lpwstr>
  </property>
</Properties>
</file>