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33B9D7">
      <w:pPr>
        <w:pStyle w:val="14"/>
        <w:jc w:val="center"/>
        <w:rPr>
          <w:rFonts w:ascii="Times New Roman" w:hAnsi="Times New Roman" w:cs="Times New Roman"/>
          <w:sz w:val="56"/>
          <w:szCs w:val="56"/>
        </w:rPr>
      </w:pPr>
      <w:bookmarkStart w:id="0" w:name="_GoBack"/>
      <w:bookmarkEnd w:id="0"/>
    </w:p>
    <w:p w14:paraId="427A04A9">
      <w:pPr>
        <w:pStyle w:val="14"/>
        <w:jc w:val="center"/>
        <w:rPr>
          <w:rFonts w:ascii="Times New Roman" w:hAnsi="Times New Roman" w:cs="Times New Roman"/>
          <w:sz w:val="84"/>
          <w:szCs w:val="84"/>
        </w:rPr>
      </w:pPr>
    </w:p>
    <w:p w14:paraId="66DF66F6">
      <w:pPr>
        <w:pStyle w:val="14"/>
        <w:jc w:val="center"/>
        <w:rPr>
          <w:rFonts w:ascii="Times New Roman" w:hAnsi="Times New Roman" w:cs="Times New Roman"/>
          <w:sz w:val="84"/>
          <w:szCs w:val="84"/>
        </w:rPr>
      </w:pPr>
    </w:p>
    <w:p w14:paraId="1676C10D">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2025</w:t>
      </w:r>
      <w:r>
        <w:rPr>
          <w:rFonts w:ascii="Times New Roman" w:hAnsi="Times New Roman" w:eastAsia="方正小标宋简体" w:cs="Times New Roman"/>
          <w:sz w:val="72"/>
          <w:szCs w:val="72"/>
        </w:rPr>
        <w:t>年度</w:t>
      </w:r>
    </w:p>
    <w:p w14:paraId="376D58E6">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怀化市住房和城乡建设局</w:t>
      </w:r>
      <w:r>
        <w:rPr>
          <w:rFonts w:ascii="Times New Roman" w:hAnsi="Times New Roman" w:eastAsia="方正小标宋简体" w:cs="Times New Roman"/>
          <w:sz w:val="72"/>
          <w:szCs w:val="72"/>
        </w:rPr>
        <w:t>部门决算</w:t>
      </w:r>
    </w:p>
    <w:p w14:paraId="4CA0568D">
      <w:pPr>
        <w:pStyle w:val="14"/>
        <w:jc w:val="center"/>
        <w:rPr>
          <w:rFonts w:ascii="Times New Roman" w:hAnsi="Times New Roman" w:eastAsia="方正小标宋_GBK" w:cs="Times New Roman"/>
          <w:sz w:val="56"/>
          <w:szCs w:val="56"/>
        </w:rPr>
      </w:pPr>
    </w:p>
    <w:p w14:paraId="7E64855C">
      <w:pPr>
        <w:pStyle w:val="14"/>
        <w:jc w:val="center"/>
        <w:rPr>
          <w:rFonts w:ascii="Times New Roman" w:hAnsi="Times New Roman" w:cs="Times New Roman"/>
          <w:sz w:val="56"/>
          <w:szCs w:val="56"/>
        </w:rPr>
      </w:pPr>
    </w:p>
    <w:p w14:paraId="6E48300E">
      <w:pPr>
        <w:pStyle w:val="14"/>
        <w:rPr>
          <w:rFonts w:ascii="Times New Roman" w:hAnsi="Times New Roman" w:cs="Times New Roman"/>
          <w:sz w:val="56"/>
          <w:szCs w:val="56"/>
        </w:rPr>
      </w:pPr>
    </w:p>
    <w:p w14:paraId="0DC495F6">
      <w:pPr>
        <w:pStyle w:val="14"/>
        <w:jc w:val="center"/>
        <w:rPr>
          <w:rFonts w:ascii="Times New Roman" w:hAnsi="Times New Roman" w:cs="Times New Roman"/>
          <w:sz w:val="32"/>
          <w:szCs w:val="32"/>
        </w:rPr>
      </w:pPr>
    </w:p>
    <w:p w14:paraId="610DA2BD">
      <w:pPr>
        <w:pStyle w:val="14"/>
        <w:jc w:val="center"/>
        <w:rPr>
          <w:rFonts w:ascii="Times New Roman" w:hAnsi="Times New Roman" w:cs="Times New Roman"/>
          <w:sz w:val="32"/>
          <w:szCs w:val="32"/>
        </w:rPr>
      </w:pPr>
    </w:p>
    <w:p w14:paraId="4D0497BE">
      <w:pPr>
        <w:rPr>
          <w:rFonts w:ascii="Times New Roman" w:hAnsi="Times New Roman" w:cs="Times New Roman"/>
          <w:b/>
          <w:sz w:val="36"/>
          <w:szCs w:val="28"/>
        </w:rPr>
        <w:sectPr>
          <w:pgSz w:w="11906" w:h="16838"/>
          <w:pgMar w:top="1417" w:right="1588" w:bottom="1417" w:left="1588" w:header="851" w:footer="992" w:gutter="0"/>
          <w:cols w:space="425" w:num="1"/>
          <w:docGrid w:type="lines" w:linePitch="312" w:charSpace="0"/>
        </w:sectPr>
      </w:pPr>
    </w:p>
    <w:p w14:paraId="7D2146A0">
      <w:pPr>
        <w:pStyle w:val="14"/>
        <w:spacing w:line="600" w:lineRule="exact"/>
        <w:jc w:val="both"/>
        <w:rPr>
          <w:rFonts w:ascii="Times New Roman" w:hAnsi="Times New Roman" w:cs="Times New Roman"/>
          <w:b/>
          <w:sz w:val="36"/>
          <w:szCs w:val="28"/>
        </w:rPr>
      </w:pPr>
    </w:p>
    <w:p w14:paraId="50A7DDFD">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039F5644">
      <w:pPr>
        <w:pStyle w:val="14"/>
        <w:spacing w:line="600" w:lineRule="exact"/>
        <w:jc w:val="center"/>
        <w:rPr>
          <w:rFonts w:ascii="Times New Roman" w:hAnsi="Times New Roman" w:cs="Times New Roman"/>
          <w:b/>
          <w:sz w:val="36"/>
          <w:szCs w:val="28"/>
        </w:rPr>
      </w:pPr>
    </w:p>
    <w:p w14:paraId="0A1D41E2">
      <w:pPr>
        <w:pStyle w:val="14"/>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怀化市住房和城乡建设局</w:t>
      </w:r>
      <w:r>
        <w:rPr>
          <w:rFonts w:ascii="Times New Roman" w:hAnsi="Times New Roman" w:cs="Times New Roman"/>
          <w:bCs/>
          <w:sz w:val="32"/>
          <w:szCs w:val="32"/>
        </w:rPr>
        <w:t>概况</w:t>
      </w:r>
    </w:p>
    <w:p w14:paraId="54E9742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78AB8CD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060381D1">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3266789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70150A02">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64098C3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B81662B">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E79E206">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58D816C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771CB7D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729C271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7331B2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2EB43DF2">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65708C7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2C208E01">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6280267">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F9E0CC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56EA5B1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5C9EED6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3" w:type="default"/>
          <w:pgSz w:w="11906" w:h="16838"/>
          <w:pgMar w:top="1417" w:right="1588" w:bottom="1417" w:left="1588" w:header="851" w:footer="992" w:gutter="0"/>
          <w:pgNumType w:start="1"/>
          <w:cols w:space="425" w:num="1"/>
          <w:docGrid w:type="lines" w:linePitch="312" w:charSpace="0"/>
        </w:sectPr>
      </w:pPr>
    </w:p>
    <w:p w14:paraId="61BDDF2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3BC704A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E482023">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0E303762">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九、</w:t>
      </w:r>
      <w:r>
        <w:rPr>
          <w:rFonts w:hint="eastAsia" w:ascii="仿宋_GB2312" w:hAnsi="仿宋_GB2312" w:eastAsia="仿宋_GB2312" w:cs="仿宋_GB2312"/>
          <w:color w:val="000000"/>
          <w:kern w:val="0"/>
          <w:sz w:val="28"/>
          <w:szCs w:val="28"/>
        </w:rPr>
        <w:t>国有资本经营预算财政拨款支出决算情况说明</w:t>
      </w:r>
    </w:p>
    <w:p w14:paraId="13571F2E">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0345EFD5">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4905D8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78E1357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68C328CD">
      <w:pPr>
        <w:pStyle w:val="14"/>
        <w:spacing w:before="156" w:beforeLines="50" w:after="156" w:afterLines="50"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年度预算绩效管理情况的说明</w:t>
      </w:r>
    </w:p>
    <w:p w14:paraId="2BC8C15A">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936C605">
      <w:pPr>
        <w:pStyle w:val="14"/>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D996446">
      <w:pPr>
        <w:pStyle w:val="14"/>
        <w:spacing w:line="600" w:lineRule="exact"/>
        <w:rPr>
          <w:rFonts w:ascii="Times New Roman" w:hAnsi="Times New Roman" w:cs="Times New Roman"/>
          <w:bCs/>
          <w:sz w:val="28"/>
          <w:szCs w:val="28"/>
        </w:rPr>
      </w:pPr>
    </w:p>
    <w:p w14:paraId="5FA51BDA">
      <w:pPr>
        <w:jc w:val="center"/>
        <w:rPr>
          <w:rFonts w:ascii="Times New Roman" w:hAnsi="Times New Roman" w:cs="Times New Roman"/>
          <w:sz w:val="72"/>
          <w:szCs w:val="72"/>
        </w:rPr>
      </w:pPr>
    </w:p>
    <w:p w14:paraId="171F59B5">
      <w:pPr>
        <w:jc w:val="center"/>
        <w:rPr>
          <w:rFonts w:ascii="Times New Roman" w:hAnsi="Times New Roman" w:cs="Times New Roman"/>
          <w:sz w:val="72"/>
          <w:szCs w:val="72"/>
        </w:rPr>
      </w:pPr>
    </w:p>
    <w:p w14:paraId="6E4E7828">
      <w:pPr>
        <w:jc w:val="center"/>
        <w:rPr>
          <w:rFonts w:ascii="Times New Roman" w:hAnsi="Times New Roman" w:cs="Times New Roman"/>
          <w:sz w:val="72"/>
          <w:szCs w:val="72"/>
        </w:rPr>
      </w:pPr>
    </w:p>
    <w:p w14:paraId="132D9F99">
      <w:pPr>
        <w:pStyle w:val="8"/>
        <w:rPr>
          <w:rFonts w:ascii="Times New Roman" w:hAnsi="Times New Roman" w:cs="Times New Roman"/>
        </w:rPr>
        <w:sectPr>
          <w:footerReference r:id="rId4" w:type="default"/>
          <w:pgSz w:w="11906" w:h="16838"/>
          <w:pgMar w:top="1417" w:right="1588" w:bottom="1417" w:left="1588" w:header="851" w:footer="992" w:gutter="0"/>
          <w:pgNumType w:start="1"/>
          <w:cols w:space="425" w:num="1"/>
          <w:docGrid w:type="lines" w:linePitch="312" w:charSpace="0"/>
        </w:sectPr>
      </w:pPr>
    </w:p>
    <w:p w14:paraId="5926FE72">
      <w:pPr>
        <w:rPr>
          <w:rFonts w:ascii="Times New Roman" w:hAnsi="Times New Roman" w:eastAsia="方正小标宋_GBK" w:cs="Times New Roman"/>
          <w:sz w:val="72"/>
          <w:szCs w:val="72"/>
        </w:rPr>
      </w:pPr>
    </w:p>
    <w:p w14:paraId="646E1BAD">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17A4BD54">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怀化市住房和城乡建设局</w:t>
      </w:r>
      <w:r>
        <w:rPr>
          <w:rFonts w:ascii="Times New Roman" w:hAnsi="Times New Roman" w:eastAsia="方正小标宋_GBK" w:cs="Times New Roman"/>
          <w:sz w:val="52"/>
          <w:szCs w:val="52"/>
        </w:rPr>
        <w:t>概况</w:t>
      </w:r>
    </w:p>
    <w:p w14:paraId="3CC299E7">
      <w:pPr>
        <w:pStyle w:val="4"/>
        <w:ind w:left="0" w:leftChars="0" w:firstLine="0" w:firstLineChars="0"/>
        <w:rPr>
          <w:rFonts w:ascii="Times New Roman" w:hAnsi="Times New Roman" w:cs="Times New Roman"/>
        </w:rPr>
      </w:pPr>
    </w:p>
    <w:p w14:paraId="64D110BD">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43E829B3">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怀化市住房和城乡建设局是负责对全市建设工作进行综合管理的市政府工作部门。主要职责:</w:t>
      </w:r>
    </w:p>
    <w:p w14:paraId="6E8CF34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1.协同推进全市新型城镇化战略工作。参与研究全市新型城镇化战略，参与拟订全市新型城镇化发展规划和重大政策措施，配合做好相关工作。</w:t>
      </w:r>
    </w:p>
    <w:p w14:paraId="2A39B0F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2.推进全市住房发展和住房制度改革。拟订全市住房发展规划并指导实施。</w:t>
      </w:r>
    </w:p>
    <w:p w14:paraId="075E4D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3.贯彻住房保障相关政策并指导实施。编制全市城镇保障性住房发展规划及年度计划并监督实施。指导全市规划建设保障性住房、城中村和城镇棚户区（城市危旧房）改造工作。指导全市规范保障性住房的运营管理。</w:t>
      </w:r>
    </w:p>
    <w:p w14:paraId="02D7FB3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4.贯彻物业服务行业政策，拟订全市物业服务发展规划和服务标准。</w:t>
      </w:r>
    </w:p>
    <w:p w14:paraId="04D7022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5.拟订全市房屋(含居民自建房)施工建设、结构安全管理及结构安全隐患排查整治相关政策并指导实施。牵头指导全市居民自建房安全隐患排查整治。负责全市居民自建房安全综合监督管理工作。</w:t>
      </w:r>
    </w:p>
    <w:p w14:paraId="19BAC94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6.拟订全市城市体检、城市更新的政策及专项规划并监督实施。</w:t>
      </w:r>
    </w:p>
    <w:p w14:paraId="51141AC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7.会同有关部门拟定全市村庄和小城镇建设政策并指导实施。</w:t>
      </w:r>
    </w:p>
    <w:p w14:paraId="0EBF85A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8.会同有关部门拟订全市城乡历史文化保护传承政策并指导实施。</w:t>
      </w:r>
    </w:p>
    <w:p w14:paraId="690832F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9.指导和管理全市建筑活动，拟订建筑业的行业发展战略、改革方案、产业政策、技术政策并指导实施。</w:t>
      </w:r>
    </w:p>
    <w:p w14:paraId="3B36BC0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10.拟订全市房屋建筑和市政基础设施工程项目质量、安全生产和竣工验收备案政策并监督实施。</w:t>
      </w:r>
    </w:p>
    <w:p w14:paraId="0B1672D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11.拟订全市房屋建筑和市政基础设施工程勘察设计行业相关政策并监督实施。</w:t>
      </w:r>
    </w:p>
    <w:p w14:paraId="3D387A8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snapToGrid/>
        <w:spacing w:before="0" w:beforeAutospacing="0" w:after="0" w:afterAutospacing="0" w:line="600" w:lineRule="exact"/>
        <w:ind w:left="0" w:right="0" w:firstLine="640"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i w:val="0"/>
          <w:iCs w:val="0"/>
          <w:caps w:val="0"/>
          <w:color w:val="000000"/>
          <w:spacing w:val="0"/>
          <w:sz w:val="32"/>
          <w:szCs w:val="32"/>
          <w:shd w:val="clear" w:color="auto" w:fill="FFFFFF"/>
          <w:lang w:eastAsia="zh-CN"/>
        </w:rPr>
        <w:t>12.指导全市建筑工程消防设计审查、验收和备案抽查工作。</w:t>
      </w:r>
    </w:p>
    <w:p w14:paraId="41CA732D">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13.指导全市贯彻执行建筑节能、绿色建筑和建筑工业化发展政策、规划并监督实施。</w:t>
      </w:r>
    </w:p>
    <w:p w14:paraId="70962204">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14.指导全市住建行业人才队伍建设，承担全市住建行业专业技术职称考试、职业资格管理有关工作。开展全市住房城乡建设方面的对外交流与合作。</w:t>
      </w:r>
    </w:p>
    <w:p w14:paraId="28E501BA">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color w:val="000000"/>
          <w:spacing w:val="-2"/>
          <w:sz w:val="32"/>
          <w:szCs w:val="32"/>
        </w:rPr>
      </w:pPr>
      <w:r>
        <w:rPr>
          <w:rFonts w:hint="default" w:ascii="Times New Roman" w:hAnsi="Times New Roman" w:eastAsia="仿宋_GB2312" w:cs="Times New Roman"/>
          <w:color w:val="000000"/>
          <w:spacing w:val="-2"/>
          <w:sz w:val="32"/>
          <w:szCs w:val="32"/>
        </w:rPr>
        <w:t>15.负责城建资金使用监督和管理，负责市本级城市基础设施配套费、污水处理费等建设行业行政规费的征收。</w:t>
      </w:r>
    </w:p>
    <w:p w14:paraId="0B766F83">
      <w:pPr>
        <w:keepNext w:val="0"/>
        <w:keepLines w:val="0"/>
        <w:pageBreakBefore w:val="0"/>
        <w:widowControl w:val="0"/>
        <w:shd w:val="clear" w:color="auto" w:fill="auto"/>
        <w:kinsoku/>
        <w:wordWrap/>
        <w:overflowPunct/>
        <w:topLinePunct/>
        <w:autoSpaceDE/>
        <w:autoSpaceDN/>
        <w:bidi w:val="0"/>
        <w:adjustRightInd w:val="0"/>
        <w:snapToGrid w:val="0"/>
        <w:spacing w:line="600" w:lineRule="exact"/>
        <w:ind w:firstLine="632" w:firstLineChars="200"/>
        <w:jc w:val="both"/>
        <w:textAlignment w:val="auto"/>
        <w:rPr>
          <w:rFonts w:hint="default" w:ascii="Times New Roman" w:hAnsi="Times New Roman" w:eastAsia="仿宋_GB2312" w:cs="Times New Roman"/>
          <w:i w:val="0"/>
          <w:iCs w:val="0"/>
          <w:caps w:val="0"/>
          <w:color w:val="000000"/>
          <w:spacing w:val="0"/>
          <w:sz w:val="32"/>
          <w:szCs w:val="32"/>
          <w:shd w:val="clear" w:color="auto" w:fill="FFFFFF"/>
          <w:lang w:eastAsia="zh-CN"/>
        </w:rPr>
      </w:pPr>
      <w:r>
        <w:rPr>
          <w:rFonts w:hint="default" w:ascii="Times New Roman" w:hAnsi="Times New Roman" w:eastAsia="仿宋_GB2312" w:cs="Times New Roman"/>
          <w:color w:val="000000"/>
          <w:spacing w:val="-2"/>
          <w:sz w:val="32"/>
          <w:szCs w:val="32"/>
        </w:rPr>
        <w:t>16.完成市委、市人民政府交办的其他任务。</w:t>
      </w:r>
    </w:p>
    <w:p w14:paraId="6AE89E50">
      <w:pPr>
        <w:keepNext w:val="0"/>
        <w:keepLines w:val="0"/>
        <w:pageBreakBefore w:val="0"/>
        <w:widowControl/>
        <w:kinsoku/>
        <w:wordWrap/>
        <w:overflowPunct/>
        <w:topLinePunct w:val="0"/>
        <w:autoSpaceDE/>
        <w:autoSpaceDN/>
        <w:bidi w:val="0"/>
        <w:adjustRightInd/>
        <w:snapToGrid/>
        <w:spacing w:line="600" w:lineRule="exact"/>
        <w:textAlignment w:val="auto"/>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2238E5F6">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color="auto" w:fill="auto"/>
        <w:kinsoku/>
        <w:wordWrap/>
        <w:overflowPunct/>
        <w:topLinePunct/>
        <w:autoSpaceDE/>
        <w:autoSpaceDN/>
        <w:bidi w:val="0"/>
        <w:adjustRightInd w:val="0"/>
        <w:snapToGrid w:val="0"/>
        <w:spacing w:beforeAutospacing="0" w:afterAutospacing="0" w:line="600" w:lineRule="exact"/>
        <w:ind w:left="0" w:right="0" w:firstLine="640" w:firstLineChars="200"/>
        <w:jc w:val="both"/>
        <w:textAlignment w:val="auto"/>
        <w:rPr>
          <w:rFonts w:hint="eastAsia" w:ascii="Times New Roman" w:hAnsi="Times New Roman" w:eastAsia="仿宋_GB2312" w:cs="仿宋_GB2312"/>
          <w:bCs/>
          <w:kern w:val="0"/>
          <w:sz w:val="32"/>
          <w:szCs w:val="32"/>
          <w:lang w:val="en-US" w:eastAsia="zh-CN" w:bidi="ar-SA"/>
        </w:rPr>
      </w:pPr>
      <w:r>
        <w:rPr>
          <w:rFonts w:hint="eastAsia" w:ascii="Times New Roman" w:hAnsi="Times New Roman" w:eastAsia="仿宋_GB2312" w:cs="仿宋_GB2312"/>
          <w:bCs/>
          <w:kern w:val="0"/>
          <w:sz w:val="32"/>
          <w:szCs w:val="32"/>
          <w:lang w:val="en-US" w:eastAsia="zh-CN" w:bidi="ar-SA"/>
        </w:rPr>
        <w:t>（一）内设机构设置。怀化市住房和城乡建设局作为一级部门预算单位，内设</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办公室、人事科、计划财务科（加挂审计科牌子）、村镇建设科、房地产业监督管理服务科、城市更新和住房保障科、科技与设计管理科、政策法规科（行政审批服务科）、建筑工程管理科、建设工程消防审验科、</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安全监督管理科（</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房屋维护管理科</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城乡历史文化科、局基础设施办、机关党委等14个内设机构</w:t>
      </w:r>
      <w:r>
        <w:rPr>
          <w:rFonts w:hint="eastAsia" w:ascii="Times New Roman" w:hAnsi="Times New Roman" w:eastAsia="仿宋_GB2312" w:cs="仿宋_GB2312"/>
          <w:bCs/>
          <w:kern w:val="0"/>
          <w:sz w:val="32"/>
          <w:szCs w:val="32"/>
          <w:lang w:val="en-US" w:eastAsia="zh-CN" w:bidi="ar-SA"/>
        </w:rPr>
        <w:t>。</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下设</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3</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个独立核算财政全额拨款事业单位，即怀化市</w:t>
      </w:r>
      <w:r>
        <w:rPr>
          <w:rFonts w:hint="default" w:ascii="Times New Roman" w:hAnsi="Times New Roman" w:eastAsia="仿宋_GB2312" w:cs="Times New Roman"/>
          <w:i w:val="0"/>
          <w:caps w:val="0"/>
          <w:color w:val="000000"/>
          <w:spacing w:val="0"/>
          <w:kern w:val="0"/>
          <w:sz w:val="32"/>
          <w:szCs w:val="32"/>
          <w:shd w:val="clear" w:color="auto" w:fill="FFFFFF"/>
          <w:lang w:eastAsia="zh-CN" w:bidi="ar"/>
        </w:rPr>
        <w:t>城乡建设事务中心</w:t>
      </w:r>
      <w:r>
        <w:rPr>
          <w:rFonts w:hint="default" w:ascii="Times New Roman" w:hAnsi="Times New Roman" w:eastAsia="仿宋_GB2312" w:cs="Times New Roman"/>
          <w:i w:val="0"/>
          <w:caps w:val="0"/>
          <w:color w:val="000000"/>
          <w:spacing w:val="0"/>
          <w:kern w:val="0"/>
          <w:sz w:val="32"/>
          <w:szCs w:val="32"/>
          <w:shd w:val="clear" w:color="auto" w:fill="FFFFFF"/>
          <w:lang w:val="en-US" w:eastAsia="zh-CN" w:bidi="ar"/>
        </w:rPr>
        <w:t>、怀化市城乡建设档案馆、怀化市建设工程质量安全监督管理站。</w:t>
      </w:r>
    </w:p>
    <w:p w14:paraId="078A7AA1">
      <w:pPr>
        <w:pStyle w:val="9"/>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rPr>
          <w:rFonts w:ascii="Times New Roman" w:hAnsi="Times New Roman" w:eastAsia="仿宋_GB2312" w:cs="Times New Roman"/>
          <w:sz w:val="28"/>
          <w:szCs w:val="32"/>
        </w:rPr>
      </w:pPr>
      <w:r>
        <w:rPr>
          <w:rFonts w:hint="eastAsia" w:ascii="Times New Roman" w:hAnsi="Times New Roman" w:eastAsia="仿宋_GB2312" w:cs="仿宋_GB2312"/>
          <w:bCs/>
          <w:kern w:val="0"/>
          <w:sz w:val="32"/>
          <w:szCs w:val="32"/>
          <w:lang w:val="en-US" w:eastAsia="zh-CN" w:bidi="ar-SA"/>
        </w:rPr>
        <w:t>（二）决算单位构成。怀化市住房和城乡建设局2025年部门决算公开单位为怀化市住房和城乡建设局本级。</w:t>
      </w:r>
    </w:p>
    <w:p w14:paraId="0FDCD42E">
      <w:pPr>
        <w:jc w:val="center"/>
        <w:rPr>
          <w:rFonts w:ascii="Times New Roman" w:hAnsi="Times New Roman" w:eastAsia="黑体" w:cs="Times New Roman"/>
          <w:sz w:val="28"/>
          <w:szCs w:val="28"/>
        </w:rPr>
      </w:pPr>
    </w:p>
    <w:p w14:paraId="3AA43B5D">
      <w:pPr>
        <w:jc w:val="center"/>
        <w:rPr>
          <w:rFonts w:ascii="Times New Roman" w:hAnsi="Times New Roman" w:eastAsia="黑体" w:cs="Times New Roman"/>
          <w:sz w:val="28"/>
          <w:szCs w:val="28"/>
        </w:rPr>
      </w:pPr>
    </w:p>
    <w:p w14:paraId="5D628FD9">
      <w:pPr>
        <w:jc w:val="center"/>
        <w:rPr>
          <w:rFonts w:ascii="Times New Roman" w:hAnsi="Times New Roman" w:eastAsia="黑体" w:cs="Times New Roman"/>
          <w:sz w:val="28"/>
          <w:szCs w:val="28"/>
        </w:rPr>
      </w:pPr>
    </w:p>
    <w:p w14:paraId="4D2F1DAA">
      <w:pPr>
        <w:jc w:val="center"/>
        <w:rPr>
          <w:rFonts w:ascii="Times New Roman" w:hAnsi="Times New Roman" w:eastAsia="黑体" w:cs="Times New Roman"/>
          <w:sz w:val="28"/>
          <w:szCs w:val="28"/>
        </w:rPr>
      </w:pPr>
    </w:p>
    <w:p w14:paraId="4FF6E848">
      <w:pPr>
        <w:jc w:val="center"/>
        <w:rPr>
          <w:rFonts w:ascii="Times New Roman" w:hAnsi="Times New Roman" w:eastAsia="黑体" w:cs="Times New Roman"/>
          <w:sz w:val="28"/>
          <w:szCs w:val="28"/>
        </w:rPr>
      </w:pPr>
    </w:p>
    <w:p w14:paraId="262FFE00">
      <w:pPr>
        <w:pStyle w:val="8"/>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7F104AEF">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4ABEB70D">
      <w:pPr>
        <w:widowControl/>
        <w:spacing w:line="600" w:lineRule="exact"/>
        <w:ind w:firstLine="640" w:firstLineChars="200"/>
        <w:rPr>
          <w:rFonts w:hint="default" w:ascii="Times New Roman" w:hAnsi="Times New Roman" w:eastAsia="仿宋_GB2312" w:cs="仿宋_GB2312"/>
          <w:bCs/>
          <w:kern w:val="0"/>
          <w:sz w:val="32"/>
          <w:szCs w:val="32"/>
          <w:lang w:val="en-US" w:eastAsia="zh-CN"/>
        </w:rPr>
      </w:pPr>
      <w:r>
        <w:rPr>
          <w:rFonts w:hint="eastAsia" w:ascii="Times New Roman" w:hAnsi="Times New Roman" w:eastAsia="仿宋_GB2312" w:cs="仿宋_GB2312"/>
          <w:bCs/>
          <w:kern w:val="0"/>
          <w:sz w:val="32"/>
          <w:szCs w:val="32"/>
          <w:lang w:val="en-US" w:eastAsia="zh-CN"/>
        </w:rPr>
        <w:t>见附件。</w:t>
      </w:r>
    </w:p>
    <w:p w14:paraId="61FA51F8">
      <w:pPr>
        <w:autoSpaceDE w:val="0"/>
        <w:autoSpaceDN w:val="0"/>
        <w:adjustRightInd w:val="0"/>
        <w:ind w:left="315" w:leftChars="150"/>
        <w:jc w:val="left"/>
        <w:rPr>
          <w:rFonts w:ascii="Times New Roman" w:hAnsi="Times New Roman" w:eastAsia="宋体" w:cs="Times New Roman"/>
          <w:kern w:val="0"/>
          <w:sz w:val="24"/>
          <w:szCs w:val="24"/>
        </w:rPr>
      </w:pPr>
    </w:p>
    <w:p w14:paraId="1BE50836">
      <w:pPr>
        <w:autoSpaceDE w:val="0"/>
        <w:autoSpaceDN w:val="0"/>
        <w:adjustRightInd w:val="0"/>
        <w:ind w:left="315" w:leftChars="150"/>
        <w:jc w:val="left"/>
        <w:rPr>
          <w:rFonts w:ascii="Times New Roman" w:hAnsi="Times New Roman" w:eastAsia="宋体" w:cs="Times New Roman"/>
          <w:kern w:val="0"/>
          <w:sz w:val="24"/>
          <w:szCs w:val="24"/>
        </w:rPr>
      </w:pPr>
    </w:p>
    <w:p w14:paraId="1F3F9D00">
      <w:pPr>
        <w:autoSpaceDE w:val="0"/>
        <w:autoSpaceDN w:val="0"/>
        <w:adjustRightInd w:val="0"/>
        <w:ind w:left="315" w:leftChars="150"/>
        <w:jc w:val="left"/>
        <w:rPr>
          <w:rFonts w:ascii="Times New Roman" w:hAnsi="Times New Roman" w:eastAsia="宋体" w:cs="Times New Roman"/>
          <w:kern w:val="0"/>
          <w:sz w:val="24"/>
          <w:szCs w:val="24"/>
        </w:rPr>
      </w:pPr>
    </w:p>
    <w:p w14:paraId="5A3A1274">
      <w:pPr>
        <w:autoSpaceDE w:val="0"/>
        <w:autoSpaceDN w:val="0"/>
        <w:adjustRightInd w:val="0"/>
        <w:ind w:left="315" w:leftChars="150"/>
        <w:jc w:val="left"/>
        <w:rPr>
          <w:rFonts w:ascii="Times New Roman" w:hAnsi="Times New Roman" w:eastAsia="宋体" w:cs="Times New Roman"/>
          <w:kern w:val="0"/>
          <w:sz w:val="24"/>
          <w:szCs w:val="24"/>
        </w:rPr>
      </w:pPr>
    </w:p>
    <w:p w14:paraId="437AF4A4">
      <w:pPr>
        <w:widowControl/>
        <w:rPr>
          <w:rFonts w:ascii="Times New Roman" w:hAnsi="Times New Roman" w:cs="Times New Roman"/>
          <w:sz w:val="72"/>
          <w:szCs w:val="72"/>
        </w:rPr>
        <w:sectPr>
          <w:pgSz w:w="11906" w:h="16838"/>
          <w:pgMar w:top="1417" w:right="1134" w:bottom="1417" w:left="1134" w:header="851" w:footer="992" w:gutter="0"/>
          <w:cols w:space="425" w:num="1"/>
          <w:docGrid w:type="lines" w:linePitch="312" w:charSpace="0"/>
        </w:sectPr>
      </w:pPr>
      <w:r>
        <w:rPr>
          <w:rFonts w:ascii="Times New Roman" w:hAnsi="Times New Roman" w:eastAsia="黑体" w:cs="Times New Roman"/>
          <w:szCs w:val="21"/>
        </w:rPr>
        <w:br w:type="page"/>
      </w:r>
    </w:p>
    <w:p w14:paraId="49D19638">
      <w:pPr>
        <w:pStyle w:val="14"/>
        <w:rPr>
          <w:rFonts w:ascii="Times New Roman" w:hAnsi="Times New Roman" w:cs="Times New Roman"/>
          <w:sz w:val="72"/>
          <w:szCs w:val="72"/>
        </w:rPr>
      </w:pPr>
    </w:p>
    <w:p w14:paraId="71E197DA">
      <w:pPr>
        <w:pStyle w:val="14"/>
        <w:rPr>
          <w:rFonts w:ascii="Times New Roman" w:hAnsi="Times New Roman" w:cs="Times New Roman"/>
          <w:sz w:val="72"/>
          <w:szCs w:val="72"/>
        </w:rPr>
      </w:pPr>
    </w:p>
    <w:p w14:paraId="45CC515B">
      <w:pPr>
        <w:pStyle w:val="14"/>
        <w:rPr>
          <w:rFonts w:ascii="Times New Roman" w:hAnsi="Times New Roman" w:cs="Times New Roman"/>
          <w:sz w:val="72"/>
          <w:szCs w:val="72"/>
        </w:rPr>
      </w:pPr>
    </w:p>
    <w:p w14:paraId="3C556DA6">
      <w:pPr>
        <w:pStyle w:val="14"/>
        <w:jc w:val="center"/>
        <w:rPr>
          <w:rFonts w:ascii="Times New Roman" w:hAnsi="Times New Roman" w:cs="Times New Roman"/>
          <w:sz w:val="72"/>
          <w:szCs w:val="72"/>
        </w:rPr>
      </w:pPr>
    </w:p>
    <w:p w14:paraId="138C398B">
      <w:pPr>
        <w:pStyle w:val="14"/>
        <w:jc w:val="center"/>
        <w:rPr>
          <w:rFonts w:ascii="Times New Roman" w:hAnsi="Times New Roman" w:eastAsia="方正小标宋_GBK" w:cs="Times New Roman"/>
          <w:sz w:val="72"/>
          <w:szCs w:val="72"/>
        </w:rPr>
      </w:pPr>
    </w:p>
    <w:p w14:paraId="7D6186B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90D0AE5">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2025</w:t>
      </w:r>
      <w:r>
        <w:rPr>
          <w:rFonts w:ascii="Times New Roman" w:hAnsi="Times New Roman" w:eastAsia="方正小标宋_GBK" w:cs="Times New Roman"/>
          <w:sz w:val="52"/>
          <w:szCs w:val="52"/>
        </w:rPr>
        <w:t>年度部门决算情况说明</w:t>
      </w:r>
    </w:p>
    <w:p w14:paraId="4F42EA84">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1D5D254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3392661D">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val="en-US" w:eastAsia="zh-CN"/>
        </w:rPr>
        <w:t>、支总计31758.91万元</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增加31758.91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增长359.09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基础设施建设项目支出增加。</w:t>
      </w:r>
    </w:p>
    <w:p w14:paraId="6B12B7ED">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1C5EE24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31758.91</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31758.91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5CAC1D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5788C6A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31758.91</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923.12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2.91</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30835.78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97.09</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67CBE63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5EBBBB5A">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31758.91</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增加31758.91</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增长359.09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基础设施建设项目支出增加。</w:t>
      </w:r>
    </w:p>
    <w:p w14:paraId="7F7C2D6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1349396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656EF73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3188.04</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10.04</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减少2565.36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降低73.13</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本年收入中资金性质多为政府性基金预算财政拨款收入。</w:t>
      </w:r>
    </w:p>
    <w:p w14:paraId="3D0FCA7E">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（二）一般公共预算财政拨款支出决算结构情况</w:t>
      </w:r>
    </w:p>
    <w:p w14:paraId="2FD67C9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rPr>
        <w:t>一般公共预算</w:t>
      </w:r>
      <w:r>
        <w:rPr>
          <w:rFonts w:ascii="Times New Roman" w:hAnsi="Times New Roman" w:eastAsia="仿宋_GB2312" w:cs="Times New Roman"/>
          <w:sz w:val="32"/>
          <w:szCs w:val="32"/>
        </w:rPr>
        <w:t>财政拨款支出</w:t>
      </w:r>
      <w:r>
        <w:rPr>
          <w:rFonts w:hint="eastAsia" w:ascii="Times New Roman" w:hAnsi="Times New Roman" w:eastAsia="仿宋_GB2312" w:cs="Times New Roman"/>
          <w:sz w:val="32"/>
          <w:szCs w:val="32"/>
          <w:lang w:val="en-US" w:eastAsia="zh-CN"/>
        </w:rPr>
        <w:t>3188.04</w:t>
      </w:r>
      <w:r>
        <w:rPr>
          <w:rFonts w:ascii="Times New Roman" w:hAnsi="Times New Roman" w:eastAsia="仿宋_GB2312" w:cs="Times New Roman"/>
          <w:sz w:val="32"/>
          <w:szCs w:val="32"/>
        </w:rPr>
        <w:t>万元，主要用于以下方面：</w:t>
      </w:r>
      <w:r>
        <w:rPr>
          <w:rFonts w:hint="eastAsia" w:ascii="Times New Roman" w:hAnsi="Times New Roman" w:eastAsia="仿宋_GB2312" w:cs="Times New Roman"/>
          <w:sz w:val="32"/>
          <w:szCs w:val="32"/>
          <w:lang w:val="en-US" w:eastAsia="zh-CN"/>
        </w:rPr>
        <w:t>一般公共服务支出95.59万，占3%；</w:t>
      </w:r>
      <w:r>
        <w:rPr>
          <w:rFonts w:hint="eastAsia" w:ascii="Times New Roman" w:hAnsi="Times New Roman" w:eastAsia="仿宋_GB2312"/>
          <w:sz w:val="32"/>
          <w:szCs w:val="32"/>
        </w:rPr>
        <w:t>社会保障和就业支出</w:t>
      </w:r>
      <w:r>
        <w:rPr>
          <w:rFonts w:hint="eastAsia" w:ascii="Times New Roman" w:hAnsi="Times New Roman" w:eastAsia="仿宋_GB2312"/>
          <w:sz w:val="32"/>
          <w:szCs w:val="32"/>
          <w:lang w:val="en-US" w:eastAsia="zh-CN"/>
        </w:rPr>
        <w:t>276.34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8.67</w:t>
      </w:r>
      <w:r>
        <w:rPr>
          <w:rFonts w:hint="eastAsia" w:ascii="Times New Roman" w:hAnsi="Times New Roman" w:eastAsia="仿宋_GB2312"/>
          <w:sz w:val="32"/>
          <w:szCs w:val="32"/>
        </w:rPr>
        <w:t>%；卫生健康支出</w:t>
      </w:r>
      <w:r>
        <w:rPr>
          <w:rFonts w:hint="eastAsia" w:ascii="Times New Roman" w:hAnsi="Times New Roman" w:eastAsia="仿宋_GB2312"/>
          <w:sz w:val="32"/>
          <w:szCs w:val="32"/>
          <w:lang w:val="en-US" w:eastAsia="zh-CN"/>
        </w:rPr>
        <w:t>34.44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1.08</w:t>
      </w:r>
      <w:r>
        <w:rPr>
          <w:rFonts w:hint="eastAsia" w:ascii="Times New Roman" w:hAnsi="Times New Roman" w:eastAsia="仿宋_GB2312"/>
          <w:sz w:val="32"/>
          <w:szCs w:val="32"/>
        </w:rPr>
        <w:t>%；城乡社区支出</w:t>
      </w:r>
      <w:r>
        <w:rPr>
          <w:rFonts w:hint="eastAsia" w:ascii="Times New Roman" w:hAnsi="Times New Roman" w:eastAsia="仿宋_GB2312"/>
          <w:sz w:val="32"/>
          <w:szCs w:val="32"/>
          <w:lang w:val="en-US" w:eastAsia="zh-CN"/>
        </w:rPr>
        <w:t>2660.14</w:t>
      </w:r>
      <w:r>
        <w:rPr>
          <w:rFonts w:hint="eastAsia" w:ascii="Times New Roman" w:hAnsi="Times New Roman" w:eastAsia="仿宋_GB2312"/>
          <w:sz w:val="32"/>
          <w:szCs w:val="32"/>
        </w:rPr>
        <w:t>万元,占</w:t>
      </w:r>
      <w:r>
        <w:rPr>
          <w:rFonts w:hint="eastAsia" w:ascii="Times New Roman" w:hAnsi="Times New Roman" w:eastAsia="仿宋_GB2312"/>
          <w:sz w:val="32"/>
          <w:szCs w:val="32"/>
          <w:lang w:val="en-US" w:eastAsia="zh-CN"/>
        </w:rPr>
        <w:t>83.44</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交通运输支出100万元，占3.14%；住房保障服务支出14.43万元，占0.45%</w:t>
      </w:r>
      <w:r>
        <w:rPr>
          <w:rFonts w:hint="eastAsia" w:ascii="Times New Roman" w:hAnsi="Times New Roman" w:eastAsia="仿宋_GB2312"/>
          <w:sz w:val="32"/>
          <w:szCs w:val="32"/>
          <w:lang w:eastAsia="zh-CN"/>
        </w:rPr>
        <w:t>。</w:t>
      </w:r>
    </w:p>
    <w:p w14:paraId="054B97D6">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7E0BCE1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年度一般公共预算财政拨款支出年初预算数为</w:t>
      </w:r>
      <w:r>
        <w:rPr>
          <w:rFonts w:hint="eastAsia" w:ascii="Times New Roman" w:hAnsi="Times New Roman" w:eastAsia="仿宋_GB2312" w:cs="Times New Roman"/>
          <w:sz w:val="32"/>
          <w:szCs w:val="32"/>
          <w:lang w:val="en-US" w:eastAsia="zh-CN"/>
        </w:rPr>
        <w:t>1723.47</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3188.04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184.98</w:t>
      </w:r>
      <w:r>
        <w:rPr>
          <w:rFonts w:ascii="Times New Roman" w:hAnsi="Times New Roman" w:eastAsia="仿宋_GB2312" w:cs="Times New Roman"/>
          <w:sz w:val="32"/>
          <w:szCs w:val="32"/>
        </w:rPr>
        <w:t>%，其中：</w:t>
      </w:r>
    </w:p>
    <w:p w14:paraId="649CA7CF">
      <w:pPr>
        <w:pStyle w:val="14"/>
        <w:overflowPunct w:val="0"/>
        <w:autoSpaceDE/>
        <w:autoSpaceDN/>
        <w:spacing w:line="600" w:lineRule="exact"/>
        <w:ind w:firstLine="640" w:firstLineChars="200"/>
        <w:jc w:val="both"/>
        <w:rPr>
          <w:rFonts w:hint="eastAsia" w:ascii="Times New Roman" w:hAnsi="Times New Roman" w:eastAsia="仿宋_GB2312"/>
          <w:sz w:val="32"/>
          <w:szCs w:val="32"/>
          <w:highlight w:val="none"/>
          <w:lang w:val="en-US" w:eastAsia="zh-CN"/>
        </w:rPr>
      </w:pP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sz w:val="32"/>
          <w:szCs w:val="32"/>
          <w:highlight w:val="none"/>
          <w:lang w:val="en-US" w:eastAsia="zh-CN"/>
        </w:rPr>
        <w:t>一般公共服务支出（类）财政事务（款）其他一般公共服务支出（项）</w:t>
      </w:r>
    </w:p>
    <w:p w14:paraId="0A36A117">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default" w:ascii="Times New Roman" w:hAnsi="Times New Roman" w:eastAsia="仿宋_GB2312"/>
          <w:sz w:val="32"/>
          <w:szCs w:val="32"/>
          <w:highlight w:val="none"/>
          <w:lang w:val="en-US" w:eastAsia="zh-CN"/>
        </w:rPr>
      </w:pPr>
      <w:r>
        <w:rPr>
          <w:rFonts w:hint="eastAsia" w:ascii="Times New Roman" w:hAnsi="Times New Roman" w:eastAsia="仿宋_GB2312"/>
          <w:sz w:val="32"/>
          <w:szCs w:val="32"/>
          <w:highlight w:val="none"/>
          <w:lang w:val="en-US" w:eastAsia="zh-CN"/>
        </w:rPr>
        <w:t>年初预算为0万元，支出决算为95.59万元，决算数大于年初预算数的主要原因是年初预算支出方向未进行细分，决算时进行了细分。</w:t>
      </w:r>
    </w:p>
    <w:p w14:paraId="6435D00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sz w:val="32"/>
          <w:szCs w:val="32"/>
          <w:highlight w:val="none"/>
          <w:lang w:val="en-US" w:eastAsia="zh-CN"/>
        </w:rPr>
        <w:t>2</w:t>
      </w:r>
      <w:r>
        <w:rPr>
          <w:rFonts w:hint="eastAsia" w:ascii="Times New Roman" w:hAnsi="Times New Roman" w:eastAsia="仿宋_GB2312"/>
          <w:sz w:val="32"/>
          <w:szCs w:val="32"/>
          <w:highlight w:val="none"/>
        </w:rPr>
        <w:t>、</w:t>
      </w:r>
      <w:r>
        <w:rPr>
          <w:rFonts w:hint="eastAsia" w:ascii="Times New Roman" w:hAnsi="Times New Roman" w:eastAsia="仿宋_GB2312" w:cs="仿宋_GB2312"/>
          <w:bCs/>
          <w:color w:val="auto"/>
          <w:kern w:val="0"/>
          <w:sz w:val="32"/>
          <w:szCs w:val="32"/>
          <w:lang w:val="en-US" w:eastAsia="zh-CN" w:bidi="ar-SA"/>
        </w:rPr>
        <w:t>社会保障和就业支出（类）行政事业单位养老支出（款）行政单位离退休（项）。</w:t>
      </w:r>
    </w:p>
    <w:p w14:paraId="120D1793">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highlight w:val="none"/>
          <w:lang w:val="en-US" w:eastAsia="zh-CN" w:bidi="ar-SA"/>
        </w:rPr>
      </w:pPr>
      <w:r>
        <w:rPr>
          <w:rFonts w:hint="eastAsia" w:ascii="Times New Roman" w:hAnsi="Times New Roman" w:eastAsia="仿宋_GB2312" w:cs="仿宋_GB2312"/>
          <w:bCs/>
          <w:color w:val="auto"/>
          <w:kern w:val="0"/>
          <w:sz w:val="32"/>
          <w:szCs w:val="32"/>
          <w:highlight w:val="none"/>
          <w:lang w:val="en-US" w:eastAsia="zh-CN" w:bidi="ar-SA"/>
        </w:rPr>
        <w:t>年初预算为13.59万元，支出决算为9万，决算数小于年初预算数的主要原因是：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人员减少</w:t>
      </w:r>
      <w:r>
        <w:rPr>
          <w:rFonts w:hint="eastAsia" w:ascii="Times New Roman" w:hAnsi="Times New Roman" w:eastAsia="仿宋_GB2312" w:cs="仿宋_GB2312"/>
          <w:bCs/>
          <w:color w:val="auto"/>
          <w:kern w:val="0"/>
          <w:sz w:val="32"/>
          <w:szCs w:val="32"/>
          <w:highlight w:val="none"/>
          <w:lang w:val="en-US" w:eastAsia="zh-CN" w:bidi="ar-SA"/>
        </w:rPr>
        <w:t>。</w:t>
      </w:r>
    </w:p>
    <w:p w14:paraId="61EF03B2">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3、社会保障和就业支出（类）行政事业单位养老支出（款）机关事业单位基本养老保险缴费支出（项）</w:t>
      </w:r>
    </w:p>
    <w:p w14:paraId="0769224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u w:val="none" w:color="auto"/>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年初预算为81.05万元，支出决算为80.85万元，决算数小于年初预算数的主要原因是：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人员变动减少了基本养老保险单位部分缴费支出。</w:t>
      </w:r>
    </w:p>
    <w:p w14:paraId="5EB7DD7F">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4、社会保障和就业支出（类）行政事业单位养老支出（款）其他行政事业单位养老支出（项）</w:t>
      </w:r>
    </w:p>
    <w:p w14:paraId="13FF8750">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u w:val="none" w:color="auto"/>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年初预算为121.64万元，支出决算为121.15万元，决算数小于年初预算数的主要原因是：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人员减少。</w:t>
      </w:r>
    </w:p>
    <w:p w14:paraId="6C255B8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5、社会保障和就业支出（类）行政事业单位养老支出（款）其他社会保障和就业支出（项）</w:t>
      </w:r>
    </w:p>
    <w:p w14:paraId="4EC44E5D">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年初预算为60.73万元，支出决算为63.70万元，决算数大于年初预算数的主要原因是：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部分为财政追加部门预算支出。</w:t>
      </w:r>
    </w:p>
    <w:p w14:paraId="4CF6A85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6、卫生健康支出（类）行政事业单位医疗（款）行政单位医疗（项）</w:t>
      </w:r>
    </w:p>
    <w:p w14:paraId="75B1C249">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年初预算为33.05万元，支出决算为34.44万元，决算数大于年初预算数的主要原因是：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部分为财政追加部门预算支出。</w:t>
      </w:r>
    </w:p>
    <w:p w14:paraId="0F08E8C9">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7、城乡社区支出（类）城乡社区管理事务（款）行政运行（项）</w:t>
      </w:r>
    </w:p>
    <w:p w14:paraId="5808B49E">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u w:val="none" w:color="auto"/>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年初预算为631.75万元，支出决算为578.81万元，决算数小于年初预算数的主要原因是：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人员变动减少了基本工资支出。</w:t>
      </w:r>
    </w:p>
    <w:p w14:paraId="751659E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8、城乡社区支出（类）城乡社区管理事务（款）工程建设管理（项）</w:t>
      </w:r>
    </w:p>
    <w:p w14:paraId="2489C4E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年初预算为250万元，支出决算为0万元，决算数小于年初预算数的主要原因是：2025年施工图审查服务未产生支出</w:t>
      </w:r>
      <w:r>
        <w:rPr>
          <w:rFonts w:hint="eastAsia" w:ascii="Times New Roman" w:hAnsi="Times New Roman" w:eastAsia="仿宋_GB2312" w:cs="仿宋_GB2312"/>
          <w:bCs/>
          <w:color w:val="auto"/>
          <w:kern w:val="0"/>
          <w:sz w:val="32"/>
          <w:szCs w:val="32"/>
          <w:u w:val="none" w:color="auto"/>
          <w:lang w:val="en-US" w:eastAsia="zh-CN" w:bidi="ar-SA"/>
        </w:rPr>
        <w:t>。</w:t>
      </w:r>
    </w:p>
    <w:p w14:paraId="17DDEB2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9、城乡社区支出（类）城乡社区管理事务（款）其他城乡社区管理事务支出</w:t>
      </w:r>
    </w:p>
    <w:p w14:paraId="0904B07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年初预算为110万元，支出决算为1355.75万元，决算数大于年初预算数的主要原因是：专项项目建设调整，资金相应调整。</w:t>
      </w:r>
    </w:p>
    <w:p w14:paraId="35768B77">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10、城乡社区支出（类）城乡社区公共设施（款）其他城乡社区公共设施支出（项）</w:t>
      </w:r>
    </w:p>
    <w:p w14:paraId="76CEDE4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年初预算为0万元，支出决算为427.32万元，决算数大于年初预算数的主要原因是：专项项目建设调整，资金相应调整。</w:t>
      </w:r>
    </w:p>
    <w:p w14:paraId="14C9B13F">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11、城乡社区支出（类）其他城乡社区支出（款）其他城乡社区支出（项）</w:t>
      </w:r>
    </w:p>
    <w:p w14:paraId="664D4C8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年初预算为0万元，支出决算为271.10万元，决算数大于年初预算数的主要原因是：专项项目建设调整，资金相应调整。</w:t>
      </w:r>
    </w:p>
    <w:p w14:paraId="3A3EB120">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12.交通运输支出（类）公路水路运输（款）公路建设（项）</w:t>
      </w:r>
    </w:p>
    <w:p w14:paraId="1A9CA2C5">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年初预算为0万元，支出决算为100万元，决算数大于年初预算数的主要原因是：专项项目建设调整，资金相应调整。</w:t>
      </w:r>
    </w:p>
    <w:p w14:paraId="661F67DB">
      <w:pPr>
        <w:pStyle w:val="14"/>
        <w:keepNext w:val="0"/>
        <w:keepLines w:val="0"/>
        <w:pageBreakBefore w:val="0"/>
        <w:widowControl w:val="0"/>
        <w:numPr>
          <w:ilvl w:val="0"/>
          <w:numId w:val="1"/>
        </w:numPr>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资源勘探工业信息等支出（类）制造业（款）通信设备、计算机及其他电子设备制造业（项）</w:t>
      </w:r>
    </w:p>
    <w:p w14:paraId="6D47BE3A">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default"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年初预算为0万元，支出决算为7.1万元，决算数大于年初预算数的主要原因是：</w:t>
      </w:r>
      <w:r>
        <w:rPr>
          <w:rFonts w:hint="eastAsia" w:ascii="Times New Roman" w:hAnsi="Times New Roman" w:eastAsia="仿宋_GB2312" w:cs="仿宋_GB2312"/>
          <w:bCs/>
          <w:color w:val="auto"/>
          <w:kern w:val="0"/>
          <w:sz w:val="32"/>
          <w:szCs w:val="32"/>
          <w:u w:val="none" w:color="auto"/>
          <w:lang w:val="en-US" w:eastAsia="zh-CN" w:bidi="ar-SA"/>
        </w:rPr>
        <w:t>财政追加部门预算支出</w:t>
      </w:r>
      <w:r>
        <w:rPr>
          <w:rFonts w:hint="eastAsia" w:ascii="Times New Roman" w:hAnsi="Times New Roman" w:eastAsia="仿宋_GB2312" w:cs="仿宋_GB2312"/>
          <w:bCs/>
          <w:color w:val="auto"/>
          <w:kern w:val="0"/>
          <w:sz w:val="32"/>
          <w:szCs w:val="32"/>
          <w:lang w:val="en-US" w:eastAsia="zh-CN" w:bidi="ar-SA"/>
        </w:rPr>
        <w:t>。</w:t>
      </w:r>
    </w:p>
    <w:p w14:paraId="1DD9B3EB">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hint="eastAsia" w:ascii="Times New Roman" w:hAnsi="Times New Roman" w:eastAsia="仿宋_GB2312" w:cs="仿宋_GB2312"/>
          <w:bCs/>
          <w:color w:val="auto"/>
          <w:kern w:val="0"/>
          <w:sz w:val="32"/>
          <w:szCs w:val="32"/>
          <w:lang w:val="en-US" w:eastAsia="zh-CN" w:bidi="ar-SA"/>
        </w:rPr>
      </w:pPr>
      <w:r>
        <w:rPr>
          <w:rFonts w:hint="eastAsia" w:ascii="Times New Roman" w:hAnsi="Times New Roman" w:eastAsia="仿宋_GB2312" w:cs="仿宋_GB2312"/>
          <w:bCs/>
          <w:color w:val="auto"/>
          <w:kern w:val="0"/>
          <w:sz w:val="32"/>
          <w:szCs w:val="32"/>
          <w:lang w:val="en-US" w:eastAsia="zh-CN" w:bidi="ar-SA"/>
        </w:rPr>
        <w:t>14、住房保障支出（类）保障性安居工程支出（款）其他保障性安居工程支出（项）</w:t>
      </w:r>
    </w:p>
    <w:p w14:paraId="4962C515">
      <w:pPr>
        <w:pStyle w:val="14"/>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ind w:firstLine="640" w:firstLineChars="200"/>
        <w:textAlignment w:val="auto"/>
        <w:rPr>
          <w:rFonts w:hint="eastAsia" w:ascii="Times New Roman" w:hAnsi="Times New Roman" w:eastAsia="仿宋_GB2312"/>
          <w:sz w:val="32"/>
          <w:szCs w:val="32"/>
          <w:highlight w:val="none"/>
        </w:rPr>
      </w:pPr>
      <w:r>
        <w:rPr>
          <w:rFonts w:hint="eastAsia" w:ascii="Times New Roman" w:hAnsi="Times New Roman" w:eastAsia="仿宋_GB2312" w:cs="仿宋_GB2312"/>
          <w:bCs/>
          <w:color w:val="auto"/>
          <w:kern w:val="0"/>
          <w:sz w:val="32"/>
          <w:szCs w:val="32"/>
          <w:lang w:val="en-US" w:eastAsia="zh-CN" w:bidi="ar-SA"/>
        </w:rPr>
        <w:t>年初预算为0万元，支出决算为14.43万元，决算数大于年初预算数的主要原因是</w:t>
      </w:r>
      <w:r>
        <w:rPr>
          <w:rFonts w:hint="eastAsia" w:ascii="Times New Roman" w:hAnsi="Times New Roman" w:eastAsia="仿宋_GB2312"/>
          <w:sz w:val="32"/>
          <w:szCs w:val="32"/>
          <w:highlight w:val="none"/>
          <w:lang w:val="en-US" w:eastAsia="zh-CN"/>
        </w:rPr>
        <w:t>年初预算支出方向未进行细分，决算时进行了细分。</w:t>
      </w:r>
    </w:p>
    <w:p w14:paraId="0B439709">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6475AAE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923.13</w:t>
      </w:r>
      <w:r>
        <w:rPr>
          <w:rFonts w:ascii="Times New Roman" w:hAnsi="Times New Roman" w:eastAsia="仿宋_GB2312" w:cs="Times New Roman"/>
          <w:sz w:val="32"/>
          <w:szCs w:val="32"/>
        </w:rPr>
        <w:t>万元，其中：</w:t>
      </w:r>
    </w:p>
    <w:p w14:paraId="0BC55A9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829.25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89.83</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eastAsia="zh-CN"/>
        </w:rPr>
        <w:t>、</w:t>
      </w:r>
      <w:r>
        <w:rPr>
          <w:rFonts w:hint="eastAsia" w:ascii="仿宋" w:hAnsi="仿宋" w:eastAsia="仿宋" w:cs="仿宋"/>
          <w:sz w:val="32"/>
          <w:szCs w:val="32"/>
          <w:shd w:val="clear" w:color="auto" w:fill="FFFFFF"/>
          <w:lang w:bidi="ar"/>
        </w:rPr>
        <w:t>养老保险、职业年金、医疗保险、其他社会保障缴费、住房公积金、其他工资福利、退休费、抚恤金、生活补助、其他对个人和家庭的补助</w:t>
      </w:r>
      <w:r>
        <w:rPr>
          <w:rFonts w:ascii="Times New Roman" w:hAnsi="Times New Roman" w:eastAsia="仿宋_GB2312" w:cs="Times New Roman"/>
          <w:sz w:val="32"/>
          <w:szCs w:val="32"/>
        </w:rPr>
        <w:t>。</w:t>
      </w:r>
    </w:p>
    <w:p w14:paraId="4298FEBF">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93.88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10.17</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主要包括办公费、邮电费、差旅费、</w:t>
      </w:r>
      <w:r>
        <w:rPr>
          <w:rFonts w:hint="eastAsia" w:ascii="Times New Roman" w:hAnsi="Times New Roman" w:eastAsia="仿宋_GB2312"/>
          <w:sz w:val="32"/>
          <w:szCs w:val="32"/>
          <w:lang w:val="en-US" w:eastAsia="zh-CN"/>
        </w:rPr>
        <w:t>公务接待费</w:t>
      </w:r>
      <w:r>
        <w:rPr>
          <w:rFonts w:hint="eastAsia" w:ascii="Times New Roman" w:hAnsi="Times New Roman" w:eastAsia="仿宋_GB2312"/>
          <w:sz w:val="32"/>
          <w:szCs w:val="32"/>
        </w:rPr>
        <w:t>、工会经费、公务用车运行维护费、</w:t>
      </w:r>
      <w:r>
        <w:rPr>
          <w:rFonts w:hint="eastAsia" w:ascii="Times New Roman" w:hAnsi="Times New Roman" w:eastAsia="仿宋_GB2312"/>
          <w:sz w:val="32"/>
          <w:szCs w:val="32"/>
          <w:lang w:val="en-US" w:eastAsia="zh-CN"/>
        </w:rPr>
        <w:t>福利费、</w:t>
      </w:r>
      <w:r>
        <w:rPr>
          <w:rFonts w:hint="eastAsia" w:ascii="Times New Roman" w:hAnsi="Times New Roman" w:eastAsia="仿宋_GB2312"/>
          <w:sz w:val="32"/>
          <w:szCs w:val="32"/>
        </w:rPr>
        <w:t>其他交通费、其他商品服务支出</w:t>
      </w:r>
      <w:r>
        <w:rPr>
          <w:rFonts w:ascii="Times New Roman" w:hAnsi="Times New Roman" w:eastAsia="仿宋_GB2312" w:cs="Times New Roman"/>
          <w:sz w:val="32"/>
          <w:szCs w:val="32"/>
        </w:rPr>
        <w:t>。</w:t>
      </w:r>
    </w:p>
    <w:p w14:paraId="40CFD39E">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14:paraId="0C6F0D40">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6413FE4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9.28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49.28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531.03</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8.67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21.35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大</w:t>
      </w:r>
      <w:r>
        <w:rPr>
          <w:rFonts w:ascii="Times New Roman" w:hAnsi="Times New Roman" w:eastAsia="仿宋_GB2312" w:cs="Times New Roman"/>
          <w:sz w:val="32"/>
          <w:szCs w:val="32"/>
        </w:rPr>
        <w:t>于预算数</w:t>
      </w:r>
      <w:r>
        <w:rPr>
          <w:rFonts w:hint="eastAsia" w:ascii="Times New Roman" w:hAnsi="Times New Roman" w:eastAsia="仿宋_GB2312" w:cs="Times New Roman"/>
          <w:sz w:val="32"/>
          <w:szCs w:val="32"/>
          <w:lang w:val="en-US" w:eastAsia="zh-CN"/>
        </w:rPr>
        <w:t>且</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lang w:val="en-US" w:eastAsia="zh-CN"/>
        </w:rPr>
        <w:t>2025年单位代二级机构新采购一辆公务用车</w:t>
      </w:r>
      <w:r>
        <w:rPr>
          <w:rFonts w:ascii="Times New Roman" w:hAnsi="Times New Roman" w:eastAsia="仿宋_GB2312" w:cs="Times New Roman"/>
          <w:sz w:val="32"/>
          <w:szCs w:val="32"/>
        </w:rPr>
        <w:t>。</w:t>
      </w:r>
    </w:p>
    <w:p w14:paraId="4628E43F">
      <w:pPr>
        <w:pStyle w:val="14"/>
        <w:overflowPunct w:val="0"/>
        <w:autoSpaceDE/>
        <w:autoSpaceDN/>
        <w:spacing w:line="600" w:lineRule="exact"/>
        <w:ind w:firstLine="640" w:firstLineChars="200"/>
        <w:jc w:val="both"/>
        <w:rPr>
          <w:rFonts w:ascii="Times New Roman" w:hAnsi="Times New Roman" w:eastAsia="楷体_GB2312" w:cs="Times New Roman"/>
          <w:b/>
          <w:sz w:val="32"/>
          <w:szCs w:val="32"/>
          <w:highlight w:val="none"/>
        </w:rPr>
      </w:pPr>
      <w:r>
        <w:rPr>
          <w:rFonts w:ascii="Times New Roman" w:hAnsi="Times New Roman" w:eastAsia="楷体_GB2312" w:cs="Times New Roman"/>
          <w:b/>
          <w:sz w:val="32"/>
          <w:szCs w:val="32"/>
          <w:highlight w:val="none"/>
        </w:rPr>
        <w:t>（二）“三公”经费财政拨款支出决算具体情况说明</w:t>
      </w:r>
    </w:p>
    <w:p w14:paraId="3F65D2E9">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保持不变，</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sz w:val="32"/>
          <w:szCs w:val="32"/>
        </w:rPr>
        <w:t>安排因公出国（境）团组0个，累计0人次</w:t>
      </w:r>
      <w:r>
        <w:rPr>
          <w:rFonts w:hint="eastAsia" w:ascii="Times New Roman" w:hAnsi="Times New Roman" w:eastAsia="仿宋_GB2312"/>
          <w:sz w:val="32"/>
          <w:szCs w:val="32"/>
          <w:lang w:eastAsia="zh-CN"/>
        </w:rPr>
        <w:t>。</w:t>
      </w:r>
    </w:p>
    <w:p w14:paraId="23A52EB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49.21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10.90</w:t>
      </w:r>
    </w:p>
    <w:p w14:paraId="6DF8057D">
      <w:pPr>
        <w:pStyle w:val="14"/>
        <w:overflowPunct w:val="0"/>
        <w:autoSpaceDE/>
        <w:autoSpaceDN/>
        <w:spacing w:line="600"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28.45</w:t>
      </w:r>
      <w:r>
        <w:rPr>
          <w:rFonts w:ascii="Times New Roman" w:hAnsi="Times New Roman" w:eastAsia="仿宋_GB2312" w:cs="Times New Roman"/>
          <w:sz w:val="32"/>
          <w:szCs w:val="32"/>
        </w:rPr>
        <w:t>%。其中：</w:t>
      </w:r>
    </w:p>
    <w:p w14:paraId="4B6F430F">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单位二级机构</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2569DBC8">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highlight w:val="yellow"/>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9.21</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val="en-US" w:eastAsia="zh-CN"/>
        </w:rPr>
        <w:t>油料费、保险费、高速过路费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143.91</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减少4.10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下降30.80</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决算数大于预算数的主要原因是</w:t>
      </w:r>
      <w:r>
        <w:rPr>
          <w:rFonts w:hint="eastAsia" w:ascii="Times New Roman" w:hAnsi="Times New Roman" w:eastAsia="仿宋_GB2312" w:cs="Times New Roman"/>
          <w:sz w:val="32"/>
          <w:szCs w:val="32"/>
          <w:highlight w:val="none"/>
          <w:lang w:val="en-US" w:eastAsia="zh-CN"/>
        </w:rPr>
        <w:t>公务接待费调整为公务用车运行维护费支出</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2025</w:t>
      </w:r>
      <w:r>
        <w:rPr>
          <w:rFonts w:ascii="Times New Roman" w:hAnsi="Times New Roman" w:eastAsia="仿宋_GB2312" w:cs="Times New Roman"/>
          <w:sz w:val="32"/>
          <w:szCs w:val="32"/>
          <w:highlight w:val="none"/>
        </w:rPr>
        <w:t>年12月31日，我单位开支财政拨款的公务用车保有量为</w:t>
      </w:r>
      <w:r>
        <w:rPr>
          <w:rFonts w:hint="eastAsia" w:ascii="Times New Roman" w:hAnsi="Times New Roman" w:eastAsia="仿宋_GB2312"/>
          <w:sz w:val="32"/>
          <w:szCs w:val="32"/>
          <w:highlight w:val="none"/>
        </w:rPr>
        <w:t>2辆</w:t>
      </w:r>
      <w:r>
        <w:rPr>
          <w:rFonts w:ascii="Times New Roman" w:hAnsi="Times New Roman" w:eastAsia="仿宋_GB2312" w:cs="Times New Roman"/>
          <w:sz w:val="32"/>
          <w:szCs w:val="32"/>
          <w:highlight w:val="none"/>
        </w:rPr>
        <w:t>。</w:t>
      </w:r>
    </w:p>
    <w:p w14:paraId="004237DF">
      <w:pPr>
        <w:pStyle w:val="14"/>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2.88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完成预算的2.43%；</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96.96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严格控制公务接待，非必要不接待</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严格控制公务接待，非必要不接待</w:t>
      </w:r>
      <w:r>
        <w:rPr>
          <w:rFonts w:ascii="Times New Roman" w:hAnsi="Times New Roman" w:eastAsia="仿宋_GB2312" w:cs="Times New Roman"/>
          <w:sz w:val="32"/>
          <w:szCs w:val="32"/>
        </w:rPr>
        <w:t>。</w:t>
      </w:r>
      <w:r>
        <w:rPr>
          <w:rFonts w:hint="eastAsia" w:ascii="Times New Roman" w:hAnsi="Times New Roman" w:eastAsia="仿宋_GB2312" w:cs="仿宋_GB2312"/>
          <w:bCs/>
          <w:color w:val="auto"/>
          <w:kern w:val="0"/>
          <w:sz w:val="32"/>
          <w:szCs w:val="32"/>
          <w:lang w:val="en-US" w:eastAsia="zh-CN" w:bidi="ar-SA"/>
        </w:rPr>
        <w:t>全年共接待来访团组1个、来宾2人次，主要是上级部门检查督查工作等发生的接待支出。</w:t>
      </w:r>
    </w:p>
    <w:p w14:paraId="2FA2498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043BE430">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rPr>
        <w:t>28570.87</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rPr>
        <w:t>28570.87</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28570.87</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436372D">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国有土地使用权出让收入安排的支出（款）其他国有土地使用权出让收入安排的支出（项）</w:t>
      </w:r>
    </w:p>
    <w:p w14:paraId="67D16A18">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240" w:lineRule="auto"/>
        <w:ind w:firstLine="640" w:firstLineChars="200"/>
        <w:jc w:val="both"/>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决算数大于年初预算数的主要原因是：此项目属预算调整追加项目</w:t>
      </w:r>
      <w:r>
        <w:rPr>
          <w:rFonts w:hint="eastAsia" w:ascii="Times New Roman" w:hAnsi="Times New Roman" w:eastAsia="仿宋_GB2312" w:cs="Times New Roman"/>
          <w:sz w:val="32"/>
          <w:szCs w:val="32"/>
          <w:lang w:eastAsia="zh-CN"/>
        </w:rPr>
        <w:t>。</w:t>
      </w:r>
    </w:p>
    <w:p w14:paraId="20CC40B7">
      <w:pPr>
        <w:pStyle w:val="14"/>
        <w:numPr>
          <w:ilvl w:val="0"/>
          <w:numId w:val="2"/>
        </w:numPr>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城市基础设施配套费安排的支出</w:t>
      </w:r>
      <w:r>
        <w:rPr>
          <w:rFonts w:hint="eastAsia" w:ascii="Times New Roman" w:hAnsi="Times New Roman" w:eastAsia="仿宋_GB2312" w:cs="Times New Roman"/>
          <w:sz w:val="32"/>
          <w:szCs w:val="32"/>
        </w:rPr>
        <w:t>（款）其他</w:t>
      </w:r>
      <w:r>
        <w:rPr>
          <w:rFonts w:hint="eastAsia" w:ascii="Times New Roman" w:hAnsi="Times New Roman" w:eastAsia="仿宋_GB2312" w:cs="Times New Roman"/>
          <w:sz w:val="32"/>
          <w:szCs w:val="32"/>
          <w:lang w:val="en-US" w:eastAsia="zh-CN"/>
        </w:rPr>
        <w:t>城市基础设施配套费安排的支出</w:t>
      </w:r>
      <w:r>
        <w:rPr>
          <w:rFonts w:hint="eastAsia" w:ascii="Times New Roman" w:hAnsi="Times New Roman" w:eastAsia="仿宋_GB2312" w:cs="Times New Roman"/>
          <w:sz w:val="32"/>
          <w:szCs w:val="32"/>
        </w:rPr>
        <w:t>（项）</w:t>
      </w:r>
      <w:r>
        <w:rPr>
          <w:rFonts w:ascii="Times New Roman" w:hAnsi="Times New Roman" w:eastAsia="仿宋_GB2312" w:cs="Times New Roman"/>
          <w:sz w:val="32"/>
          <w:szCs w:val="32"/>
        </w:rPr>
        <w:t>。</w:t>
      </w:r>
    </w:p>
    <w:p w14:paraId="442676C3">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142.24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单位运行过程中严格控制无预算支出，相关支出减少</w:t>
      </w:r>
      <w:r>
        <w:rPr>
          <w:rFonts w:hint="eastAsia" w:ascii="Times New Roman" w:hAnsi="Times New Roman" w:eastAsia="仿宋_GB2312" w:cs="Times New Roman"/>
          <w:sz w:val="32"/>
          <w:szCs w:val="32"/>
          <w:lang w:eastAsia="zh-CN"/>
        </w:rPr>
        <w:t>。</w:t>
      </w:r>
    </w:p>
    <w:p w14:paraId="45C56B8A">
      <w:pPr>
        <w:pStyle w:val="14"/>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污水处理费安排的支出（款）其他污水处理费安排的支出（项）</w:t>
      </w:r>
    </w:p>
    <w:p w14:paraId="72D17530">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年初预算为128万元，支出决算为80.34万元，</w:t>
      </w:r>
      <w:r>
        <w:rPr>
          <w:rFonts w:hint="eastAsia"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小于</w:t>
      </w:r>
      <w:r>
        <w:rPr>
          <w:rFonts w:hint="eastAsia"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单位运行过程中严格控制预算，相关支出减少</w:t>
      </w:r>
      <w:r>
        <w:rPr>
          <w:rFonts w:hint="eastAsia" w:ascii="Times New Roman" w:hAnsi="Times New Roman" w:eastAsia="仿宋_GB2312" w:cs="Times New Roman"/>
          <w:sz w:val="32"/>
          <w:szCs w:val="32"/>
          <w:lang w:eastAsia="zh-CN"/>
        </w:rPr>
        <w:t>。</w:t>
      </w:r>
    </w:p>
    <w:p w14:paraId="5E599264">
      <w:pPr>
        <w:pStyle w:val="14"/>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城乡社区支出（类）</w:t>
      </w:r>
      <w:r>
        <w:rPr>
          <w:rFonts w:hint="eastAsia" w:ascii="Times New Roman" w:hAnsi="Times New Roman" w:eastAsia="仿宋_GB2312" w:cs="Times New Roman"/>
          <w:sz w:val="32"/>
          <w:szCs w:val="32"/>
          <w:lang w:val="en-US" w:eastAsia="zh-CN"/>
        </w:rPr>
        <w:t>国有土地使用权出让收入安排的支出（款）城市建设支出</w:t>
      </w:r>
    </w:p>
    <w:p w14:paraId="6FD26396">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240" w:lineRule="auto"/>
        <w:ind w:firstLine="640" w:firstLineChars="200"/>
        <w:jc w:val="both"/>
        <w:textAlignment w:val="auto"/>
        <w:rPr>
          <w:rFonts w:hint="eastAsia"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26990.98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决算数大于年初预算数的主要原因是：此项目属预算调整追加项目</w:t>
      </w:r>
      <w:r>
        <w:rPr>
          <w:rFonts w:hint="eastAsia" w:ascii="Times New Roman" w:hAnsi="Times New Roman" w:eastAsia="仿宋_GB2312" w:cs="Times New Roman"/>
          <w:sz w:val="32"/>
          <w:szCs w:val="32"/>
          <w:lang w:eastAsia="zh-CN"/>
        </w:rPr>
        <w:t>。</w:t>
      </w:r>
    </w:p>
    <w:p w14:paraId="51EA8880">
      <w:pPr>
        <w:pStyle w:val="14"/>
        <w:numPr>
          <w:ilvl w:val="0"/>
          <w:numId w:val="2"/>
        </w:numPr>
        <w:overflowPunct w:val="0"/>
        <w:autoSpaceDE/>
        <w:autoSpaceDN/>
        <w:spacing w:line="600" w:lineRule="exact"/>
        <w:ind w:left="0" w:leftChars="0"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节能环保支出（类）超长期国债安排的支出（款）水污染综合治理（项）</w:t>
      </w:r>
    </w:p>
    <w:p w14:paraId="390FCD6F">
      <w:pPr>
        <w:pStyle w:val="14"/>
        <w:keepNext w:val="0"/>
        <w:keepLines w:val="0"/>
        <w:pageBreakBefore w:val="0"/>
        <w:widowControl w:val="0"/>
        <w:numPr>
          <w:ilvl w:val="0"/>
          <w:numId w:val="0"/>
        </w:numPr>
        <w:kinsoku/>
        <w:wordWrap/>
        <w:overflowPunct w:val="0"/>
        <w:topLinePunct w:val="0"/>
        <w:autoSpaceDE/>
        <w:autoSpaceDN/>
        <w:bidi w:val="0"/>
        <w:adjustRightInd w:val="0"/>
        <w:snapToGrid/>
        <w:spacing w:line="240" w:lineRule="auto"/>
        <w:ind w:firstLine="640" w:firstLineChars="200"/>
        <w:jc w:val="both"/>
        <w:textAlignment w:val="auto"/>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157.34</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rPr>
        <w:t>决算数大于年初预算数的主要原因是：此项目属预算调整追加项目</w:t>
      </w:r>
      <w:r>
        <w:rPr>
          <w:rFonts w:hint="eastAsia" w:ascii="Times New Roman" w:hAnsi="Times New Roman" w:eastAsia="仿宋_GB2312" w:cs="Times New Roman"/>
          <w:sz w:val="32"/>
          <w:szCs w:val="32"/>
          <w:lang w:eastAsia="zh-CN"/>
        </w:rPr>
        <w:t>。</w:t>
      </w:r>
    </w:p>
    <w:p w14:paraId="3CA4C5E4">
      <w:pPr>
        <w:pStyle w:val="14"/>
        <w:spacing w:line="600" w:lineRule="exact"/>
        <w:ind w:firstLine="640" w:firstLineChars="200"/>
        <w:rPr>
          <w:rFonts w:ascii="Times New Roman" w:hAnsi="Times New Roman" w:cs="Times New Roman"/>
          <w:bCs/>
          <w:sz w:val="32"/>
          <w:szCs w:val="32"/>
        </w:rPr>
      </w:pPr>
      <w:r>
        <w:rPr>
          <w:rFonts w:hint="eastAsia" w:ascii="Times New Roman" w:hAnsi="Times New Roman" w:cs="Times New Roman"/>
          <w:bCs/>
          <w:sz w:val="32"/>
          <w:szCs w:val="32"/>
          <w:lang w:val="en-US" w:eastAsia="zh-CN"/>
        </w:rPr>
        <w:t>九、</w:t>
      </w:r>
      <w:r>
        <w:rPr>
          <w:rFonts w:hint="eastAsia" w:ascii="Times New Roman" w:hAnsi="Times New Roman" w:cs="Times New Roman"/>
          <w:bCs/>
          <w:sz w:val="32"/>
          <w:szCs w:val="32"/>
        </w:rPr>
        <w:t>国有资本经营预算财政拨款支出决算情况说明</w:t>
      </w:r>
    </w:p>
    <w:p w14:paraId="44884FEA">
      <w:pPr>
        <w:pStyle w:val="14"/>
        <w:spacing w:line="600" w:lineRule="exact"/>
        <w:ind w:firstLine="640" w:firstLineChars="200"/>
        <w:rPr>
          <w:rFonts w:hint="eastAsia" w:ascii="Times New Roman" w:hAnsi="Times New Roman" w:eastAsia="仿宋_GB2312" w:cs="Times New Roman"/>
          <w:sz w:val="32"/>
          <w:szCs w:val="32"/>
          <w:lang w:eastAsia="zh-CN"/>
        </w:rPr>
      </w:pPr>
      <w:r>
        <w:rPr>
          <w:rFonts w:hint="eastAsia" w:ascii="Times New Roman" w:hAnsi="Times New Roman" w:eastAsia="仿宋_GB2312"/>
          <w:sz w:val="32"/>
          <w:szCs w:val="32"/>
        </w:rPr>
        <w:t>本单位无国有资本经营预算财政拨款支出。</w:t>
      </w:r>
    </w:p>
    <w:p w14:paraId="03CC69CE">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36BE40F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93.88</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减少20.28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下降17.76</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lang w:val="en-US" w:eastAsia="zh-CN"/>
        </w:rPr>
        <w:t>单位运行过程中严格控制预算，相关支出减少</w:t>
      </w:r>
      <w:r>
        <w:rPr>
          <w:rFonts w:hint="eastAsia" w:ascii="Times New Roman" w:hAnsi="Times New Roman" w:eastAsia="仿宋_GB2312" w:cs="Times New Roman"/>
          <w:sz w:val="32"/>
          <w:szCs w:val="32"/>
          <w:lang w:eastAsia="zh-CN"/>
        </w:rPr>
        <w:t>。</w:t>
      </w:r>
    </w:p>
    <w:p w14:paraId="07F2088F">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6AF399AF">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1.85</w:t>
      </w:r>
      <w:r>
        <w:rPr>
          <w:rFonts w:ascii="Times New Roman" w:hAnsi="Times New Roman" w:eastAsia="仿宋_GB2312" w:cs="Times New Roman"/>
          <w:sz w:val="32"/>
          <w:szCs w:val="32"/>
        </w:rPr>
        <w:t>万元，</w:t>
      </w:r>
      <w:r>
        <w:rPr>
          <w:rFonts w:hint="eastAsia" w:ascii="Times New Roman" w:hAnsi="Times New Roman" w:eastAsia="仿宋_GB2312"/>
          <w:color w:val="auto"/>
          <w:sz w:val="32"/>
          <w:szCs w:val="32"/>
        </w:rPr>
        <w:t>用</w:t>
      </w:r>
      <w:r>
        <w:rPr>
          <w:rFonts w:hint="eastAsia" w:ascii="Times New Roman" w:hAnsi="Times New Roman" w:eastAsia="仿宋_GB2312"/>
          <w:sz w:val="32"/>
          <w:szCs w:val="32"/>
        </w:rPr>
        <w:t>于召开全市建筑行业管理相关会议，内容为</w:t>
      </w:r>
      <w:r>
        <w:rPr>
          <w:rFonts w:hint="eastAsia" w:ascii="Times New Roman" w:hAnsi="Times New Roman" w:eastAsia="仿宋_GB2312"/>
          <w:sz w:val="32"/>
          <w:szCs w:val="32"/>
          <w:lang w:val="en-US" w:eastAsia="zh-CN"/>
        </w:rPr>
        <w:t>全市建筑工程管理及质量安全工作会议、全市住保工作推进会议、全市房地产市场监管及保交楼工作推进会议、全市住建重点领域工作推进会议、全市房地产领域信访维稳工作调度会议、全市老旧小区改造等城市重点工作座谈会、全市自建房安全专项整治工作调度会议等</w:t>
      </w:r>
      <w:r>
        <w:rPr>
          <w:rFonts w:hint="eastAsia" w:ascii="Times New Roman" w:hAnsi="Times New Roman" w:eastAsia="仿宋_GB2312"/>
          <w:sz w:val="32"/>
          <w:szCs w:val="32"/>
        </w:rPr>
        <w:t>；</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5AF28F3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3041987B">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30746.15</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30746.15</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746.15</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2.43</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46.15</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6.19</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2.43</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200C35E1">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3242C435">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ascii="Times New Roman" w:hAnsi="Times New Roman" w:eastAsia="仿宋_GB2312" w:cs="Times New Roman"/>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2025</w:t>
      </w:r>
      <w:r>
        <w:rPr>
          <w:rFonts w:hint="eastAsia" w:ascii="Times New Roman" w:hAnsi="Times New Roman" w:eastAsia="仿宋_GB2312"/>
          <w:color w:val="auto"/>
          <w:sz w:val="32"/>
          <w:szCs w:val="32"/>
        </w:rPr>
        <w:t>年12月31日，</w:t>
      </w:r>
      <w:r>
        <w:rPr>
          <w:rFonts w:hint="eastAsia" w:ascii="Times New Roman" w:hAnsi="Times New Roman" w:eastAsia="仿宋_GB2312"/>
          <w:color w:val="auto"/>
          <w:sz w:val="32"/>
          <w:szCs w:val="32"/>
          <w:lang w:eastAsia="zh-CN"/>
        </w:rPr>
        <w:t>部门（单位）</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2</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1</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14:paraId="78D168E0">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14:paraId="1547B46F">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080DE4A8">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我单位积极组织实施了2025年度专项资金管理，建立了专项资金和项目管理制度，规范了实施程序，较好的完成了2025年度工作目标，根据《部门整体支出绩效评价指标表》，2025年度部门整体绩效自评综合评分为95.83分，评价等级为“优”。</w:t>
      </w:r>
    </w:p>
    <w:p w14:paraId="7FDA4087">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ascii="Times New Roman" w:hAnsi="Times New Roman" w:eastAsia="楷体" w:cs="Times New Roman"/>
          <w:b/>
          <w:bCs/>
          <w:sz w:val="32"/>
          <w:szCs w:val="32"/>
        </w:rPr>
      </w:pPr>
      <w:r>
        <w:rPr>
          <w:rFonts w:hint="eastAsia" w:ascii="Times New Roman" w:hAnsi="Times New Roman" w:eastAsia="仿宋_GB2312"/>
          <w:color w:val="auto"/>
          <w:sz w:val="32"/>
          <w:szCs w:val="32"/>
          <w:lang w:val="en-US" w:eastAsia="zh-CN"/>
        </w:rPr>
        <w:t>我单位根据往年资金使用情况及本年使用计划编制预算，按照财务制度规定安排支出，严格控制“三公经费”。积极推动项目实施，加快预算执行进度。加强绩效管理，切实履行主体责任，注重绩效结果运用，提高财政资金使用效益。进一步加强全年工作计划及预算精准度。</w:t>
      </w:r>
    </w:p>
    <w:p w14:paraId="02C71C13">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部门整体支出绩效情况</w:t>
      </w:r>
    </w:p>
    <w:p w14:paraId="4CC6B722">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75" w:afterAutospacing="0" w:line="510" w:lineRule="atLeast"/>
        <w:ind w:left="0" w:right="0" w:firstLine="420"/>
        <w:jc w:val="both"/>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pPr>
      <w:r>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t>1、坚决扛牢“保交楼”“保交房”政治责任。面对房地产市场下行压力，将“保交楼”“保交房”作为首要民生工程全力推进。全市95个“保交楼”项目、40个“保交房”项目已全部交付，交付率达100%。稳妥化解恒大项目风险，创新实施精装修货币补偿方案，全面完成恒大精装修补偿兑付4409户，金额4.25亿元。全市11个房屋市政工程获评2025年度湖南省芙蓉优质工程。持续攻坚历史遗留问题，市城区已有208个处遗项目进入办证程序，累计办理产权证9.7万余本，其中，今年新增办证12299本，领证8860本。</w:t>
      </w:r>
    </w:p>
    <w:p w14:paraId="014AEC7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75" w:afterAutospacing="0" w:line="510" w:lineRule="atLeast"/>
        <w:ind w:left="0" w:right="0" w:firstLine="420"/>
        <w:jc w:val="both"/>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pPr>
      <w:r>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t>2、持续深化生态环境治理。以太平溪流域治理为重点，专班推进“撇清”“截污”工程。流域水环境持续改善，太平溪从2025年10月开始连续3个月无劣Ⅴ类水质断面，太平溪最终以Ⅴ类水质汇入舞水。太平溪溢流量大幅减少，已由2024年5月的5.8万吨/天减至2025年12月的0.3万吨/天。全市49个国省控断面水质年均值全部达标。生态文明创建成果显著，成功获评国家“绿水青山就是金山银山”实践创新基地1个、国家级生态文明建设示范区5个，率先实现省级生态文明建设示范区全覆盖。茅谷冲溪黑臭水体完成整治销号。</w:t>
      </w:r>
    </w:p>
    <w:p w14:paraId="77AC424F">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75" w:afterAutospacing="0" w:line="510" w:lineRule="atLeast"/>
        <w:ind w:left="0" w:right="0" w:firstLine="420"/>
        <w:jc w:val="both"/>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pPr>
      <w:r>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t>3、前瞻谋划城市发展项目。紧扣政策导向，超前谋划城东片区雨污分流管网改扩建等3个地下管网重点项目，估算总投资5.31亿元，积极争取超长期特别国债支持。同步启动城市体检与城市更新专项规划编制，为“十五五”城市高质量发展夯实项目基础。</w:t>
      </w:r>
    </w:p>
    <w:p w14:paraId="376A1DD1">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75" w:afterAutospacing="0" w:line="510" w:lineRule="atLeast"/>
        <w:ind w:left="0" w:right="0" w:firstLine="420"/>
        <w:jc w:val="both"/>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pPr>
      <w:r>
        <w:rPr>
          <w:rFonts w:hint="eastAsia" w:ascii="仿宋_GB2312" w:hAnsi="仿宋_GB2312" w:eastAsia="仿宋_GB2312" w:cs="仿宋_GB2312"/>
          <w:b w:val="0"/>
          <w:bCs w:val="0"/>
          <w:i w:val="0"/>
          <w:iCs w:val="0"/>
          <w:caps w:val="0"/>
          <w:color w:val="3D3D3D"/>
          <w:spacing w:val="0"/>
          <w:sz w:val="32"/>
          <w:szCs w:val="32"/>
          <w:shd w:val="clear" w:color="auto" w:fill="FFFFFF"/>
          <w:lang w:val="en-US" w:eastAsia="zh-CN"/>
        </w:rPr>
        <w:t>4、保障全省旅发大会顺利举办。成立工作专班，全面推行“731”工作法，细化任务、倒排工期、挂图作战，形成闭环管理机制。班子成员一线调度，分管领导现场办公，及时破解项目难题。累计完成主会场、游客集散中心及沿线风貌改造等25个核心项目的质量安全监督与消防验收，靠前服务、加强指导，召开调度会28次，确保所有项目零事故，实现质量、安全、进度全面受控。通过提前开展消防技术咨询，高效完成验收指导，为大会筑牢消防安全与建设保障。</w:t>
      </w:r>
    </w:p>
    <w:p w14:paraId="0306D37C">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14:paraId="7B27370E">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1、全年预算工作有待完善及精准；</w:t>
      </w:r>
    </w:p>
    <w:p w14:paraId="6964DE48">
      <w:pPr>
        <w:pStyle w:val="14"/>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2、需进一步加强预算管理，在预算内开展全年工作；</w:t>
      </w:r>
    </w:p>
    <w:p w14:paraId="440F2AEE">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r>
        <w:rPr>
          <w:rFonts w:hint="eastAsia" w:ascii="Times New Roman" w:hAnsi="Times New Roman" w:eastAsia="仿宋_GB2312"/>
          <w:color w:val="auto"/>
          <w:sz w:val="32"/>
          <w:szCs w:val="32"/>
          <w:lang w:val="en-US" w:eastAsia="zh-CN"/>
        </w:rPr>
        <w:t>3、公用经费缺口较大，随着部门职能的增加，履职成本有所增加，机关正常运转仅依靠城市基础设施配套费征收成本返还经费；主城区基础设施道路建设项目由于受政府财力影响存在不确定性，年初未做进部门预算内，导致部门预决算偏差较大；下一步继续做好预算工作精准度，严格预算执行，在预算内开展工作；完善内部控制，加强财务管理，提高资金使用效益。 </w:t>
      </w:r>
    </w:p>
    <w:p w14:paraId="4137C52C">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320D060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659AD6E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3381D894">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0D62605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4754B8D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52211668">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6CD1A689">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7325B32A">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1AA3E26D">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631D0A52">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551055A0">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37F12D27">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28EC9471">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103644FB">
      <w:pPr>
        <w:keepNext w:val="0"/>
        <w:keepLines w:val="0"/>
        <w:pageBreakBefore w:val="0"/>
        <w:widowControl w:val="0"/>
        <w:kinsoku/>
        <w:wordWrap/>
        <w:overflowPunct/>
        <w:topLinePunct w:val="0"/>
        <w:autoSpaceDE/>
        <w:autoSpaceDN/>
        <w:bidi w:val="0"/>
        <w:spacing w:line="560" w:lineRule="exact"/>
        <w:ind w:firstLine="640" w:firstLineChars="200"/>
        <w:jc w:val="both"/>
        <w:textAlignment w:val="auto"/>
        <w:rPr>
          <w:rFonts w:hint="eastAsia" w:ascii="Times New Roman" w:hAnsi="Times New Roman" w:eastAsia="仿宋_GB2312"/>
          <w:color w:val="auto"/>
          <w:sz w:val="32"/>
          <w:szCs w:val="32"/>
          <w:lang w:val="en-US" w:eastAsia="zh-CN"/>
        </w:rPr>
      </w:pPr>
    </w:p>
    <w:p w14:paraId="76376B20">
      <w:pPr>
        <w:pStyle w:val="14"/>
        <w:spacing w:line="360" w:lineRule="auto"/>
        <w:jc w:val="center"/>
        <w:rPr>
          <w:rFonts w:ascii="Times New Roman" w:hAnsi="Times New Roman" w:eastAsia="方正小标宋_GBK" w:cs="Times New Roman"/>
          <w:sz w:val="52"/>
          <w:szCs w:val="52"/>
        </w:rPr>
      </w:pPr>
    </w:p>
    <w:p w14:paraId="11E95D0A">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4E253C8">
      <w:pPr>
        <w:widowControl/>
        <w:jc w:val="left"/>
        <w:rPr>
          <w:rFonts w:ascii="Times New Roman" w:hAnsi="Times New Roman" w:cs="Times New Roman"/>
          <w:color w:val="000000"/>
          <w:kern w:val="0"/>
          <w:sz w:val="32"/>
          <w:szCs w:val="32"/>
        </w:rPr>
      </w:pPr>
    </w:p>
    <w:p w14:paraId="728DCCF0">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一、财政拨款收入：指单位本年度从市级财政部门取得的财政拨款。</w:t>
      </w:r>
    </w:p>
    <w:p w14:paraId="44FC0A19">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二、上级补助收入：指事业单位从主管部门和上级单位取得的非财政补助收入。</w:t>
      </w:r>
    </w:p>
    <w:p w14:paraId="141C451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三、事业收入：指事业单位开展专业业务活动及其辅助活动取得的收入，事业单位收到的财政专户实际核拨的教育收费等资金在此反映。</w:t>
      </w:r>
    </w:p>
    <w:p w14:paraId="1B942FD2">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四、经营收入：指事业单位在专业业务活动及其辅助活动之外开展非独立核算经营活动取得的收入。</w:t>
      </w:r>
    </w:p>
    <w:p w14:paraId="1EFB4D4E">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五、附属单位缴款：指事业单位附属独立核算单位按照有关规定上缴的收入。</w:t>
      </w:r>
    </w:p>
    <w:p w14:paraId="29D15DCA">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六、其他收入：指单位取得的除上述“财政拨款收入”、“事业收入”、“经营收入”等以外的各项收入。</w:t>
      </w:r>
    </w:p>
    <w:p w14:paraId="6007C78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七、用事业基金弥补收支差额：指事业单位用事业基金弥补当年收支差额的数额。</w:t>
      </w:r>
    </w:p>
    <w:p w14:paraId="257F5CC4">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八、年初结转和结余：指单位上年结转本年使用的基本支出结转、项目支出结转和结余和经营结余。</w:t>
      </w:r>
    </w:p>
    <w:p w14:paraId="22169E4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九、一般公共服务（类）人大事务（款）行政运行（项）：指人大常委会办公厅用于保障机构正常运行、开展日常工作的基本支出。</w:t>
      </w:r>
    </w:p>
    <w:p w14:paraId="58C3B44E">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十、结余分配：指事业单位按规定对非财政补助结余资金提取的职工福利基金、事业基金和缴纳的所得税，以及减少单位按规定应缴回的基本建设竣工项目结余资金。</w:t>
      </w:r>
    </w:p>
    <w:p w14:paraId="66E90759">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十一、年末结转和结余资金：指本年度或以前年度预算安排、因客观条件发生变化无法按原计划实施，需要延迟到以后年度按有关规定继续使用的资金。</w:t>
      </w:r>
    </w:p>
    <w:p w14:paraId="14CBDA92">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十二、基本支出：指为保障机构正常运转、完成日常工作任务而发生的人员支出和公用支出。</w:t>
      </w:r>
    </w:p>
    <w:p w14:paraId="6B8CC277">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十三、项目支出：指在基本支出之外为完成特定的行政任务或事业发展目标所发生的支出。</w:t>
      </w:r>
    </w:p>
    <w:p w14:paraId="120D4E9D">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十四、上缴上级支出：指事业单位按照财政部门和主管部门的规定上缴上级单位的支出。</w:t>
      </w:r>
    </w:p>
    <w:p w14:paraId="238D886C">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十五、经营支出：指事业单位在专业业务活动及其辅助活动之外开展非独立核算经营活动发生的支出。</w:t>
      </w:r>
    </w:p>
    <w:p w14:paraId="07B7513C">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十六、对附属单位补助支出：指事业单位用财政补助收入之外的收入对附属单位补助发生的支出。</w:t>
      </w:r>
    </w:p>
    <w:p w14:paraId="1EB40E8A">
      <w:pPr>
        <w:pStyle w:val="9"/>
        <w:widowControl/>
        <w:spacing w:before="0" w:beforeAutospacing="0" w:after="76" w:afterAutospacing="0" w:line="510" w:lineRule="atLeast"/>
        <w:ind w:firstLine="640" w:firstLineChars="200"/>
        <w:jc w:val="both"/>
        <w:rPr>
          <w:rFonts w:ascii="仿宋" w:hAnsi="仿宋" w:eastAsia="仿宋" w:cs="仿宋"/>
          <w:color w:val="000000"/>
          <w:sz w:val="32"/>
          <w:szCs w:val="32"/>
          <w:shd w:val="clear" w:color="auto" w:fill="FFFFFF"/>
          <w:lang w:bidi="ar"/>
        </w:rPr>
      </w:pPr>
      <w:r>
        <w:rPr>
          <w:rFonts w:hint="eastAsia" w:ascii="仿宋" w:hAnsi="仿宋" w:eastAsia="仿宋" w:cs="仿宋"/>
          <w:color w:val="000000"/>
          <w:sz w:val="32"/>
          <w:szCs w:val="32"/>
          <w:shd w:val="clear" w:color="auto" w:fill="FFFFFF"/>
          <w:lang w:bidi="ar"/>
        </w:rPr>
        <w:t>十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0EEF2FE5">
      <w:pPr>
        <w:pStyle w:val="14"/>
        <w:jc w:val="center"/>
        <w:rPr>
          <w:rFonts w:ascii="Times New Roman" w:hAnsi="Times New Roman" w:cs="Times New Roman"/>
          <w:sz w:val="72"/>
          <w:szCs w:val="72"/>
        </w:rPr>
      </w:pPr>
    </w:p>
    <w:p w14:paraId="0E06A5DB">
      <w:pPr>
        <w:pStyle w:val="14"/>
        <w:jc w:val="center"/>
        <w:rPr>
          <w:rFonts w:ascii="Times New Roman" w:hAnsi="Times New Roman" w:cs="Times New Roman"/>
          <w:sz w:val="72"/>
          <w:szCs w:val="72"/>
        </w:rPr>
      </w:pPr>
    </w:p>
    <w:p w14:paraId="581630A6">
      <w:pPr>
        <w:pStyle w:val="14"/>
        <w:jc w:val="both"/>
        <w:rPr>
          <w:rFonts w:ascii="Times New Roman" w:hAnsi="Times New Roman" w:cs="Times New Roman"/>
          <w:sz w:val="72"/>
          <w:szCs w:val="72"/>
        </w:rPr>
      </w:pPr>
    </w:p>
    <w:p w14:paraId="4856BFDA">
      <w:pPr>
        <w:pStyle w:val="14"/>
        <w:jc w:val="both"/>
        <w:rPr>
          <w:rFonts w:ascii="Times New Roman" w:hAnsi="Times New Roman" w:cs="Times New Roman"/>
          <w:sz w:val="72"/>
          <w:szCs w:val="72"/>
        </w:rPr>
      </w:pPr>
    </w:p>
    <w:p w14:paraId="247BB5D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03D08C54">
      <w:pPr>
        <w:rPr>
          <w:rFonts w:ascii="Times New Roman" w:hAnsi="Times New Roman" w:cs="Times New Roman"/>
          <w:sz w:val="72"/>
          <w:szCs w:val="72"/>
        </w:rPr>
      </w:pPr>
    </w:p>
    <w:p w14:paraId="220D82A8">
      <w:pPr>
        <w:pStyle w:val="14"/>
        <w:spacing w:line="600" w:lineRule="exact"/>
        <w:ind w:firstLine="640" w:firstLineChars="200"/>
        <w:rPr>
          <w:rFonts w:hint="default" w:ascii="Times New Roman" w:hAnsi="Times New Roman" w:eastAsia="仿宋_GB2312" w:cs="Times New Roman"/>
          <w:b/>
          <w:bCs/>
          <w:sz w:val="32"/>
          <w:szCs w:val="32"/>
          <w:lang w:val="en-US" w:eastAsia="zh-CN"/>
        </w:rPr>
      </w:pPr>
      <w:r>
        <w:rPr>
          <w:rFonts w:ascii="Times New Roman" w:hAnsi="Times New Roman" w:eastAsia="仿宋_GB2312" w:cs="Times New Roman"/>
          <w:b/>
          <w:bCs/>
          <w:sz w:val="32"/>
          <w:szCs w:val="32"/>
        </w:rPr>
        <w:t>一、</w:t>
      </w:r>
      <w:r>
        <w:rPr>
          <w:rFonts w:hint="eastAsia" w:ascii="Times New Roman" w:hAnsi="Times New Roman" w:eastAsia="仿宋_GB2312" w:cs="Times New Roman"/>
          <w:sz w:val="32"/>
          <w:szCs w:val="32"/>
          <w:lang w:val="en-US" w:eastAsia="zh-CN"/>
        </w:rPr>
        <w:t>怀化市住房和城乡建设局2025年决算表</w:t>
      </w:r>
    </w:p>
    <w:p w14:paraId="2A4C9574">
      <w:pPr>
        <w:pStyle w:val="14"/>
        <w:keepNext w:val="0"/>
        <w:keepLines w:val="0"/>
        <w:pageBreakBefore w:val="0"/>
        <w:widowControl w:val="0"/>
        <w:kinsoku/>
        <w:wordWrap/>
        <w:overflowPunct/>
        <w:topLinePunct w:val="0"/>
        <w:autoSpaceDE w:val="0"/>
        <w:autoSpaceDN w:val="0"/>
        <w:bidi w:val="0"/>
        <w:adjustRightInd w:val="0"/>
        <w:snapToGrid/>
        <w:spacing w:line="240" w:lineRule="auto"/>
        <w:ind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b/>
          <w:bCs/>
          <w:sz w:val="32"/>
          <w:szCs w:val="32"/>
          <w:lang w:val="en-US" w:eastAsia="zh-CN"/>
        </w:rPr>
        <w:t>二、</w:t>
      </w:r>
      <w:r>
        <w:rPr>
          <w:rFonts w:hint="eastAsia" w:ascii="Times New Roman" w:hAnsi="Times New Roman" w:eastAsia="仿宋_GB2312" w:cs="Times New Roman"/>
          <w:sz w:val="32"/>
          <w:szCs w:val="32"/>
        </w:rPr>
        <w:t>怀化市</w:t>
      </w:r>
      <w:r>
        <w:rPr>
          <w:rFonts w:hint="eastAsia" w:ascii="Times New Roman" w:hAnsi="Times New Roman" w:eastAsia="仿宋_GB2312" w:cs="Times New Roman"/>
          <w:sz w:val="32"/>
          <w:szCs w:val="32"/>
          <w:lang w:eastAsia="zh-CN"/>
        </w:rPr>
        <w:t>住房和城乡建设局</w:t>
      </w:r>
      <w:r>
        <w:rPr>
          <w:rFonts w:hint="eastAsia" w:ascii="Times New Roman" w:hAnsi="Times New Roman" w:eastAsia="仿宋_GB2312" w:cs="Times New Roman"/>
          <w:sz w:val="32"/>
          <w:szCs w:val="32"/>
          <w:lang w:val="en-US" w:eastAsia="zh-CN"/>
        </w:rPr>
        <w:t>2025年</w:t>
      </w:r>
      <w:r>
        <w:rPr>
          <w:rFonts w:hint="eastAsia" w:ascii="Times New Roman" w:hAnsi="Times New Roman" w:eastAsia="仿宋_GB2312" w:cs="Times New Roman"/>
          <w:sz w:val="32"/>
          <w:szCs w:val="32"/>
        </w:rPr>
        <w:t>部门绩效自评报</w:t>
      </w:r>
      <w:r>
        <w:rPr>
          <w:rFonts w:hint="eastAsia" w:ascii="Times New Roman" w:hAnsi="Times New Roman" w:eastAsia="仿宋_GB2312" w:cs="Times New Roman"/>
          <w:sz w:val="32"/>
          <w:szCs w:val="32"/>
          <w:lang w:val="en-US" w:eastAsia="zh-CN"/>
        </w:rPr>
        <w:t>告</w:t>
      </w:r>
    </w:p>
    <w:p w14:paraId="3D752022">
      <w:pPr>
        <w:pStyle w:val="14"/>
        <w:jc w:val="center"/>
        <w:rPr>
          <w:rFonts w:ascii="Times New Roman" w:hAnsi="Times New Roman" w:cs="Times New Roman"/>
          <w:sz w:val="72"/>
          <w:szCs w:val="72"/>
        </w:rPr>
      </w:pPr>
    </w:p>
    <w:p w14:paraId="1BE3B714">
      <w:pPr>
        <w:pStyle w:val="14"/>
        <w:jc w:val="center"/>
        <w:rPr>
          <w:rFonts w:ascii="Times New Roman" w:hAnsi="Times New Roman" w:cs="Times New Roman"/>
          <w:sz w:val="72"/>
          <w:szCs w:val="72"/>
        </w:rPr>
      </w:pPr>
    </w:p>
    <w:p w14:paraId="04741710">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10601030101010101"/>
    <w:charset w:val="86"/>
    <w:family w:val="auto"/>
    <w:pitch w:val="default"/>
    <w:sig w:usb0="00000000" w:usb1="00000000" w:usb2="0000001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0B8F4">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E98043">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CACEA">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525DC6">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68525DC6">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160021B"/>
    <w:multiLevelType w:val="singleLevel"/>
    <w:tmpl w:val="A160021B"/>
    <w:lvl w:ilvl="0" w:tentative="0">
      <w:start w:val="13"/>
      <w:numFmt w:val="decimal"/>
      <w:suff w:val="nothing"/>
      <w:lvlText w:val="%1、"/>
      <w:lvlJc w:val="left"/>
    </w:lvl>
  </w:abstractNum>
  <w:abstractNum w:abstractNumId="1">
    <w:nsid w:val="72012CF1"/>
    <w:multiLevelType w:val="singleLevel"/>
    <w:tmpl w:val="72012CF1"/>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111DAD"/>
    <w:rsid w:val="0B09160F"/>
    <w:rsid w:val="0FA933C0"/>
    <w:rsid w:val="10F863AD"/>
    <w:rsid w:val="160E21CF"/>
    <w:rsid w:val="187622AE"/>
    <w:rsid w:val="1ABC044C"/>
    <w:rsid w:val="1D97DEFF"/>
    <w:rsid w:val="1DFF72E5"/>
    <w:rsid w:val="1EFC6F07"/>
    <w:rsid w:val="20633846"/>
    <w:rsid w:val="23C2284B"/>
    <w:rsid w:val="259A02D8"/>
    <w:rsid w:val="271C449F"/>
    <w:rsid w:val="2B4D50F0"/>
    <w:rsid w:val="2F302D5E"/>
    <w:rsid w:val="2FD7135C"/>
    <w:rsid w:val="2FDF85B8"/>
    <w:rsid w:val="2FFFEE04"/>
    <w:rsid w:val="32BA12BD"/>
    <w:rsid w:val="34321327"/>
    <w:rsid w:val="34DF85B0"/>
    <w:rsid w:val="36C56482"/>
    <w:rsid w:val="3B8F36BC"/>
    <w:rsid w:val="3C7F0EFB"/>
    <w:rsid w:val="3CA74F18"/>
    <w:rsid w:val="3CD20667"/>
    <w:rsid w:val="3FC419CD"/>
    <w:rsid w:val="43DC27CD"/>
    <w:rsid w:val="46276812"/>
    <w:rsid w:val="47B02837"/>
    <w:rsid w:val="491FF225"/>
    <w:rsid w:val="498625A6"/>
    <w:rsid w:val="4BA91A77"/>
    <w:rsid w:val="4FFD214C"/>
    <w:rsid w:val="524A4202"/>
    <w:rsid w:val="55DA7FEC"/>
    <w:rsid w:val="5777D4F5"/>
    <w:rsid w:val="58AD0DF8"/>
    <w:rsid w:val="59DD8326"/>
    <w:rsid w:val="5A8E2EAB"/>
    <w:rsid w:val="5A954FE3"/>
    <w:rsid w:val="5C036F81"/>
    <w:rsid w:val="5DEF592A"/>
    <w:rsid w:val="5EE61F33"/>
    <w:rsid w:val="5FC6BB1E"/>
    <w:rsid w:val="5FF720F1"/>
    <w:rsid w:val="620F3386"/>
    <w:rsid w:val="62726C0F"/>
    <w:rsid w:val="639A69D8"/>
    <w:rsid w:val="63F7561D"/>
    <w:rsid w:val="67B25AF1"/>
    <w:rsid w:val="67FF5C0B"/>
    <w:rsid w:val="69360996"/>
    <w:rsid w:val="6C07661A"/>
    <w:rsid w:val="6EFC0924"/>
    <w:rsid w:val="6FB74722"/>
    <w:rsid w:val="6FEF8B7E"/>
    <w:rsid w:val="71A6591B"/>
    <w:rsid w:val="737D59BA"/>
    <w:rsid w:val="77594916"/>
    <w:rsid w:val="77C37683"/>
    <w:rsid w:val="79D19834"/>
    <w:rsid w:val="79FF515B"/>
    <w:rsid w:val="7B2C39A7"/>
    <w:rsid w:val="7B3C2E3B"/>
    <w:rsid w:val="7BC10593"/>
    <w:rsid w:val="7BE71511"/>
    <w:rsid w:val="7E9E1962"/>
    <w:rsid w:val="7E9F11B4"/>
    <w:rsid w:val="7F37EC1E"/>
    <w:rsid w:val="7F7DCD9D"/>
    <w:rsid w:val="7F970A6F"/>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qFormat/>
    <w:uiPriority w:val="0"/>
    <w:pPr>
      <w:jc w:val="left"/>
      <w:outlineLvl w:val="2"/>
    </w:pPr>
    <w:rPr>
      <w:rFonts w:ascii="宋体" w:hAnsi="宋体"/>
      <w:b/>
      <w:kern w:val="0"/>
      <w:sz w:val="27"/>
      <w:szCs w:val="27"/>
    </w:rPr>
  </w:style>
  <w:style w:type="character" w:default="1" w:styleId="11">
    <w:name w:val="Default Paragraph Font"/>
    <w:semiHidden/>
    <w:unhideWhenUsed/>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next w:val="4"/>
    <w:unhideWhenUsed/>
    <w:qFormat/>
    <w:uiPriority w:val="99"/>
    <w:pPr>
      <w:widowControl/>
      <w:spacing w:after="120"/>
      <w:ind w:left="420" w:leftChars="200"/>
      <w:jc w:val="left"/>
    </w:pPr>
    <w:rPr>
      <w:rFonts w:ascii="宋体" w:hAnsi="宋体" w:eastAsia="宋体" w:cs="宋体"/>
      <w:kern w:val="0"/>
      <w:sz w:val="24"/>
    </w:rPr>
  </w:style>
  <w:style w:type="paragraph" w:styleId="4">
    <w:name w:val="Body Text First Indent 2"/>
    <w:basedOn w:val="3"/>
    <w:next w:val="1"/>
    <w:unhideWhenUsed/>
    <w:qFormat/>
    <w:uiPriority w:val="99"/>
    <w:pPr>
      <w:ind w:firstLine="420" w:firstLineChars="200"/>
    </w:pPr>
  </w:style>
  <w:style w:type="paragraph" w:styleId="5">
    <w:name w:val="Balloon Text"/>
    <w:basedOn w:val="1"/>
    <w:link w:val="16"/>
    <w:semiHidden/>
    <w:unhideWhenUsed/>
    <w:qFormat/>
    <w:uiPriority w:val="99"/>
    <w:rPr>
      <w:sz w:val="18"/>
      <w:szCs w:val="18"/>
    </w:rPr>
  </w:style>
  <w:style w:type="paragraph" w:styleId="6">
    <w:name w:val="footer"/>
    <w:basedOn w:val="1"/>
    <w:link w:val="13"/>
    <w:unhideWhenUsed/>
    <w:qFormat/>
    <w:uiPriority w:val="99"/>
    <w:pPr>
      <w:tabs>
        <w:tab w:val="center" w:pos="4153"/>
        <w:tab w:val="right" w:pos="8306"/>
      </w:tabs>
      <w:snapToGrid w:val="0"/>
      <w:jc w:val="left"/>
    </w:pPr>
    <w:rPr>
      <w:sz w:val="18"/>
      <w:szCs w:val="18"/>
    </w:rPr>
  </w:style>
  <w:style w:type="paragraph" w:styleId="7">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next w:val="4"/>
    <w:semiHidden/>
    <w:qFormat/>
    <w:uiPriority w:val="0"/>
    <w:pPr>
      <w:snapToGrid w:val="0"/>
      <w:jc w:val="left"/>
    </w:pPr>
    <w:rPr>
      <w:sz w:val="18"/>
      <w:szCs w:val="18"/>
    </w:rPr>
  </w:style>
  <w:style w:type="paragraph" w:styleId="9">
    <w:name w:val="Normal (Web)"/>
    <w:basedOn w:val="1"/>
    <w:qFormat/>
    <w:uiPriority w:val="0"/>
    <w:pPr>
      <w:spacing w:before="100" w:beforeAutospacing="1" w:after="100" w:afterAutospacing="1"/>
      <w:jc w:val="left"/>
    </w:pPr>
    <w:rPr>
      <w:rFonts w:cs="Times New Roman"/>
      <w:kern w:val="0"/>
      <w:sz w:val="24"/>
    </w:rPr>
  </w:style>
  <w:style w:type="character" w:customStyle="1" w:styleId="12">
    <w:name w:val="页眉 Char"/>
    <w:basedOn w:val="11"/>
    <w:link w:val="7"/>
    <w:qFormat/>
    <w:uiPriority w:val="99"/>
    <w:rPr>
      <w:sz w:val="18"/>
      <w:szCs w:val="18"/>
    </w:rPr>
  </w:style>
  <w:style w:type="character" w:customStyle="1" w:styleId="13">
    <w:name w:val="页脚 Char"/>
    <w:basedOn w:val="11"/>
    <w:link w:val="6"/>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5"/>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22</Pages>
  <Words>456</Words>
  <Characters>462</Characters>
  <Lines>69</Lines>
  <Paragraphs>19</Paragraphs>
  <TotalTime>0</TotalTime>
  <ScaleCrop>false</ScaleCrop>
  <LinksUpToDate>false</LinksUpToDate>
  <CharactersWithSpaces>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2025-08-18T10:17:00Z</dcterms:created>
  <dc:creator>李航 null</dc:creator>
  <cp:lastModifiedBy>卡戎</cp:lastModifiedBy>
  <cp:lastPrinted>2024-08-08T18:20:00Z</cp:lastPrinted>
  <dcterms:modified xsi:type="dcterms:W3CDTF">2026-09-16T01:19:51Z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BB7B6AA21D207914D6FDA268992A22D6</vt:lpwstr>
  </property>
  <property fmtid="{D5CDD505-2E9C-101B-9397-08002B2CF9AE}" pid="4" name="KSOTemplateDocerSaveRecord">
    <vt:lpwstr>eyJoZGlkIjoiY2VlMTgzMWEwZWExMTFiYmNjODYxYzlkNThkYzVlYWUiLCJ1c2VySWQiOiIyODIyMDY3NzYifQ==</vt:lpwstr>
  </property>
</Properties>
</file>