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p>
    <w:p>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2025年度怀化市建设工程质量安全监督站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部门整体支出绩效自评报告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default" w:ascii="方正小标宋_GBK" w:hAnsi="方正小标宋_GBK" w:eastAsia="方正小标宋_GBK" w:cs="方正小标宋_GBK"/>
          <w:i w:val="0"/>
          <w:iCs w:val="0"/>
          <w:caps w:val="0"/>
          <w:color w:val="000000"/>
          <w:spacing w:val="0"/>
          <w:sz w:val="40"/>
          <w:szCs w:val="40"/>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建设工程质量安全监督站作为怀化市住房和城乡建设局的二级部门预算单位，为正科级公益一类事业单位，财政全额拨款事业单位。内设科室为：办公室、财务室、人事室、4个质量安全监督室、综合室、技术室、设备管理室、商混及检测机构监督室、文明施工管理室。</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我单位2025年人员编制数为63人，年末在职在编人员61人。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建设工程质量安全监督站的主要职责是执行相关法律、法规和工程建设技术标准，受理辖区内建设工程项目的质量安全监督；掌握本市工程质量安全动态，及时准确地向建设行政主管部门和上级监督站报告工程质量安全状况，定期做全市质量安全形势分析报告，提出加强工程质量安全工作的具体措施，并组织实施；受理群众对建筑工程和市政工程基础设施质量安全投诉，参与本地市工程质量安全事故的调查和处理工作；对受监工程责任主体、有关机构的质量安全行为和工程质量安全监督抽查；组织并参加本市建设工程质量安全检查，对责任主体和有关机构不履行质量安全责任行为的，发出整改通知书，对责任主体和有关机构违法、违规行为调查取证和核实，提出处罚建议和实施处罚；提交工程质量安全监督报告，办理工程竣工验收备案；参与本区建设工程新技术的推广应用；完成上级交办的其他工作等。</w:t>
      </w:r>
    </w:p>
    <w:p>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2025年决算支出数1243.04万元，其中：一般公共服务支出47万元、社会保障和就业支出3.53万元、卫生健康支出1.76万元、城乡社区支出1181.18万元、住房保障支出9.57万元。</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年基本支出总计</w:t>
      </w:r>
      <w:r>
        <w:rPr>
          <w:rFonts w:hint="eastAsia" w:ascii="Times New Roman Regular" w:hAnsi="Times New Roman Regular" w:eastAsia="仿宋_GB2312" w:cs="Times New Roman Regular"/>
          <w:color w:val="auto"/>
          <w:sz w:val="32"/>
          <w:szCs w:val="32"/>
          <w:highlight w:val="none"/>
          <w:lang w:val="en-US" w:eastAsia="zh-CN"/>
        </w:rPr>
        <w:t>1014.44</w:t>
      </w:r>
      <w:r>
        <w:rPr>
          <w:rFonts w:hint="default" w:ascii="Times New Roman Regular" w:hAnsi="Times New Roman Regular" w:eastAsia="仿宋_GB2312" w:cs="Times New Roman Regular"/>
          <w:color w:val="auto"/>
          <w:sz w:val="32"/>
          <w:szCs w:val="32"/>
          <w:highlight w:val="none"/>
          <w:lang w:val="en-US" w:eastAsia="zh-CN"/>
        </w:rPr>
        <w:t>万元，主要用于工资福利支出</w:t>
      </w:r>
      <w:r>
        <w:rPr>
          <w:rFonts w:hint="eastAsia" w:ascii="Times New Roman Regular" w:hAnsi="Times New Roman Regular" w:eastAsia="仿宋_GB2312" w:cs="Times New Roman Regular"/>
          <w:color w:val="auto"/>
          <w:sz w:val="32"/>
          <w:szCs w:val="32"/>
          <w:highlight w:val="none"/>
          <w:lang w:val="en-US" w:eastAsia="zh-CN"/>
        </w:rPr>
        <w:t>880.86</w:t>
      </w:r>
      <w:r>
        <w:rPr>
          <w:rFonts w:hint="default" w:ascii="Times New Roman Regular" w:hAnsi="Times New Roman Regular" w:eastAsia="仿宋_GB2312" w:cs="Times New Roman Regular"/>
          <w:color w:val="auto"/>
          <w:sz w:val="32"/>
          <w:szCs w:val="32"/>
          <w:highlight w:val="none"/>
          <w:lang w:val="en-US" w:eastAsia="zh-CN"/>
        </w:rPr>
        <w:t>万元，商品和服务支出</w:t>
      </w:r>
      <w:r>
        <w:rPr>
          <w:rFonts w:hint="eastAsia" w:ascii="Times New Roman Regular" w:hAnsi="Times New Roman Regular" w:eastAsia="仿宋_GB2312" w:cs="Times New Roman Regular"/>
          <w:color w:val="auto"/>
          <w:sz w:val="32"/>
          <w:szCs w:val="32"/>
          <w:highlight w:val="none"/>
          <w:lang w:val="en-US" w:eastAsia="zh-CN"/>
        </w:rPr>
        <w:t>79.2</w:t>
      </w:r>
      <w:r>
        <w:rPr>
          <w:rFonts w:hint="default" w:ascii="Times New Roman Regular" w:hAnsi="Times New Roman Regular" w:eastAsia="仿宋_GB2312" w:cs="Times New Roman Regular"/>
          <w:color w:val="auto"/>
          <w:sz w:val="32"/>
          <w:szCs w:val="32"/>
          <w:highlight w:val="none"/>
          <w:lang w:val="en-US" w:eastAsia="zh-CN"/>
        </w:rPr>
        <w:t>万元，对个人和家庭的补助</w:t>
      </w:r>
      <w:r>
        <w:rPr>
          <w:rFonts w:hint="eastAsia" w:ascii="Times New Roman Regular" w:hAnsi="Times New Roman Regular" w:eastAsia="仿宋_GB2312" w:cs="Times New Roman Regular"/>
          <w:color w:val="auto"/>
          <w:sz w:val="32"/>
          <w:szCs w:val="32"/>
          <w:highlight w:val="none"/>
          <w:lang w:val="en-US" w:eastAsia="zh-CN"/>
        </w:rPr>
        <w:t>54.38</w:t>
      </w:r>
      <w:r>
        <w:rPr>
          <w:rFonts w:hint="default" w:ascii="Times New Roman Regular" w:hAnsi="Times New Roman Regular" w:eastAsia="仿宋_GB2312" w:cs="Times New Roman Regular"/>
          <w:color w:val="auto"/>
          <w:sz w:val="32"/>
          <w:szCs w:val="32"/>
          <w:highlight w:val="none"/>
          <w:lang w:val="en-US" w:eastAsia="zh-CN"/>
        </w:rPr>
        <w:t>万元。“三公”经费预算数</w:t>
      </w:r>
      <w:r>
        <w:rPr>
          <w:rFonts w:hint="eastAsia" w:ascii="Times New Roman Regular" w:hAnsi="Times New Roman Regular" w:eastAsia="仿宋_GB2312" w:cs="Times New Roman Regular"/>
          <w:color w:val="auto"/>
          <w:sz w:val="32"/>
          <w:szCs w:val="32"/>
          <w:highlight w:val="none"/>
          <w:lang w:val="en-US" w:eastAsia="zh-CN"/>
        </w:rPr>
        <w:t>2.85</w:t>
      </w:r>
      <w:r>
        <w:rPr>
          <w:rFonts w:hint="default" w:ascii="Times New Roman Regular" w:hAnsi="Times New Roman Regular" w:eastAsia="仿宋_GB2312" w:cs="Times New Roman Regular"/>
          <w:color w:val="auto"/>
          <w:sz w:val="32"/>
          <w:szCs w:val="32"/>
          <w:highlight w:val="none"/>
          <w:lang w:val="en-US" w:eastAsia="zh-CN"/>
        </w:rPr>
        <w:t>万元，决算数</w:t>
      </w:r>
      <w:r>
        <w:rPr>
          <w:rFonts w:hint="eastAsia" w:ascii="Times New Roman Regular" w:hAnsi="Times New Roman Regular" w:eastAsia="仿宋_GB2312" w:cs="Times New Roman Regular"/>
          <w:color w:val="auto"/>
          <w:sz w:val="32"/>
          <w:szCs w:val="32"/>
          <w:highlight w:val="none"/>
          <w:lang w:val="en-US" w:eastAsia="zh-CN"/>
        </w:rPr>
        <w:t>2.82</w:t>
      </w:r>
      <w:r>
        <w:rPr>
          <w:rFonts w:hint="default" w:ascii="Times New Roman Regular" w:hAnsi="Times New Roman Regular" w:eastAsia="仿宋_GB2312" w:cs="Times New Roman Regular"/>
          <w:color w:val="auto"/>
          <w:sz w:val="32"/>
          <w:szCs w:val="32"/>
          <w:highlight w:val="none"/>
          <w:lang w:val="en-US" w:eastAsia="zh-CN"/>
        </w:rPr>
        <w:t>万元。其中公务接待费</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万元、公务用车购置及运行维护费</w:t>
      </w:r>
      <w:r>
        <w:rPr>
          <w:rFonts w:hint="eastAsia" w:ascii="Times New Roman Regular" w:hAnsi="Times New Roman Regular" w:eastAsia="仿宋_GB2312" w:cs="Times New Roman Regular"/>
          <w:color w:val="auto"/>
          <w:sz w:val="32"/>
          <w:szCs w:val="32"/>
          <w:highlight w:val="none"/>
          <w:lang w:val="en-US" w:eastAsia="zh-CN"/>
        </w:rPr>
        <w:t>2.82</w:t>
      </w:r>
      <w:r>
        <w:rPr>
          <w:rFonts w:hint="default" w:ascii="Times New Roman Regular" w:hAnsi="Times New Roman Regular" w:eastAsia="仿宋_GB2312" w:cs="Times New Roman Regular"/>
          <w:color w:val="auto"/>
          <w:sz w:val="32"/>
          <w:szCs w:val="32"/>
          <w:highlight w:val="none"/>
          <w:lang w:val="en-US" w:eastAsia="zh-CN"/>
        </w:rPr>
        <w:t>万元、因公出国费用0.00万元，均在预算控制内。</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项目支出是在基本支出之外为完成其特定的工作任务而发生的支出。我单位的项目支出主要为建筑质量安全监督专项经费、扬尘环保监管及建筑文明施工监管平台管理及维护经费、城市基础设施配套费征收经费。</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eastAsia" w:ascii="Times New Roman Regular" w:hAnsi="Times New Roman Regular" w:eastAsia="仿宋_GB2312" w:cs="Times New Roman Regular"/>
          <w:b/>
          <w:bCs/>
          <w:color w:val="auto"/>
          <w:sz w:val="32"/>
          <w:szCs w:val="32"/>
          <w:highlight w:val="none"/>
          <w:lang w:val="en-US" w:eastAsia="zh-CN"/>
        </w:rPr>
        <w:t>市本级财政专项资金安排情况表        单位：万元</w:t>
      </w:r>
      <w:r>
        <w:rPr>
          <w:rFonts w:hint="eastAsia" w:ascii="Times New Roman Regular" w:hAnsi="Times New Roman Regular" w:eastAsia="仿宋_GB2312" w:cs="Times New Roman Regular"/>
          <w:color w:val="auto"/>
          <w:sz w:val="32"/>
          <w:szCs w:val="32"/>
          <w:highlight w:val="none"/>
          <w:lang w:val="en-US" w:eastAsia="zh-CN"/>
        </w:rPr>
        <w:t xml:space="preserve">                 </w:t>
      </w:r>
    </w:p>
    <w:tbl>
      <w:tblPr>
        <w:tblStyle w:val="12"/>
        <w:tblW w:w="9630" w:type="dxa"/>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4125"/>
        <w:gridCol w:w="1605"/>
        <w:gridCol w:w="156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序号</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预算数</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决算数</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建筑工程质量安全监督专项</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10</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扬尘环保监管及建筑文明施工监管平台管理及维护经费</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15</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15</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城市基础设施配套费征收经费</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47</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年度考核奖</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47</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养老保险缴费</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3.53</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全额单位医疗保险缴费</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1.76</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追加11-12月基本工资指标</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94.74</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年度考核奖住房公积金财政配套</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1.52</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追加住房公积金</w:t>
            </w: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8.04</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合计</w:t>
            </w:r>
          </w:p>
        </w:tc>
        <w:tc>
          <w:tcPr>
            <w:tcW w:w="412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c>
          <w:tcPr>
            <w:tcW w:w="160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25.00</w:t>
            </w:r>
          </w:p>
        </w:tc>
        <w:tc>
          <w:tcPr>
            <w:tcW w:w="1560" w:type="dxa"/>
            <w:vAlign w:val="center"/>
          </w:tcPr>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228.6</w:t>
            </w:r>
          </w:p>
        </w:tc>
        <w:tc>
          <w:tcPr>
            <w:tcW w:w="1485" w:type="dxa"/>
            <w:vAlign w:val="center"/>
          </w:tcPr>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bl>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项目资金实际使用情况。2025年项目支出年初预算为25万元，实际到位238.03万元，专项资金到位率100%。2025年项目支出决算金额为228.6万元，其中：工资福利支出162.92万元、办公费1万元、电费0.18万元、邮电费2.72万元、差旅费9.68万元、培训费0.47万元、委托业务费3.93万元、工会经费1.37万元、福利费40.69万元、其他交通费0.32万元、其他商品和服务支出5.31万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项目资金管理情况。我单位为加强专项资金管理，合理合规使用财政项目资金，提高资金的使用效率，严格按照财务管理要求，对批准的预算开支内容，做好账务设置和账务管理，实行专项核算。在资金的使用过程中，严格遵循财务制度，严把监督审核关，建立健全了内部审批制度；大额资金支出实行“三重一大”集体决策机制，项目招标、评审、结算按市国库集中支付核算，确保资金使用公开、公正、科学、高效。针对项目支出制定了《财务管理制定》等相关制度，对资金使用审批流程、资金监督、签字权限等方面做出了详细规定。</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我单位认真落实上级主管部门的决策部署，全面推进各项重点工作，较好的完成了各项目的目标任务。各项目由专人负责实施，实行事项前置审批及事后支付审批制度；采购事项均按照政府采购相关规定执行，属政府采购范围的一律通过政府采购平台，按照规定流程进行采购；费用支出严格按照《财务管理制度》等制度规定的开支范围、标准、审批权限、审批流程、报销要求等进行审核。</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项目管理情况分析</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为加强项目资金管理，规范项目资金管理行为，提高项目管理水平及项目资金使用效率，我单位制定了财务管理制度、项目资金管理制度等业务管理制度，对项目管理职责、申报与组织实施、项目资金的管理、监督检查与验收等进行了规定，明确工作职责、项目实施细则、考核办法等。项目资金严格按照指定用途专款专用，并接受财政部门或上级部门的检查、验收。2025年本单位项目支出基本能够严格按照相关制度规定等进行。</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根据《行政事业单位内部控制规范（试行）》、《事业单位国有资产管理暂行办法》及省、市有关规定，制定了《固定资产管理》等制度，对固定资产进行及时入账，定期盘点清查，按要求编报资产月报及年报。 截至202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年12月31日，我单位固定资产原值31048950.72元，累计折旧</w:t>
      </w:r>
      <w:r>
        <w:rPr>
          <w:rFonts w:hint="eastAsia" w:ascii="Times New Roman Regular" w:hAnsi="Times New Roman Regular" w:eastAsia="仿宋_GB2312" w:cs="Times New Roman Regular"/>
          <w:color w:val="auto"/>
          <w:sz w:val="32"/>
          <w:szCs w:val="32"/>
          <w:highlight w:val="none"/>
          <w:lang w:val="en-US" w:eastAsia="zh-CN"/>
        </w:rPr>
        <w:t>9959179.35</w:t>
      </w:r>
      <w:r>
        <w:rPr>
          <w:rFonts w:hint="default" w:ascii="Times New Roman Regular" w:hAnsi="Times New Roman Regular" w:eastAsia="仿宋_GB2312" w:cs="Times New Roman Regular"/>
          <w:color w:val="auto"/>
          <w:sz w:val="32"/>
          <w:szCs w:val="32"/>
          <w:highlight w:val="none"/>
          <w:lang w:val="en-US" w:eastAsia="zh-CN"/>
        </w:rPr>
        <w:t>元，账面净值</w:t>
      </w:r>
      <w:r>
        <w:rPr>
          <w:rFonts w:hint="eastAsia" w:ascii="Times New Roman Regular" w:hAnsi="Times New Roman Regular" w:eastAsia="仿宋_GB2312" w:cs="Times New Roman Regular"/>
          <w:color w:val="auto"/>
          <w:sz w:val="32"/>
          <w:szCs w:val="32"/>
          <w:highlight w:val="none"/>
          <w:lang w:val="en-US" w:eastAsia="zh-CN"/>
        </w:rPr>
        <w:t>21089771.37</w:t>
      </w:r>
      <w:r>
        <w:rPr>
          <w:rFonts w:hint="default" w:ascii="Times New Roman Regular" w:hAnsi="Times New Roman Regular" w:eastAsia="仿宋_GB2312" w:cs="Times New Roman Regular"/>
          <w:color w:val="auto"/>
          <w:sz w:val="32"/>
          <w:szCs w:val="32"/>
          <w:highlight w:val="none"/>
          <w:lang w:val="en-US" w:eastAsia="zh-CN"/>
        </w:rPr>
        <w:t>元，主要为房屋建筑物、车辆等，全部为单位自用固定资产，无出租出借资产和对外投资资产，全年无处置资产，无资产收益。</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w:t>
      </w:r>
      <w:r>
        <w:rPr>
          <w:rFonts w:hint="default" w:ascii="方正黑体_GBK" w:hAnsi="方正黑体_GBK" w:eastAsia="方正黑体_GBK" w:cs="方正黑体_GBK"/>
          <w:b/>
          <w:bCs/>
          <w:color w:val="auto"/>
          <w:sz w:val="32"/>
          <w:szCs w:val="32"/>
          <w:highlight w:val="none"/>
          <w:lang w:val="en-US" w:eastAsia="zh-CN"/>
        </w:rPr>
        <w:t>、部门整体支出绩效情况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我单位积极组织实施了202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年度专项资金管理，建立了专项资金和项目管理制度，规范了实施程序，较好的完成了202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年度工作目标，但仍存在预算调整率偏高等问题。根据《部门整体支出绩效评价指标表》，202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年度部门整体绩效自评综合评分为97</w:t>
      </w:r>
      <w:r>
        <w:rPr>
          <w:rFonts w:hint="eastAsia" w:ascii="Times New Roman Regular" w:hAnsi="Times New Roman Regular" w:eastAsia="仿宋_GB2312" w:cs="Times New Roman Regular"/>
          <w:color w:val="auto"/>
          <w:sz w:val="32"/>
          <w:szCs w:val="32"/>
          <w:highlight w:val="none"/>
          <w:lang w:val="en-US" w:eastAsia="zh-CN"/>
        </w:rPr>
        <w:t>.89</w:t>
      </w:r>
      <w:r>
        <w:rPr>
          <w:rFonts w:hint="default" w:ascii="Times New Roman Regular" w:hAnsi="Times New Roman Regular" w:eastAsia="仿宋_GB2312" w:cs="Times New Roman Regular"/>
          <w:color w:val="auto"/>
          <w:sz w:val="32"/>
          <w:szCs w:val="32"/>
          <w:highlight w:val="none"/>
          <w:lang w:val="en-US" w:eastAsia="zh-CN"/>
        </w:rPr>
        <w:t>分，评价等级为“优”。</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（二）评价指标分析</w:t>
      </w:r>
    </w:p>
    <w:p>
      <w:pPr>
        <w:keepNext w:val="0"/>
        <w:keepLines w:val="0"/>
        <w:pageBreakBefore w:val="0"/>
        <w:widowControl w:val="0"/>
        <w:tabs>
          <w:tab w:val="left" w:pos="5635"/>
        </w:tabs>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经济性分析</w:t>
      </w:r>
      <w:r>
        <w:rPr>
          <w:rFonts w:hint="eastAsia" w:ascii="Times New Roman Regular" w:hAnsi="Times New Roman Regular" w:eastAsia="仿宋_GB2312" w:cs="Times New Roman Regular"/>
          <w:color w:val="auto"/>
          <w:sz w:val="32"/>
          <w:szCs w:val="32"/>
          <w:highlight w:val="none"/>
          <w:lang w:val="en-US" w:eastAsia="zh-CN"/>
        </w:rPr>
        <w:tab/>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（1）预算配置控制较好。202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年度财政</w:t>
      </w:r>
      <w:bookmarkStart w:id="0" w:name="_GoBack"/>
      <w:bookmarkEnd w:id="0"/>
      <w:r>
        <w:rPr>
          <w:rFonts w:hint="default" w:ascii="Times New Roman Regular" w:hAnsi="Times New Roman Regular" w:eastAsia="仿宋_GB2312" w:cs="Times New Roman Regular"/>
          <w:color w:val="auto"/>
          <w:sz w:val="32"/>
          <w:szCs w:val="32"/>
          <w:highlight w:val="none"/>
          <w:lang w:val="en-US" w:eastAsia="zh-CN"/>
        </w:rPr>
        <w:t>供养人员控制在预算编制以内，编制内在职人员控制率9</w:t>
      </w:r>
      <w:r>
        <w:rPr>
          <w:rFonts w:hint="eastAsia" w:ascii="Times New Roman Regular" w:hAnsi="Times New Roman Regular" w:eastAsia="仿宋_GB2312" w:cs="Times New Roman Regular"/>
          <w:color w:val="auto"/>
          <w:sz w:val="32"/>
          <w:szCs w:val="32"/>
          <w:highlight w:val="none"/>
          <w:lang w:val="en-US" w:eastAsia="zh-CN"/>
        </w:rPr>
        <w:t>6.83</w:t>
      </w:r>
      <w:r>
        <w:rPr>
          <w:rFonts w:hint="default" w:ascii="Times New Roman Regular" w:hAnsi="Times New Roman Regular" w:eastAsia="仿宋_GB2312" w:cs="Times New Roman Regular"/>
          <w:color w:val="auto"/>
          <w:sz w:val="32"/>
          <w:szCs w:val="32"/>
          <w:highlight w:val="none"/>
          <w:lang w:val="en-US" w:eastAsia="zh-CN"/>
        </w:rPr>
        <w:t>%，未超过控制标准。</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（2）预算执行与管理。202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年财政决算收入</w:t>
      </w:r>
      <w:r>
        <w:rPr>
          <w:rFonts w:hint="eastAsia" w:ascii="Times New Roman Regular" w:hAnsi="Times New Roman Regular" w:eastAsia="仿宋_GB2312" w:cs="Times New Roman Regular"/>
          <w:color w:val="auto"/>
          <w:sz w:val="32"/>
          <w:szCs w:val="32"/>
          <w:highlight w:val="none"/>
          <w:lang w:val="en-US" w:eastAsia="zh-CN"/>
        </w:rPr>
        <w:t>1243.04</w:t>
      </w:r>
      <w:r>
        <w:rPr>
          <w:rFonts w:hint="default" w:ascii="Times New Roman Regular" w:hAnsi="Times New Roman Regular" w:eastAsia="仿宋_GB2312" w:cs="Times New Roman Regular"/>
          <w:color w:val="auto"/>
          <w:sz w:val="32"/>
          <w:szCs w:val="32"/>
          <w:highlight w:val="none"/>
          <w:lang w:val="en-US" w:eastAsia="zh-CN"/>
        </w:rPr>
        <w:t>万元，其中一般公共预算财政拨款收入</w:t>
      </w:r>
      <w:r>
        <w:rPr>
          <w:rFonts w:hint="eastAsia" w:ascii="Times New Roman Regular" w:hAnsi="Times New Roman Regular" w:eastAsia="仿宋_GB2312" w:cs="Times New Roman Regular"/>
          <w:color w:val="auto"/>
          <w:sz w:val="32"/>
          <w:szCs w:val="32"/>
          <w:highlight w:val="none"/>
          <w:lang w:val="en-US" w:eastAsia="zh-CN"/>
        </w:rPr>
        <w:t>1196.04</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政府性基金预算财政拨款收入47万元，</w:t>
      </w:r>
      <w:r>
        <w:rPr>
          <w:rFonts w:hint="default" w:ascii="Times New Roman Regular" w:hAnsi="Times New Roman Regular" w:eastAsia="仿宋_GB2312" w:cs="Times New Roman Regular"/>
          <w:color w:val="auto"/>
          <w:sz w:val="32"/>
          <w:szCs w:val="32"/>
          <w:highlight w:val="none"/>
          <w:lang w:val="en-US" w:eastAsia="zh-CN"/>
        </w:rPr>
        <w:t>上年结转0.00万元；决算支出为</w:t>
      </w:r>
      <w:r>
        <w:rPr>
          <w:rFonts w:hint="eastAsia" w:ascii="Times New Roman Regular" w:hAnsi="Times New Roman Regular" w:eastAsia="仿宋_GB2312" w:cs="Times New Roman Regular"/>
          <w:color w:val="auto"/>
          <w:sz w:val="32"/>
          <w:szCs w:val="32"/>
          <w:highlight w:val="none"/>
          <w:lang w:val="en-US" w:eastAsia="zh-CN"/>
        </w:rPr>
        <w:t>1243.04</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1014.44</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228.6</w:t>
      </w:r>
      <w:r>
        <w:rPr>
          <w:rFonts w:hint="default" w:ascii="Times New Roman Regular" w:hAnsi="Times New Roman Regular" w:eastAsia="仿宋_GB2312" w:cs="Times New Roman Regular"/>
          <w:color w:val="auto"/>
          <w:sz w:val="32"/>
          <w:szCs w:val="32"/>
          <w:highlight w:val="none"/>
          <w:lang w:val="en-US" w:eastAsia="zh-CN"/>
        </w:rPr>
        <w:t>万元， “三公经费”等相关支出均未超过控制标准。</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 2.有效性和效率性分析。通过对202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年全年工作进行梳理和总结，我单位202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年主要产出和效益如下：</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抓雨雪冰冻天气及春节后复工复产安全管理。按照《关于切实做好建筑施工领域新一轮雨雪冰冻天气过程应对暨2025年春节期间停工复工安全生产工作的通知》文件精神，我站全面开展隐患排查和督查检查，采取断然措施严防死守、严管重罚，按要求贯彻落实省、市安全生产工作部署，特别是冬季岁末安全生产及高处作业、危大工程等专项整治行动，监督人员通过微信、电话、视频监控实时掌握在建项目的基本情况，每日汇总情况进行上报。</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抓“开工第一课讲安全”入脑入心。为认真落实省总站、市局关于“开工第一课讲安全”活动部署要求，保障春节后安全生产形势持续稳定，严格按照《关于组织生产经营单位开展“开工第一课讲安全”活动的通知》要求和“一会三卡”制度，督促各项目在复工复产前开展“开工第一课讲安全”活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抓质量安全生产标准化考评、监督规范化走深走实。2025年2月，我站下发《关于开展2025年季度安全质量标准化考评工作的通知》，分两个组对市本级在建项目开展质量安全生产标准化考评工作。其中市本级第一季度考评26个，优良23个，合格4个；第二季度市本级考评36个项目，优良25个，合格10个，不合格1个；第三季度市本级考评项目38个，优良29个，合格8个，不合格1个；第四季度市本级考评项目28个，优良23个，合格5个，不合格0个。</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第一季度，监督规范化共对15个县市区106个平台在建项目进行了抽查考核，其中考核优良9个，合格86个，不合格11个；第二季度共对15个县市区125个平台在建项目进行了抽查考核，其中考核优良19个，合格100个，不合格6个；第三季度共对15个县市区133个平台在建项目进行了抽查考核，其中考核优良21个，合格111个，不合格1个；第四季度相关工作预计在2026年1月完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抓质量常见问题专项治理成效巩固。认真落实工程质量常见问题专项治理工作精神，要求在建工程责任主体开展质量常见问题专项治理工作，包括严格执行工程质量实体样板制度、有序开展日常质量监督工作、进行“三湘安居”质量常见问题及城市排水管网建设工程质量专项治理三年行动等。其中，省住建厅等5部门联合开展“三湘安居”质量常见问题专项行动，我站对市本级共12个在建房屋住宅项目进行排查，建筑面积88.4209万㎡，排查出质量问题60余条，下发限期整改单30余份，所有质量隐患均已督促责任单位整改完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抓安全生产月、质量月活动取得实效。6月16日上午，怀化市建筑施工“安全生产月”启动仪式、建筑工程安全生产标准化示范观摩及建筑施工安全事故应急救援演练活动在怀化市七建公园里项目举行，在建项目建设单位、施工单位、监理单位相关负责人等500余人积极参加，切实推动安全生产工作从“被动防范”向“主动治理”转变；9月9日上午，“质量月”活动在怀化学院东校区第三食堂建设项目举办，活动搭建交流平台，推广先进质量管理经验、标准化做法与创新技术，带动行业整体质量水平提升。</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抓各类专项检查工作落实。我站根据实际质量安全监督工作需要，聚焦核心、精准发力，全年开展各类专项检查共16次，包括全域全行业安全隐患大排查大整治，钢筋、水泥等建材产品质量安全隐患排查，汛期隐患排查，消防产品及消防质量安全专项检查，保温节能材料、动火作业专项检查，“瘦身钢筋”排查，工程勘察质量监督检查，质量检测活动专项检查，节前及节假日期间安全检查，建筑施工防高坠、防边坡坍塌专项整治，建设领域安全生产资格证书涉假专项治理，城市排水管网建设工程质量专项治理，基坑、边坡工程安全生产大排查、安全生产百日攻坚行动等，累计检查项目479个，检查钢筋、水泥及其他建材产品334批次，发现隐患问题319条，下发整改通知单（含停工通知单）共95份。</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推扬尘污染防治见行见效。一是制定实施方案，填报动态台账。以“一周一台账，一周一调度，一季度一通报”工作模式，建立市本级在建项目《扬尘防治6+2动态台账》；二是按照《怀化市建设工程扬尘污染防治实施细则》规定，要求市本级在建项目分别安装视频监控、扬尘监测系统，现已安装施工现场视频监控系统 20个（其中已联网17个），已安装建筑扬尘在线监测系统 21个项目（其中已联网18个）；三是定期开展市本级建筑工地文明施工和扬尘治理专项检查，共下发整改通知书123份，组织约谈责任主体单位2次，下发不良行为记录告知书1份，上报不良行为记录认定书1份；四是组织建筑工地安全防护网等塑料制品污染防治工作。1-11月共累计收到《建筑工地安全防护网等塑料制品污染防治检查表》共272份。五是加强对市本级监管工地非道路移动机械的排查工作，定期填报《怀化市2025年非道路移动机械排放污染防治行动检查表》及《怀化市在用非道路移动机械使用管理台账》。1-12月共填报该表293份，检查非道路移动机械306台，其中发现不符合绿色环保要求移动机械39台，已限制使用并清理退场。六是落实房建市政工程建筑垃圾源头减量化工作，1-12月共填报《怀化市房建市政工程建筑垃圾源头减量化工作统计表》293份，累计共产生建筑垃圾136.5万立方，累计处置建筑垃圾136.4万立方；累计共产生其他工程垃圾2325.47吨，累计处置其他工程垃圾2084.34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推实名制管理全面铺开。一是严查在建项目关键岗位人员到岗履职。每月对复工复产的在建项目进行定期检查，发现未按要求满足70%建设项目共5个，督促立即整改到位并进行复查，确保整改落到实处。二是实行项目请销假报备制度，对请假离开怀化市区超过三天的在建项目关键岗位人员，必须由项目负责人和总监签字，并要求专职劳资员送我站实名制监督室报备，落实关键岗位人员到位履职。三是保障农民工工资支付迎国检工作，对项目迎检资料按五大类25小项分类情况、总包劳资专管员履职情况、工程款支付担保、过程结算、工程款和人工费支付情况、实名制台账及工资发放情况、技能工人培训情况，以及维权告示牌设置情况等进行全面检查落实。</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推质量检测机构行为规范。一是严格检测机构项目备案，审查检测合同，对检测机构或场所开展延伸检查，今年共办理27个项目检测合同备案；二是开展市本级房屋市政工程质量检测活动专项检查，按照《关于进一步加强房屋建筑和市政基础设施工程质量检测活动监督的函》文件要求，我站已排查35个市本级在建项目，发现问题19处，均已整改到位；三是参与工信局牵头的预拌砂浆比对抽查，抽检时间为10月9日至11月30日，抽检对象为县市区4家预拌砂浆生产企业；四是召开怀化市《湖南省房屋市政工程质量检测管理实施细则》推进会。12月4日，市局建工科，我站班子成员、监督室主任，各县、市（区）及怀化国际陆港经开区、怀化高新区质安监督机构负责人，部分质量检测机构负责人等共计40余人参加本次会议，统一全市房屋市政工程质量检测工作标准，推动《细则》全面落地执行，规范检测机构从业行为、明确各方责任边界，强化质量检测环节的监督管理。</w:t>
      </w:r>
    </w:p>
    <w:p>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10）推建筑起重机械安全监管不断强化。一是按流程办理建筑起重机械产权备案、使用登记及注销手续，全年办理产权登记27台，使用登记共59台，注销使用登记60台，产权注销9台，产权换证448台次，使用登记换证80台次，有效保障了设备合法合规投入使用。二是对市本级项目开展全覆盖排查，我站委托晨宇安全科技集团有限公司等第三方技术机构对部分项目起重设备进行监督检测，累计检测塔式起重机22台、施工升降机20台，发现并督促整改隐患设备22台，实现隐患整改率100%。三是积极推广并深化应用“湖南省建筑起重机械管理信息系统”，督促市本级项目及时录入、更新设备备案、安装告知、使用登记、检测、维保等信息，逐步实现设备全生命周期信息化动态监管。四是压实主体责任，通过专项检查、通报约谈等方式督促施工、监理、产权、安拆、使用单位严格落实安全责任，重点宣贯《全省房屋市政工程建筑起重机械生产安全专项治理行动实施方案》及相关技术标准，强化各方主体责任意识与风险防控能力。</w:t>
      </w:r>
    </w:p>
    <w:p>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11）促施工企业水平提升。为加大对我市在建项目施工总承包单位的技术帮扶指导，有效促进施工企业水平提升，我站每月对相关企业宣贯法律法规知识，组织技术培训，鼓励员工积极考证，对企业存在的困难积极给予指导及帮助。通过帮扶，我市头部企业在全省范围内已具备一定的核心竞争力，其中由我站监管、湖南省第六工程有限公司承建的“湖南医药学院第一附属医院创伤救治综合楼建设项目”荣获“2025年度湖南省芙蓉优质建设工程”；在省住建厅2025年公布的“湖南省年度建筑施工安全质量标准化考评优良工地”名单中我站监管的项目共计24个。</w:t>
      </w:r>
    </w:p>
    <w:p>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12）促为民办事效率提高。按照我站为民服务“热情耐心、专业指导、全程跟进”的原则，妥善处理历史遗留问题项目办证工作，积极接待各类信访投诉问题。据统计，全年累计办理经房屋鉴定备案的处遗项目95个；收到质量投诉353起，已处理完结353起，处理完结率100%；共处理噪音投诉239起，已处理完结236起，处理完结率98.7%。</w:t>
      </w:r>
    </w:p>
    <w:p>
      <w:pPr>
        <w:pStyle w:val="2"/>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13）促监督队伍专业提能。线上，通过省厅住建云学习平台学习专业课程知识，包括法律法规、质量安全、消防监督、事故案例分析等，供监督人员自主学习；线下，我站定期组织各类集中培训和现场观摩活动，邀请行业专家进行授课和指导。今年，已举办线下集中培训共10场，累计培训人员达1000余人次，内容包括建筑施工大讲堂活动、“开工第一课讲安全”活动、建筑起重机械设备专项培训、排水管网工程质量监督培训、消防质量监督培训等，组织“安全生产月”“质量月”工地观摩活动、市本级在建项目安全生产警示会共3场；同时，积极参与技能竞赛、组织质量安全监督业务考试，以赛促学、以练促干，以此提升监督队伍业务能力和综合素质。</w:t>
      </w:r>
    </w:p>
    <w:p>
      <w:pPr>
        <w:ind w:firstLine="640" w:firstLineChars="200"/>
        <w:rPr>
          <w:rFonts w:hint="default"/>
          <w:lang w:val="en-US" w:eastAsia="zh-CN"/>
        </w:rPr>
      </w:pPr>
      <w:r>
        <w:rPr>
          <w:rFonts w:hint="eastAsia" w:ascii="Times New Roman Regular" w:hAnsi="Times New Roman Regular" w:eastAsia="仿宋_GB2312" w:cs="Times New Roman Regular"/>
          <w:color w:val="auto"/>
          <w:sz w:val="32"/>
          <w:szCs w:val="32"/>
          <w:highlight w:val="none"/>
          <w:lang w:val="en-US" w:eastAsia="zh-CN"/>
        </w:rPr>
        <w:t>（14）促旅发大会重点项目建设提速。我站作为全市重点工程建设的技术支撑单位，承担着第五届湖南旅游发展大会重点工程建设质量安全监督、工程进度调度、技术指导服务等重任，据统计，我站监督旅发项目共25个，市政道路共8条，建筑面积26.6万平方米。为保障旅发大会重点建设工程安全合规、如期投用，我站靠前服务、上门指导，主动担当作为，在工程质安监督、优化营商环境、服务企业及项目等方面开展了一系列创新和亮点工作，共组织召开28次调度会议，实际解决诸多项目监管难题，做到了全过程所有旅发大会建设项目未发生任何质量安全生产事故，完成“保质量、保安全、保进度”核心目标。</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w:t>
      </w:r>
      <w:r>
        <w:rPr>
          <w:rFonts w:hint="default" w:ascii="方正黑体_GBK" w:hAnsi="方正黑体_GBK" w:eastAsia="方正黑体_GBK" w:cs="方正黑体_GBK"/>
          <w:b/>
          <w:bCs/>
          <w:color w:val="auto"/>
          <w:sz w:val="32"/>
          <w:szCs w:val="32"/>
          <w:highlight w:val="none"/>
          <w:lang w:val="en-US" w:eastAsia="zh-CN"/>
        </w:rPr>
        <w:t>、存在的问题及原因分析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全年预算工作有待完善和精准，执行预算欠严格落实。主要原因是公用经费不足导致没有严格按照年初预算科目支出。</w:t>
      </w:r>
    </w:p>
    <w:p>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（一）科学合理编制预算，严格执行预算。按照《预算法》及其实施条例的相关规定，参考上一年度预算执行情况和年度的收支预测科学编制预算，避免年中大幅调整预算；</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（二）在预算执行过程中，严格按照预算科目支出，避免预算科目间的预算资金调剂，确需调剂的，按规定程序报经批准。</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（三）遵循预算管理办法，对年度无法预计临时追加的相关工作经费需严格按规定执行预算调整程序。</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八</w:t>
      </w: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pPr>
        <w:keepNext w:val="0"/>
        <w:keepLines w:val="0"/>
        <w:pageBreakBefore w:val="0"/>
        <w:widowControl w:val="0"/>
        <w:kinsoku/>
        <w:wordWrap/>
        <w:overflowPunct/>
        <w:topLinePunct w:val="0"/>
        <w:autoSpaceDE/>
        <w:autoSpaceDN/>
        <w:bidi w:val="0"/>
        <w:adjustRightInd/>
        <w:snapToGrid w:val="0"/>
        <w:spacing w:line="520" w:lineRule="exact"/>
        <w:ind w:firstLine="642"/>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我单位将通过绩效自评工作进一步完善预算管理机制，规范资金使用，强化监督检查，强化财政资金管理水平，提高财政资金使用效益，预算资金使用效益的提高提供基础保障。</w:t>
      </w:r>
    </w:p>
    <w:p>
      <w:pPr>
        <w:keepNext w:val="0"/>
        <w:keepLines w:val="0"/>
        <w:pageBreakBefore w:val="0"/>
        <w:widowControl w:val="0"/>
        <w:kinsoku/>
        <w:wordWrap/>
        <w:overflowPunct/>
        <w:topLinePunct w:val="0"/>
        <w:autoSpaceDE/>
        <w:autoSpaceDN/>
        <w:bidi w:val="0"/>
        <w:adjustRightInd/>
        <w:snapToGrid w:val="0"/>
        <w:spacing w:line="520" w:lineRule="exact"/>
        <w:ind w:firstLine="642"/>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绩效自评工作完成后将通过单位官网向全社会公开。</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九</w:t>
      </w:r>
      <w:r>
        <w:rPr>
          <w:rFonts w:hint="default" w:ascii="方正黑体_GBK" w:hAnsi="方正黑体_GBK" w:eastAsia="方正黑体_GBK" w:cs="方正黑体_GBK"/>
          <w:b/>
          <w:bCs/>
          <w:color w:val="auto"/>
          <w:sz w:val="32"/>
          <w:szCs w:val="32"/>
          <w:highlight w:val="none"/>
          <w:lang w:val="en-US" w:eastAsia="zh-CN"/>
        </w:rPr>
        <w:t>、其他需要说明的情况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209D7C60-5A8E-484E-8176-26813FED900E}"/>
  </w:font>
  <w:font w:name="方正小标宋_GBK">
    <w:panose1 w:val="03000509000000000000"/>
    <w:charset w:val="86"/>
    <w:family w:val="auto"/>
    <w:pitch w:val="default"/>
    <w:sig w:usb0="00000001" w:usb1="080E0000" w:usb2="00000000" w:usb3="00000000" w:csb0="00040000" w:csb1="00000000"/>
    <w:embedRegular r:id="rId2" w:fontKey="{7062224F-B85E-4E66-B9CF-EB2874CC0950}"/>
  </w:font>
  <w:font w:name="方正黑体_GBK">
    <w:panose1 w:val="03000509000000000000"/>
    <w:charset w:val="86"/>
    <w:family w:val="auto"/>
    <w:pitch w:val="default"/>
    <w:sig w:usb0="00000001" w:usb1="080E0000" w:usb2="00000000" w:usb3="00000000" w:csb0="00040000" w:csb1="00000000"/>
    <w:embedRegular r:id="rId3" w:fontKey="{F9A9DD55-E34B-48C2-81FD-DEDC45CE0194}"/>
  </w:font>
  <w:font w:name="Times New Roman Regular">
    <w:altName w:val="Times New Roman"/>
    <w:panose1 w:val="02020603050405020304"/>
    <w:charset w:val="00"/>
    <w:family w:val="auto"/>
    <w:pitch w:val="default"/>
    <w:sig w:usb0="00000000" w:usb1="00000000" w:usb2="00000009" w:usb3="00000000" w:csb0="400001FF" w:csb1="FFFF0000"/>
    <w:embedRegular r:id="rId4" w:fontKey="{9657D13E-CFA3-47C7-86A6-FEDB16401F40}"/>
  </w:font>
  <w:font w:name="方正仿宋_GB2312">
    <w:panose1 w:val="02000000000000000000"/>
    <w:charset w:val="86"/>
    <w:family w:val="auto"/>
    <w:pitch w:val="default"/>
    <w:sig w:usb0="00000000" w:usb1="00000000" w:usb2="00000000" w:usb3="00000000" w:csb0="00000000" w:csb1="00000000"/>
    <w:embedRegular r:id="rId5" w:fontKey="{DA23CA0D-7868-4440-9CD1-0E77FE6A57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159020"/>
    <w:multiLevelType w:val="singleLevel"/>
    <w:tmpl w:val="DD159020"/>
    <w:lvl w:ilvl="0" w:tentative="0">
      <w:start w:val="2"/>
      <w:numFmt w:val="chineseCounting"/>
      <w:suff w:val="nothing"/>
      <w:lvlText w:val="（%1）"/>
      <w:lvlJc w:val="left"/>
      <w:rPr>
        <w:rFonts w:hint="eastAsia"/>
      </w:rPr>
    </w:lvl>
  </w:abstractNum>
  <w:abstractNum w:abstractNumId="1">
    <w:nsid w:val="5BB32E73"/>
    <w:multiLevelType w:val="singleLevel"/>
    <w:tmpl w:val="5BB32E73"/>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19B05CD"/>
    <w:rsid w:val="01BB05A0"/>
    <w:rsid w:val="049C64DE"/>
    <w:rsid w:val="051B69F7"/>
    <w:rsid w:val="054874D3"/>
    <w:rsid w:val="05E95AA6"/>
    <w:rsid w:val="068762FC"/>
    <w:rsid w:val="0AA260A7"/>
    <w:rsid w:val="0B955AE5"/>
    <w:rsid w:val="0C180A78"/>
    <w:rsid w:val="0D276746"/>
    <w:rsid w:val="0D464D9C"/>
    <w:rsid w:val="0DD52794"/>
    <w:rsid w:val="0E1D3DDA"/>
    <w:rsid w:val="0E40060F"/>
    <w:rsid w:val="0E956870"/>
    <w:rsid w:val="10C666A5"/>
    <w:rsid w:val="1223366A"/>
    <w:rsid w:val="12B3207B"/>
    <w:rsid w:val="143877FD"/>
    <w:rsid w:val="14BB37E8"/>
    <w:rsid w:val="17FCFFF6"/>
    <w:rsid w:val="19E805B2"/>
    <w:rsid w:val="1CBF872E"/>
    <w:rsid w:val="1EF57F68"/>
    <w:rsid w:val="1F712907"/>
    <w:rsid w:val="22FE234B"/>
    <w:rsid w:val="231C669E"/>
    <w:rsid w:val="24AB1C50"/>
    <w:rsid w:val="26EF3977"/>
    <w:rsid w:val="277E6F02"/>
    <w:rsid w:val="29990575"/>
    <w:rsid w:val="2AF6742D"/>
    <w:rsid w:val="312A2265"/>
    <w:rsid w:val="333F3E43"/>
    <w:rsid w:val="334B0350"/>
    <w:rsid w:val="34ED4F7A"/>
    <w:rsid w:val="36FC0F5D"/>
    <w:rsid w:val="375773F8"/>
    <w:rsid w:val="385F256A"/>
    <w:rsid w:val="39102E4F"/>
    <w:rsid w:val="393E32BB"/>
    <w:rsid w:val="3EFDDE87"/>
    <w:rsid w:val="3FE41BC2"/>
    <w:rsid w:val="419B2857"/>
    <w:rsid w:val="41D71DA8"/>
    <w:rsid w:val="41E00002"/>
    <w:rsid w:val="44AC6816"/>
    <w:rsid w:val="4A3F72B6"/>
    <w:rsid w:val="4A524112"/>
    <w:rsid w:val="4AC66CF3"/>
    <w:rsid w:val="4AE82544"/>
    <w:rsid w:val="4C6611ED"/>
    <w:rsid w:val="4C673DD1"/>
    <w:rsid w:val="4D115001"/>
    <w:rsid w:val="4D5D3BD3"/>
    <w:rsid w:val="4E085AA6"/>
    <w:rsid w:val="4EB7F892"/>
    <w:rsid w:val="4FCA7C5D"/>
    <w:rsid w:val="552A0475"/>
    <w:rsid w:val="55E30D13"/>
    <w:rsid w:val="578D10CB"/>
    <w:rsid w:val="57AD37CC"/>
    <w:rsid w:val="59C16315"/>
    <w:rsid w:val="5A5915AC"/>
    <w:rsid w:val="5A902199"/>
    <w:rsid w:val="5ABBC979"/>
    <w:rsid w:val="5AD073FF"/>
    <w:rsid w:val="5B305B59"/>
    <w:rsid w:val="5B37158E"/>
    <w:rsid w:val="5BFC7B3B"/>
    <w:rsid w:val="5CC40C75"/>
    <w:rsid w:val="5D226CCA"/>
    <w:rsid w:val="5E77C7C6"/>
    <w:rsid w:val="5F497739"/>
    <w:rsid w:val="5FB80691"/>
    <w:rsid w:val="5FFFAAE0"/>
    <w:rsid w:val="613C4375"/>
    <w:rsid w:val="61A261A1"/>
    <w:rsid w:val="66347B2F"/>
    <w:rsid w:val="667FD72C"/>
    <w:rsid w:val="66BC066D"/>
    <w:rsid w:val="69FA3FC2"/>
    <w:rsid w:val="6A12486A"/>
    <w:rsid w:val="6ABE64BE"/>
    <w:rsid w:val="6B5F16C5"/>
    <w:rsid w:val="6C2E6B24"/>
    <w:rsid w:val="6CF3EA5A"/>
    <w:rsid w:val="6CF97770"/>
    <w:rsid w:val="71576FFB"/>
    <w:rsid w:val="72AA6A26"/>
    <w:rsid w:val="72D326AB"/>
    <w:rsid w:val="737931AC"/>
    <w:rsid w:val="753C4E9B"/>
    <w:rsid w:val="769B7804"/>
    <w:rsid w:val="779FCBF0"/>
    <w:rsid w:val="77F7E21B"/>
    <w:rsid w:val="781113A7"/>
    <w:rsid w:val="788F5065"/>
    <w:rsid w:val="791E6510"/>
    <w:rsid w:val="79E2F975"/>
    <w:rsid w:val="7B3BDBF2"/>
    <w:rsid w:val="7BE84E61"/>
    <w:rsid w:val="7C8D4A41"/>
    <w:rsid w:val="7D4C06B6"/>
    <w:rsid w:val="7DDF0DF3"/>
    <w:rsid w:val="7E812066"/>
    <w:rsid w:val="7EBDCBBF"/>
    <w:rsid w:val="7EC74CC1"/>
    <w:rsid w:val="7EE6408F"/>
    <w:rsid w:val="7F3EB32E"/>
    <w:rsid w:val="7F5F3F3B"/>
    <w:rsid w:val="7F5FE5E8"/>
    <w:rsid w:val="7F7FC8C5"/>
    <w:rsid w:val="7FB26A8E"/>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宋体" w:hAnsi="宋体" w:eastAsia="宋体" w:cs="宋体"/>
      <w:b/>
      <w:bCs/>
      <w:kern w:val="36"/>
      <w:sz w:val="48"/>
      <w:szCs w:val="48"/>
    </w:rPr>
  </w:style>
  <w:style w:type="paragraph" w:styleId="5">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6">
    <w:name w:val="Body Text Indent"/>
    <w:basedOn w:val="1"/>
    <w:unhideWhenUsed/>
    <w:qFormat/>
    <w:uiPriority w:val="0"/>
    <w:pPr>
      <w:spacing w:beforeLines="0" w:afterLines="0"/>
      <w:ind w:firstLine="640" w:firstLineChars="200"/>
    </w:pPr>
    <w:rPr>
      <w:rFonts w:hint="default"/>
      <w:sz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unhideWhenUsed/>
    <w:qFormat/>
    <w:uiPriority w:val="99"/>
    <w:pPr>
      <w:spacing w:beforeLines="0" w:afterLines="0"/>
      <w:ind w:firstLine="420"/>
    </w:pPr>
    <w:rPr>
      <w:rFonts w:hint="default"/>
      <w:sz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标题1"/>
    <w:basedOn w:val="5"/>
    <w:qFormat/>
    <w:uiPriority w:val="0"/>
    <w:rPr>
      <w:rFonts w:eastAsia="黑体"/>
    </w:rPr>
  </w:style>
  <w:style w:type="paragraph" w:customStyle="1" w:styleId="15">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3200</Words>
  <Characters>3310</Characters>
  <Lines>0</Lines>
  <Paragraphs>0</Paragraphs>
  <TotalTime>52</TotalTime>
  <ScaleCrop>false</ScaleCrop>
  <LinksUpToDate>false</LinksUpToDate>
  <CharactersWithSpaces>3749</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Administrator</cp:lastModifiedBy>
  <cp:lastPrinted>2025-04-10T10:25:00Z</cp:lastPrinted>
  <dcterms:modified xsi:type="dcterms:W3CDTF">2026-06-18T02:58:22Z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FF107BE0A6D34A6F92A2CDAC6C250333</vt:lpwstr>
  </property>
  <property fmtid="{D5CDD505-2E9C-101B-9397-08002B2CF9AE}" pid="4" name="KSOTemplateDocerSaveRecord">
    <vt:lpwstr>eyJoZGlkIjoiMDE2ZDUwMjk0Njk1OGNhMTIwMjQ2Y2Q5NDBhYjY2NmQiLCJ1c2VySWQiOiI1MjY0MDU5NjkifQ==</vt:lpwstr>
  </property>
  <property fmtid="{D5CDD505-2E9C-101B-9397-08002B2CF9AE}" pid="5" name="KSOSaveFontToCloudKey">
    <vt:lpwstr>0_btnclosed</vt:lpwstr>
  </property>
</Properties>
</file>