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2024年度</w:t>
      </w:r>
      <w:r>
        <w:rPr>
          <w:rFonts w:hint="eastAsia" w:ascii="Times New Roman" w:hAnsi="Times New Roman" w:eastAsia="方正小标宋简体" w:cs="Times New Roman"/>
          <w:sz w:val="72"/>
          <w:szCs w:val="72"/>
        </w:rPr>
        <w:t>怀化市</w:t>
      </w:r>
      <w:r>
        <w:rPr>
          <w:rFonts w:hint="eastAsia" w:ascii="Times New Roman" w:hAnsi="Times New Roman" w:eastAsia="方正小标宋简体" w:cs="Times New Roman"/>
          <w:sz w:val="72"/>
          <w:szCs w:val="72"/>
          <w:lang w:eastAsia="zh-CN"/>
        </w:rPr>
        <w:t>城乡建设档案馆</w:t>
      </w:r>
      <w:r>
        <w:rPr>
          <w:rFonts w:ascii="Times New Roman" w:hAnsi="Times New Roman" w:eastAsia="方正小标宋简体" w:cs="Times New Roman"/>
          <w:sz w:val="72"/>
          <w:szCs w:val="72"/>
        </w:rPr>
        <w:t>部门（单位）部门决算</w:t>
      </w: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w:t>
      </w:r>
      <w:r>
        <w:rPr>
          <w:rFonts w:hint="eastAsia" w:ascii="Times New Roman" w:hAnsi="Times New Roman" w:cs="Times New Roman"/>
          <w:bCs/>
          <w:sz w:val="32"/>
          <w:szCs w:val="32"/>
          <w:lang w:eastAsia="zh-CN"/>
        </w:rPr>
        <w:t>城乡建设档案馆</w:t>
      </w:r>
      <w:r>
        <w:rPr>
          <w:rFonts w:ascii="Times New Roman" w:hAnsi="Times New Roman" w:cs="Times New Roman"/>
          <w:bCs/>
          <w:sz w:val="32"/>
          <w:szCs w:val="32"/>
        </w:rPr>
        <w:t>部门（单位）概况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pPr>
      <w:r>
        <w:rPr>
          <w:rFonts w:hint="eastAsia" w:ascii="仿宋_GB2312" w:hAnsi="仿宋_GB2312" w:eastAsia="仿宋_GB2312" w:cs="仿宋_GB2312"/>
          <w:b w:val="0"/>
          <w:bCs w:val="0"/>
          <w:color w:val="auto"/>
          <w:sz w:val="32"/>
          <w:szCs w:val="32"/>
          <w:highlight w:val="none"/>
          <w:lang w:val="en-US" w:eastAsia="zh-CN"/>
        </w:rPr>
        <w:t>九、国有资本经营预算财政拨款支出</w:t>
      </w:r>
      <w:r>
        <w:rPr>
          <w:rFonts w:hint="eastAsia" w:ascii="仿宋_GB2312" w:hAnsi="仿宋_GB2312" w:eastAsia="仿宋_GB2312" w:cs="仿宋_GB2312"/>
          <w:b w:val="0"/>
          <w:bCs w:val="0"/>
          <w:color w:val="auto"/>
          <w:sz w:val="32"/>
          <w:szCs w:val="32"/>
          <w:highlight w:val="none"/>
        </w:rPr>
        <w:t>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怀化市城乡建设档案馆</w:t>
      </w:r>
      <w:r>
        <w:rPr>
          <w:rFonts w:ascii="Times New Roman" w:hAnsi="Times New Roman" w:eastAsia="方正小标宋_GBK" w:cs="Times New Roman"/>
          <w:sz w:val="52"/>
          <w:szCs w:val="52"/>
        </w:rPr>
        <w:t>部门（单位）概况</w:t>
      </w:r>
    </w:p>
    <w:p>
      <w:pPr>
        <w:pStyle w:val="4"/>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eastAsia="仿宋_GB2312" w:cs="Times New Roman"/>
          <w:color w:val="auto"/>
          <w:sz w:val="32"/>
          <w:szCs w:val="32"/>
          <w:highlight w:val="none"/>
        </w:rPr>
        <w:t>负责怀化市城建档案的检查、指导、收集、保管等日常管理工作；</w:t>
      </w:r>
    </w:p>
    <w:p>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eastAsia="仿宋_GB2312" w:cs="Times New Roman"/>
          <w:color w:val="auto"/>
          <w:sz w:val="32"/>
          <w:szCs w:val="32"/>
          <w:highlight w:val="none"/>
        </w:rPr>
        <w:t>负责接收普查和补测补绘形成的地下管线成果，利用各单位移交的地下管线档案，及时修改城市地下管线综合图，建立城市地下管线信息系统；</w:t>
      </w:r>
    </w:p>
    <w:p>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仿宋_GB2312" w:cs="Times New Roman"/>
          <w:color w:val="auto"/>
          <w:sz w:val="32"/>
          <w:szCs w:val="32"/>
          <w:highlight w:val="none"/>
        </w:rPr>
      </w:pPr>
      <w:r>
        <w:rPr>
          <w:rFonts w:hint="eastAsia" w:ascii="Times New Roman" w:hAnsi="Times New Roman" w:eastAsia="仿宋_GB2312" w:cs="Times New Roman"/>
          <w:sz w:val="32"/>
          <w:szCs w:val="32"/>
        </w:rPr>
        <w:t>（三）</w:t>
      </w:r>
      <w:r>
        <w:rPr>
          <w:rFonts w:hint="eastAsia" w:eastAsia="仿宋_GB2312" w:cs="Times New Roman"/>
          <w:color w:val="auto"/>
          <w:sz w:val="32"/>
          <w:szCs w:val="32"/>
          <w:highlight w:val="none"/>
        </w:rPr>
        <w:t>负责收集、保管、利用怀化市本级城乡建设声像档案；</w:t>
      </w:r>
    </w:p>
    <w:p>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eastAsia="仿宋_GB2312" w:cs="Times New Roman"/>
          <w:color w:val="auto"/>
          <w:sz w:val="32"/>
          <w:szCs w:val="32"/>
          <w:highlight w:val="none"/>
        </w:rPr>
        <w:t>负责对怀化市本级各类建设工程以及地下管线工程进行竣工档案专项验收，参与工程竣工综合验收备案；</w:t>
      </w:r>
    </w:p>
    <w:p>
      <w:pPr>
        <w:spacing w:line="600" w:lineRule="exact"/>
        <w:ind w:firstLine="640" w:firstLineChars="200"/>
        <w:jc w:val="left"/>
        <w:rPr>
          <w:rFonts w:hint="eastAsia" w:eastAsia="仿宋_GB2312" w:cs="Times New Roman"/>
          <w:color w:val="auto"/>
          <w:sz w:val="32"/>
          <w:szCs w:val="32"/>
          <w:highlight w:val="none"/>
        </w:rPr>
      </w:pPr>
      <w:r>
        <w:rPr>
          <w:rFonts w:hint="eastAsia" w:ascii="Times New Roman" w:hAnsi="Times New Roman" w:eastAsia="仿宋_GB2312" w:cs="Times New Roman"/>
          <w:sz w:val="32"/>
          <w:szCs w:val="32"/>
          <w:lang w:eastAsia="zh-CN"/>
        </w:rPr>
        <w:t>（五）</w:t>
      </w:r>
      <w:r>
        <w:rPr>
          <w:rFonts w:hint="eastAsia" w:eastAsia="仿宋_GB2312" w:cs="Times New Roman"/>
          <w:color w:val="auto"/>
          <w:sz w:val="32"/>
          <w:szCs w:val="32"/>
          <w:highlight w:val="none"/>
        </w:rPr>
        <w:t>负责对已接收进馆的档案进行登记、加工整理、编制检索工具，开发档案信息资源，并向社会提供档案咨询服务；收取档案综合服务费；</w:t>
      </w:r>
    </w:p>
    <w:p>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仿宋_GB2312" w:cs="Times New Roman"/>
          <w:color w:val="auto"/>
          <w:sz w:val="32"/>
          <w:szCs w:val="32"/>
          <w:highlight w:val="none"/>
        </w:rPr>
      </w:pPr>
      <w:r>
        <w:rPr>
          <w:rFonts w:hint="eastAsia" w:eastAsia="仿宋_GB2312" w:cs="Times New Roman"/>
          <w:color w:val="auto"/>
          <w:sz w:val="32"/>
          <w:szCs w:val="32"/>
          <w:highlight w:val="none"/>
          <w:lang w:eastAsia="zh-CN"/>
        </w:rPr>
        <w:t>（六）</w:t>
      </w:r>
      <w:r>
        <w:rPr>
          <w:rFonts w:hint="eastAsia" w:eastAsia="仿宋_GB2312" w:cs="Times New Roman"/>
          <w:color w:val="auto"/>
          <w:sz w:val="32"/>
          <w:szCs w:val="32"/>
          <w:highlight w:val="none"/>
        </w:rPr>
        <w:t>受市建设行政主管部门委托，负责开展档案执法检查；</w:t>
      </w:r>
    </w:p>
    <w:p>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仿宋_GB2312" w:cs="Times New Roman"/>
          <w:color w:val="auto"/>
          <w:sz w:val="32"/>
          <w:szCs w:val="32"/>
          <w:highlight w:val="none"/>
        </w:rPr>
      </w:pPr>
      <w:r>
        <w:rPr>
          <w:rFonts w:hint="eastAsia" w:eastAsia="仿宋_GB2312" w:cs="Times New Roman"/>
          <w:color w:val="auto"/>
          <w:sz w:val="32"/>
          <w:szCs w:val="32"/>
          <w:highlight w:val="none"/>
          <w:lang w:eastAsia="zh-CN"/>
        </w:rPr>
        <w:t>（七）</w:t>
      </w:r>
      <w:r>
        <w:rPr>
          <w:rFonts w:hint="eastAsia" w:eastAsia="仿宋_GB2312" w:cs="Times New Roman"/>
          <w:color w:val="auto"/>
          <w:sz w:val="32"/>
          <w:szCs w:val="32"/>
          <w:highlight w:val="none"/>
        </w:rPr>
        <w:t>负责怀化市城建档案的信息化建设工作；</w:t>
      </w:r>
    </w:p>
    <w:p>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仿宋_GB2312"/>
          <w:lang w:eastAsia="zh-CN"/>
        </w:rPr>
      </w:pPr>
      <w:r>
        <w:rPr>
          <w:rFonts w:hint="eastAsia" w:eastAsia="仿宋_GB2312" w:cs="Times New Roman"/>
          <w:color w:val="auto"/>
          <w:sz w:val="32"/>
          <w:szCs w:val="32"/>
          <w:highlight w:val="none"/>
          <w:lang w:eastAsia="zh-CN"/>
        </w:rPr>
        <w:t>（八）</w:t>
      </w:r>
      <w:r>
        <w:rPr>
          <w:rFonts w:hint="eastAsia" w:eastAsia="仿宋_GB2312" w:cs="Times New Roman"/>
          <w:color w:val="auto"/>
          <w:sz w:val="32"/>
          <w:szCs w:val="32"/>
          <w:highlight w:val="none"/>
        </w:rPr>
        <w:t>负责区、县（市）城建档案工作业务指导，组织城建档案业务培训</w:t>
      </w:r>
      <w:r>
        <w:rPr>
          <w:rFonts w:hint="eastAsia" w:eastAsia="仿宋_GB2312" w:cs="Times New Roman"/>
          <w:color w:val="auto"/>
          <w:sz w:val="32"/>
          <w:szCs w:val="32"/>
          <w:highlight w:val="none"/>
          <w:lang w:eastAsia="zh-CN"/>
        </w:rPr>
        <w:t>。</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ind w:firstLine="640" w:firstLineChars="200"/>
        <w:jc w:val="lef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怀化市城乡建设档案馆</w:t>
      </w:r>
      <w:r>
        <w:rPr>
          <w:rFonts w:hint="eastAsia" w:ascii="Times New Roman" w:hAnsi="Times New Roman" w:eastAsia="仿宋_GB2312" w:cs="Times New Roman"/>
          <w:bCs/>
          <w:kern w:val="0"/>
          <w:sz w:val="32"/>
          <w:szCs w:val="32"/>
          <w:lang w:eastAsia="zh-CN"/>
        </w:rPr>
        <w:t>系财政全额拨款事业单位，属于</w:t>
      </w:r>
      <w:r>
        <w:rPr>
          <w:rFonts w:hint="eastAsia" w:ascii="Times New Roman" w:hAnsi="Times New Roman" w:eastAsia="仿宋_GB2312" w:cs="Times New Roman"/>
          <w:bCs/>
          <w:kern w:val="0"/>
          <w:sz w:val="32"/>
          <w:szCs w:val="32"/>
        </w:rPr>
        <w:t>怀化市住房和城乡建设局二级</w:t>
      </w:r>
      <w:r>
        <w:rPr>
          <w:rFonts w:hint="eastAsia" w:ascii="Times New Roman" w:hAnsi="Times New Roman" w:eastAsia="仿宋_GB2312" w:cs="Times New Roman"/>
          <w:bCs/>
          <w:kern w:val="0"/>
          <w:sz w:val="32"/>
          <w:szCs w:val="32"/>
          <w:lang w:eastAsia="zh-CN"/>
        </w:rPr>
        <w:t>机构</w:t>
      </w:r>
      <w:r>
        <w:rPr>
          <w:rFonts w:hint="eastAsia" w:ascii="Times New Roman" w:hAnsi="Times New Roman" w:eastAsia="仿宋_GB2312" w:cs="Times New Roman"/>
          <w:bCs/>
          <w:kern w:val="0"/>
          <w:sz w:val="32"/>
          <w:szCs w:val="32"/>
        </w:rPr>
        <w:t>，内设科室为：怀化市城乡建设档案馆。</w:t>
      </w:r>
    </w:p>
    <w:p>
      <w:pPr>
        <w:ind w:firstLine="640" w:firstLineChars="200"/>
        <w:jc w:val="left"/>
        <w:rPr>
          <w:rFonts w:ascii="Times New Roman" w:hAnsi="Times New Roman" w:eastAsia="仿宋_GB2312" w:cs="Times New Roman"/>
          <w:sz w:val="28"/>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怀化市城乡建设档案馆</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怀化市城乡建设档案馆单位本级。</w:t>
      </w:r>
    </w:p>
    <w:p>
      <w:pPr>
        <w:jc w:val="both"/>
        <w:rPr>
          <w:rFonts w:ascii="Times New Roman" w:hAnsi="Times New Roman" w:eastAsia="黑体" w:cs="Times New Roman"/>
          <w:sz w:val="28"/>
          <w:szCs w:val="28"/>
        </w:rPr>
      </w:pPr>
    </w:p>
    <w:p>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before="120"/>
        <w:jc w:val="left"/>
        <w:textAlignment w:val="center"/>
        <w:rPr>
          <w:rFonts w:ascii="Times New Roman" w:hAnsi="Times New Roman" w:eastAsia="仿宋_GB2312" w:cs="Times New Roman"/>
          <w:color w:val="000000"/>
          <w:sz w:val="24"/>
          <w:szCs w:val="24"/>
        </w:rPr>
      </w:pPr>
    </w:p>
    <w:p>
      <w:pPr>
        <w:pStyle w:val="2"/>
        <w:ind w:left="0" w:leftChars="0" w:firstLine="640" w:firstLineChars="200"/>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见附件</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r>
        <w:rPr>
          <w:rFonts w:ascii="Times New Roman" w:hAnsi="Times New Roman" w:eastAsia="黑体" w:cs="Times New Roman"/>
          <w:szCs w:val="21"/>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262.57</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35.9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降低</w:t>
      </w:r>
      <w:r>
        <w:rPr>
          <w:rFonts w:hint="eastAsia" w:ascii="Times New Roman" w:hAnsi="Times New Roman" w:eastAsia="仿宋_GB2312" w:cs="Times New Roman"/>
          <w:sz w:val="32"/>
          <w:szCs w:val="32"/>
          <w:lang w:val="en-US" w:eastAsia="zh-CN"/>
        </w:rPr>
        <w:t>12.03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项目资金减少。</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262.57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262.57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262.57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238.57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90.86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9.14</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262.57</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35.9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降低</w:t>
      </w:r>
      <w:r>
        <w:rPr>
          <w:rFonts w:hint="eastAsia" w:ascii="Times New Roman" w:hAnsi="Times New Roman" w:eastAsia="仿宋_GB2312" w:cs="Times New Roman"/>
          <w:sz w:val="32"/>
          <w:szCs w:val="32"/>
          <w:lang w:val="en-US" w:eastAsia="zh-CN"/>
        </w:rPr>
        <w:t>12.03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项目资金减少。</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258.57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98.48</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降低</w:t>
      </w:r>
      <w:r>
        <w:rPr>
          <w:rFonts w:hint="eastAsia" w:ascii="Times New Roman" w:hAnsi="Times New Roman" w:eastAsia="仿宋_GB2312" w:cs="Times New Roman"/>
          <w:sz w:val="32"/>
          <w:szCs w:val="32"/>
          <w:lang w:val="en-US" w:eastAsia="zh-CN"/>
        </w:rPr>
        <w:t>4.75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项目资金减少。</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258.57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23.18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3.64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225.99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262.7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258.57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98.43</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我单位严格按照预算支出。</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99.32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我单位严格按照预算支出。</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我单位严格按照预算支出。</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209.96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205.99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98.11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我单位严格按照预算支出。</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我单位严格按照预算支出。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238.57</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232.9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97.62</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绩效工资、机关事业单位基本养老保险缴费、职工基本医疗保险缴费、其他社会保障缴费、住房公积金、生活补助</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5.67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邮电费、工会经费、福利费、其他交通费用、其他商品和服务支出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我单位严格遵守“三公”经费管理制度</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eastAsia="zh-CN"/>
        </w:rPr>
        <w:t>我单位无“三公”经费支出。</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我单位严格遵守“三公”经费管理制度</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eastAsia="zh-CN"/>
        </w:rPr>
        <w:t>我单位无公车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我单位严格遵守“三公”经费管理制度</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eastAsia="zh-CN"/>
        </w:rPr>
        <w:t>我单位本年无公务接待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城市基础设施配套费安排的支出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其他城市基础设施配套费安排的支出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numPr>
          <w:ilvl w:val="0"/>
          <w:numId w:val="1"/>
        </w:numPr>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rPr>
        <w:t>国有资本经营预算财政拨款支出决算情况</w:t>
      </w:r>
    </w:p>
    <w:p>
      <w:pPr>
        <w:pStyle w:val="14"/>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cs="Times New Roman"/>
          <w:bCs/>
          <w:sz w:val="32"/>
          <w:szCs w:val="32"/>
          <w:lang w:val="en-US" w:eastAsia="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w:t>
      </w:r>
      <w:r>
        <w:rPr>
          <w:rFonts w:hint="eastAsia" w:ascii="Times New Roman" w:hAnsi="Times New Roman" w:eastAsia="仿宋_GB2312" w:cs="Times New Roman"/>
          <w:sz w:val="32"/>
          <w:szCs w:val="32"/>
        </w:rPr>
        <w:t>本单位无国有资本经营预算财政拨款支出。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，本单位为非参公事业单位，无机关运行经费支出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万元；开支培训费</w:t>
      </w:r>
      <w:r>
        <w:rPr>
          <w:rFonts w:hint="eastAsia" w:ascii="Times New Roman" w:hAnsi="Times New Roman" w:eastAsia="仿宋_GB2312" w:cs="Times New Roman"/>
          <w:sz w:val="32"/>
          <w:szCs w:val="32"/>
          <w:highlight w:val="none"/>
          <w:lang w:val="en-US" w:eastAsia="zh-CN"/>
        </w:rPr>
        <w:t>0.09</w:t>
      </w:r>
      <w:r>
        <w:rPr>
          <w:rFonts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rPr>
        <w:t>我</w:t>
      </w:r>
      <w:r>
        <w:rPr>
          <w:rFonts w:hint="eastAsia" w:ascii="Times New Roman" w:hAnsi="Times New Roman" w:eastAsia="仿宋_GB2312" w:cs="Times New Roman"/>
          <w:sz w:val="32"/>
          <w:szCs w:val="32"/>
          <w:highlight w:val="none"/>
          <w:lang w:eastAsia="zh-CN"/>
        </w:rPr>
        <w:t>馆档案业务</w:t>
      </w:r>
      <w:r>
        <w:rPr>
          <w:rFonts w:hint="eastAsia" w:ascii="Times New Roman" w:hAnsi="Times New Roman" w:eastAsia="仿宋_GB2312" w:cs="Times New Roman"/>
          <w:sz w:val="32"/>
          <w:szCs w:val="32"/>
          <w:highlight w:val="none"/>
        </w:rPr>
        <w:t>培训</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未</w:t>
      </w:r>
      <w:r>
        <w:rPr>
          <w:rFonts w:ascii="Times New Roman" w:hAnsi="Times New Roman" w:eastAsia="仿宋_GB2312" w:cs="Times New Roman"/>
          <w:sz w:val="32"/>
          <w:szCs w:val="32"/>
          <w:highlight w:val="none"/>
        </w:rPr>
        <w:t>举办节庆、晚会、论坛、赛事活动，开支</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highlight w:val="yellow"/>
        </w:rPr>
      </w:pPr>
      <w:r>
        <w:rPr>
          <w:rFonts w:ascii="Times New Roman" w:hAnsi="Times New Roman" w:cs="Times New Roman"/>
          <w:bCs/>
          <w:sz w:val="32"/>
          <w:szCs w:val="32"/>
          <w:highlight w:val="none"/>
        </w:rPr>
        <w:t>十</w:t>
      </w:r>
      <w:r>
        <w:rPr>
          <w:rFonts w:hint="eastAsia" w:ascii="Times New Roman" w:hAnsi="Times New Roman" w:cs="Times New Roman"/>
          <w:bCs/>
          <w:sz w:val="32"/>
          <w:szCs w:val="32"/>
          <w:highlight w:val="none"/>
          <w:lang w:eastAsia="zh-CN"/>
        </w:rPr>
        <w:t>二</w:t>
      </w:r>
      <w:r>
        <w:rPr>
          <w:rFonts w:ascii="Times New Roman" w:hAnsi="Times New Roman" w:cs="Times New Roman"/>
          <w:bCs/>
          <w:sz w:val="32"/>
          <w:szCs w:val="32"/>
          <w:highlight w:val="none"/>
        </w:rPr>
        <w:t>、关于政府采购支出说明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highlight w:val="yellow"/>
          <w:lang w:eastAsia="zh-CN"/>
        </w:rPr>
      </w:pPr>
      <w:r>
        <w:rPr>
          <w:rFonts w:ascii="Times New Roman" w:hAnsi="Times New Roman" w:eastAsia="仿宋_GB2312" w:cs="Times New Roman"/>
          <w:sz w:val="32"/>
          <w:szCs w:val="32"/>
          <w:highlight w:val="none"/>
        </w:rPr>
        <w:t>本部门2024年度政府采购支出总额</w:t>
      </w:r>
      <w:r>
        <w:rPr>
          <w:rFonts w:hint="eastAsia" w:ascii="Times New Roman" w:hAnsi="Times New Roman" w:eastAsia="仿宋_GB2312" w:cs="Times New Roman"/>
          <w:sz w:val="32"/>
          <w:szCs w:val="32"/>
          <w:highlight w:val="none"/>
          <w:lang w:val="en-US" w:eastAsia="zh-CN"/>
        </w:rPr>
        <w:t>6.77</w:t>
      </w:r>
      <w:r>
        <w:rPr>
          <w:rFonts w:ascii="Times New Roman" w:hAnsi="Times New Roman" w:eastAsia="仿宋_GB2312" w:cs="Times New Roman"/>
          <w:sz w:val="32"/>
          <w:szCs w:val="32"/>
          <w:highlight w:val="none"/>
        </w:rPr>
        <w:t>万元，其中</w:t>
      </w:r>
      <w:r>
        <w:rPr>
          <w:rFonts w:ascii="Times New Roman" w:hAnsi="Times New Roman" w:eastAsia="仿宋_GB2312" w:cs="Times New Roman"/>
          <w:sz w:val="32"/>
          <w:szCs w:val="32"/>
        </w:rPr>
        <w:t>：政府采购货物支出</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7.73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262.7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262.57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default" w:ascii="Times New Roman Regular" w:hAnsi="Times New Roman Regular" w:eastAsia="仿宋_GB2312" w:cs="Times New Roman Regular"/>
          <w:color w:val="auto"/>
          <w:sz w:val="32"/>
          <w:szCs w:val="32"/>
          <w:highlight w:val="none"/>
          <w:lang w:val="en-US" w:eastAsia="zh-CN"/>
        </w:rPr>
        <w:t>97</w:t>
      </w:r>
      <w:r>
        <w:rPr>
          <w:rFonts w:hint="eastAsia" w:ascii="Times New Roman Regular" w:hAnsi="Times New Roman Regular" w:eastAsia="仿宋_GB2312" w:cs="Times New Roman Regular"/>
          <w:color w:val="auto"/>
          <w:sz w:val="32"/>
          <w:szCs w:val="32"/>
          <w:highlight w:val="none"/>
          <w:lang w:val="en-US" w:eastAsia="zh-CN"/>
        </w:rPr>
        <w:t>.79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经济性分析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（1）预算配置控制较好。202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年度财政供养人员控制在预算编制以内，编制内在职人员控制率</w:t>
      </w:r>
      <w:r>
        <w:rPr>
          <w:rFonts w:hint="eastAsia" w:ascii="Times New Roman Regular" w:hAnsi="Times New Roman Regular" w:eastAsia="仿宋_GB2312" w:cs="Times New Roman Regular"/>
          <w:color w:val="auto"/>
          <w:sz w:val="32"/>
          <w:szCs w:val="32"/>
          <w:highlight w:val="none"/>
          <w:lang w:val="en-US" w:eastAsia="zh-CN"/>
        </w:rPr>
        <w:t>84.62</w:t>
      </w:r>
      <w:r>
        <w:rPr>
          <w:rFonts w:hint="default" w:ascii="Times New Roman Regular" w:hAnsi="Times New Roman Regular" w:eastAsia="仿宋_GB2312" w:cs="Times New Roman Regular"/>
          <w:color w:val="auto"/>
          <w:sz w:val="32"/>
          <w:szCs w:val="32"/>
          <w:highlight w:val="none"/>
          <w:lang w:val="en-US" w:eastAsia="zh-CN"/>
        </w:rPr>
        <w:t>%，未超过控制标准。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（2）预算执行与管理。202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年财政决算收入</w:t>
      </w:r>
      <w:r>
        <w:rPr>
          <w:rFonts w:hint="eastAsia" w:ascii="Times New Roman Regular" w:hAnsi="Times New Roman Regular" w:eastAsia="仿宋_GB2312" w:cs="Times New Roman Regular"/>
          <w:color w:val="auto"/>
          <w:sz w:val="32"/>
          <w:szCs w:val="32"/>
          <w:highlight w:val="none"/>
          <w:lang w:val="en-US" w:eastAsia="zh-CN"/>
        </w:rPr>
        <w:t>262.57</w:t>
      </w:r>
      <w:r>
        <w:rPr>
          <w:rFonts w:hint="default" w:ascii="Times New Roman Regular" w:hAnsi="Times New Roman Regular" w:eastAsia="仿宋_GB2312" w:cs="Times New Roman Regular"/>
          <w:color w:val="auto"/>
          <w:sz w:val="32"/>
          <w:szCs w:val="32"/>
          <w:highlight w:val="none"/>
          <w:lang w:val="en-US" w:eastAsia="zh-CN"/>
        </w:rPr>
        <w:t>万元，其中一般公共预算财政拨款收入</w:t>
      </w:r>
      <w:r>
        <w:rPr>
          <w:rFonts w:hint="eastAsia" w:ascii="Times New Roman Regular" w:hAnsi="Times New Roman Regular" w:eastAsia="仿宋_GB2312" w:cs="Times New Roman Regular"/>
          <w:color w:val="auto"/>
          <w:sz w:val="32"/>
          <w:szCs w:val="32"/>
          <w:highlight w:val="none"/>
          <w:lang w:val="en-US" w:eastAsia="zh-CN"/>
        </w:rPr>
        <w:t>258.57</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政府性基金预算财政拨款收入4万元，</w:t>
      </w:r>
      <w:r>
        <w:rPr>
          <w:rFonts w:hint="default" w:ascii="Times New Roman Regular" w:hAnsi="Times New Roman Regular" w:eastAsia="仿宋_GB2312" w:cs="Times New Roman Regular"/>
          <w:color w:val="auto"/>
          <w:sz w:val="32"/>
          <w:szCs w:val="32"/>
          <w:highlight w:val="none"/>
          <w:lang w:val="en-US" w:eastAsia="zh-CN"/>
        </w:rPr>
        <w:t>上年结转0.00万元；决算支出为</w:t>
      </w:r>
      <w:r>
        <w:rPr>
          <w:rFonts w:hint="eastAsia" w:ascii="Times New Roman Regular" w:hAnsi="Times New Roman Regular" w:eastAsia="仿宋_GB2312" w:cs="Times New Roman Regular"/>
          <w:color w:val="auto"/>
          <w:sz w:val="32"/>
          <w:szCs w:val="32"/>
          <w:highlight w:val="none"/>
          <w:lang w:val="en-US" w:eastAsia="zh-CN"/>
        </w:rPr>
        <w:t>262.57</w:t>
      </w:r>
      <w:r>
        <w:rPr>
          <w:rFonts w:hint="default" w:ascii="Times New Roman Regular" w:hAnsi="Times New Roman Regular" w:eastAsia="仿宋_GB2312" w:cs="Times New Roman Regular"/>
          <w:color w:val="auto"/>
          <w:sz w:val="32"/>
          <w:szCs w:val="32"/>
          <w:highlight w:val="none"/>
          <w:lang w:val="en-US" w:eastAsia="zh-CN"/>
        </w:rPr>
        <w:t>万元，其中基本支出</w:t>
      </w:r>
      <w:r>
        <w:rPr>
          <w:rFonts w:hint="eastAsia" w:ascii="Times New Roman Regular" w:hAnsi="Times New Roman Regular" w:eastAsia="仿宋_GB2312" w:cs="Times New Roman Regular"/>
          <w:color w:val="auto"/>
          <w:sz w:val="32"/>
          <w:szCs w:val="32"/>
          <w:highlight w:val="none"/>
          <w:lang w:val="en-US" w:eastAsia="zh-CN"/>
        </w:rPr>
        <w:t>238.57</w:t>
      </w:r>
      <w:r>
        <w:rPr>
          <w:rFonts w:hint="default" w:ascii="Times New Roman Regular" w:hAnsi="Times New Roman Regular" w:eastAsia="仿宋_GB2312" w:cs="Times New Roman Regular"/>
          <w:color w:val="auto"/>
          <w:sz w:val="32"/>
          <w:szCs w:val="32"/>
          <w:highlight w:val="none"/>
          <w:lang w:val="en-US" w:eastAsia="zh-CN"/>
        </w:rPr>
        <w:t>万元、项目支出</w:t>
      </w:r>
      <w:r>
        <w:rPr>
          <w:rFonts w:hint="eastAsia" w:ascii="Times New Roman Regular" w:hAnsi="Times New Roman Regular" w:eastAsia="仿宋_GB2312" w:cs="Times New Roman Regular"/>
          <w:color w:val="auto"/>
          <w:sz w:val="32"/>
          <w:szCs w:val="32"/>
          <w:highlight w:val="none"/>
          <w:lang w:val="en-US" w:eastAsia="zh-CN"/>
        </w:rPr>
        <w:t>24</w:t>
      </w:r>
      <w:r>
        <w:rPr>
          <w:rFonts w:hint="default" w:ascii="Times New Roman Regular" w:hAnsi="Times New Roman Regular" w:eastAsia="仿宋_GB2312" w:cs="Times New Roman Regular"/>
          <w:color w:val="auto"/>
          <w:sz w:val="32"/>
          <w:szCs w:val="32"/>
          <w:highlight w:val="none"/>
          <w:lang w:val="en-US" w:eastAsia="zh-CN"/>
        </w:rPr>
        <w:t>万元， “三公经费”等相关支出均未超过控制标准。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 xml:space="preserve"> 2.有效性和效率性分析。通过对202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年全年工作进行梳理和总结，我单位202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年主要产出和效益如下：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加大城建档案工作的宣贯力度。为进一步扩大城建档案工作的社会影响力，增强社会各界对城建档案的关注度，充分发挥城建档案在记录历史、传承文明、服务社会、造福群众中的特殊作用，根据湖南省住房和城乡建设厅办公室《关于组织开展2024年国际档案日宣传活动的通知》要求，我馆组织工作人员在市民广场、政务中心开展形式多样的宣传活动，通过发放宣传资料、现场咨询答疑等，向社会各界解答关于城建档案方面的提问20余个，收到了较好的效果，形成了大家共同关注、支持城建档案工作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积极参加档案业务知识培训。7月23至24日，怀化市档案局联合怀化市档案学会在怀化开放大学组织开展了为期两天的档案业务知识培训班，为了充分利用好这次难得的学习机会，我馆妥善处理好上班与学习培训的矛盾，既不中断馆内业务工作的开展，又能最大限度地派人参加培训。在培训中，各位专家对《中华人民共和国档案法》及《中华人民共和国档案法实施条例》进行了详细的解读，使大家充分认识到档案工作的重要性，也更加增强了大家做好档案工作的信心、决心。通过此次培训，不仅提高了档案管理人员的专业技能和知识水平，‌还增强了大家对档案工作重要性的认识，‌为推动档案管理现代化、‌信息化奠定了坚实的基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做好档案的数字化和查阅利用工作。今年以来我馆录入14620卷，其中数字化处理案卷6594卷，扫描文字、图纸44万余张。接待档案查阅人员136人次，查阅档案987卷，复印相关档案资料13299张，为人民群众在房屋改扩建、产权办理、职称业绩证明、解决纠纷及司法、纪检部门办案取证方面提供了便利和依据，最大限度地发挥了城建档案的利用价值。</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优化城建档案验收流程。继续推进城建档案验收告知承诺制。为提高各企业城建档案在工改平台的验收通过率，城建档案馆想方设法优化办事流程，减少不必要的环节。在企业发起联合验收前，先派业务骨干提前介入，对主审资料的收集整理情况进行审核，对于存在的问题进行一次性告知，并积极协助各企业资料员补齐所欠缺的资料，待主审资料合格后，再通知企业在工改平台发起联合验收，同步出具《建设工程档案专项验收意见书》，其余非主审件在工程竣工备案3个月内补齐。避免发生因主审资料不合格而被驳回的现象，提高了联合验收的通过率，最大限度地为企业节约时间成本。今年以来，共出具《建设工程档案专项验收意见书》57份，接收90多栋楼的竣工资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Regular" w:hAnsi="Times New Roman Regular" w:eastAsia="仿宋_GB2312" w:cs="Times New Roman Regular"/>
          <w:color w:val="auto"/>
          <w:sz w:val="32"/>
          <w:szCs w:val="32"/>
          <w:highlight w:val="none"/>
          <w:lang w:val="en-US" w:eastAsia="zh-CN"/>
        </w:rPr>
        <w:t>（5）加强城建档案业务指导。为更好的解决城建档案验收中的堵点、难点、痛点问题，城建档案馆变被动受理为主动服务，经常组织业务骨干深入各建筑工地进行业务指导，面对面进行交流，认真听取他们对于城建档案工作方面的意见和建议，不断改进工作方式方法，千方百计帮助企业解决档案收集过程中遇到的各种难题。同时，根据实际情况，采取电话、微信等不见面的服务方式，做好城建档案业务指导工作，让企业少走弯路。对于一些新手资料员，业务骨干都能不厌其烦地讲解城建档案收集整理的要求，并手把手地进行帮带，使他们尽快掌握城建档案收集整理的方法。避免出现因档案收集、整理不规范而不能入库的现象。</w:t>
      </w:r>
    </w:p>
    <w:p>
      <w:pPr>
        <w:overflowPunct w:val="0"/>
        <w:spacing w:line="600" w:lineRule="exact"/>
        <w:ind w:firstLine="640" w:firstLineChars="200"/>
        <w:rPr>
          <w:rFonts w:hint="default" w:ascii="Times New Roman Regular" w:hAnsi="Times New Roman Regular" w:eastAsia="仿宋_GB2312" w:cs="Times New Roman Regular"/>
          <w:color w:val="auto"/>
          <w:sz w:val="32"/>
          <w:szCs w:val="32"/>
          <w:highlight w:val="none"/>
          <w:lang w:val="en-US" w:eastAsia="zh-CN"/>
        </w:rPr>
      </w:pP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全面预算绩效管理工作经验不太丰富，绩效管理专业人员匮乏，规范管理有盲点。绩效管理念待加强</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部门预算编制的科学化、精细化有待提高。目前，预算编制要求经济科目细化到款级，但在实际编制过程中，由于有的预算支出项目具有预测性和不确定性等特点，造成实际支出与预算编制不符。</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下一步改进措施：一</w:t>
      </w:r>
      <w:r>
        <w:rPr>
          <w:rFonts w:hint="eastAsia" w:ascii="Times New Roman" w:hAnsi="Times New Roman" w:eastAsia="仿宋_GB2312" w:cs="Times New Roman"/>
          <w:sz w:val="32"/>
          <w:szCs w:val="32"/>
          <w:lang w:eastAsia="zh-CN"/>
        </w:rPr>
        <w:t>是</w:t>
      </w:r>
      <w:r>
        <w:rPr>
          <w:rFonts w:hint="default" w:ascii="Times New Roman Regular" w:hAnsi="Times New Roman Regular" w:eastAsia="仿宋_GB2312" w:cs="Times New Roman Regular"/>
          <w:color w:val="auto"/>
          <w:sz w:val="32"/>
          <w:szCs w:val="32"/>
          <w:highlight w:val="none"/>
          <w:lang w:val="en-US" w:eastAsia="zh-CN"/>
        </w:rPr>
        <w:t>更加全面、细致地制定绩效目标，进一步严肃财经纪律，在实施过程中遵循“实事求是、尊重客观、力求精准”的原则，努力使项目资金落到实处</w:t>
      </w:r>
      <w:r>
        <w:rPr>
          <w:rFonts w:ascii="Times New Roman" w:hAnsi="Times New Roman" w:eastAsia="仿宋_GB2312" w:cs="Times New Roman"/>
          <w:sz w:val="32"/>
          <w:szCs w:val="32"/>
        </w:rPr>
        <w:t>；二是</w:t>
      </w:r>
      <w:r>
        <w:rPr>
          <w:rFonts w:hint="default" w:ascii="Times New Roman Regular" w:hAnsi="Times New Roman Regular" w:eastAsia="仿宋_GB2312" w:cs="Times New Roman Regular"/>
          <w:color w:val="auto"/>
          <w:sz w:val="32"/>
          <w:szCs w:val="32"/>
          <w:highlight w:val="none"/>
          <w:lang w:val="en-US" w:eastAsia="zh-CN"/>
        </w:rPr>
        <w:t>落实内控制度，严肃执行“三重一大”的原则，深入开展政府购买社会化服务，切实引进社会化竞争机制，引进相关专业人才，保障项目在公开、公平、公正的监督环境中实施，有效节约项目资金，把有限的资金用在刀刃上</w:t>
      </w:r>
      <w:r>
        <w:rPr>
          <w:rFonts w:hint="eastAsia" w:ascii="Times New Roman" w:hAnsi="Times New Roman" w:eastAsia="仿宋_GB2312" w:cs="Times New Roman"/>
          <w:sz w:val="32"/>
          <w:szCs w:val="32"/>
          <w:lang w:eastAsia="zh-CN"/>
        </w:rPr>
        <w:t>；三是</w:t>
      </w:r>
      <w:r>
        <w:rPr>
          <w:rFonts w:hint="default" w:ascii="Times New Roman Regular" w:hAnsi="Times New Roman Regular" w:eastAsia="仿宋_GB2312" w:cs="Times New Roman Regular"/>
          <w:color w:val="auto"/>
          <w:sz w:val="32"/>
          <w:szCs w:val="32"/>
          <w:highlight w:val="none"/>
          <w:lang w:val="en-US" w:eastAsia="zh-CN"/>
        </w:rPr>
        <w:t>加强对财政资金的拨付和使用管理，加强对财务干部职工的业务培训，强化预算管理意识，严格执行预算，做到专账核算，确保专款专用</w:t>
      </w:r>
      <w:r>
        <w:rPr>
          <w:rFonts w:ascii="Times New Roman" w:hAnsi="Times New Roman" w:eastAsia="仿宋_GB2312" w:cs="Times New Roman"/>
          <w:kern w:val="0"/>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color w:val="auto"/>
          <w:kern w:val="2"/>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kern w:val="2"/>
          <w:sz w:val="32"/>
          <w:szCs w:val="32"/>
          <w:lang w:val="en-US" w:eastAsia="zh-CN" w:bidi="ar-SA"/>
        </w:rPr>
        <w:t>我单位将通过绩效自评工作进一步完善预算管理机制，规范资金使用，强化监督检查，强化财政资金管理水平，提高财政资金使用效益，预算资金使用效益的提高提供基础保障。</w:t>
      </w: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财政拨款收入：指财政当年拨付的资金。包括一般公共预算财政拨款和政府性基金财政拨款。</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二、</w:t>
      </w:r>
      <w:r>
        <w:rPr>
          <w:rFonts w:hint="eastAsia" w:ascii="Times New Roman" w:hAnsi="Times New Roman" w:eastAsia="仿宋_GB2312" w:cs="Times New Roman"/>
          <w:color w:val="000000"/>
          <w:kern w:val="0"/>
          <w:sz w:val="32"/>
          <w:szCs w:val="32"/>
        </w:rPr>
        <w:t>上级补助收入：指事业单位从主管部门和上级单位取得的非财政补助收入。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三、</w:t>
      </w:r>
      <w:r>
        <w:rPr>
          <w:rFonts w:hint="eastAsia" w:ascii="Times New Roman" w:hAnsi="Times New Roman" w:eastAsia="仿宋_GB2312" w:cs="Times New Roman"/>
          <w:color w:val="000000"/>
          <w:kern w:val="0"/>
          <w:sz w:val="32"/>
          <w:szCs w:val="32"/>
        </w:rPr>
        <w:t>事业收入：指事业单位开展专业业务活动及辅助活动所取得的收入。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rPr>
        <w:t>经营收入：指事业单位在专业业务活动及其辅助活动之外开展非独立核算经营活动取得的收入。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五、</w:t>
      </w:r>
      <w:r>
        <w:rPr>
          <w:rFonts w:hint="eastAsia" w:ascii="Times New Roman" w:hAnsi="Times New Roman" w:eastAsia="仿宋_GB2312" w:cs="Times New Roman"/>
          <w:color w:val="000000"/>
          <w:kern w:val="0"/>
          <w:sz w:val="32"/>
          <w:szCs w:val="32"/>
        </w:rPr>
        <w:t>附属单位上缴收入：指事业单位附属独立核算单位按照有关规定上缴的收入。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六、</w:t>
      </w:r>
      <w:r>
        <w:rPr>
          <w:rFonts w:hint="eastAsia" w:ascii="Times New Roman" w:hAnsi="Times New Roman" w:eastAsia="仿宋_GB2312" w:cs="Times New Roman"/>
          <w:color w:val="000000"/>
          <w:kern w:val="0"/>
          <w:sz w:val="32"/>
          <w:szCs w:val="32"/>
        </w:rPr>
        <w:t>其他收入：指除上述“财政拨款收入”、“事业收入”、“经营收入”等以外的收入。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七、</w:t>
      </w:r>
      <w:r>
        <w:rPr>
          <w:rFonts w:hint="eastAsia" w:ascii="Times New Roman" w:hAnsi="Times New Roman" w:eastAsia="仿宋_GB2312" w:cs="Times New Roman"/>
          <w:color w:val="000000"/>
          <w:kern w:val="0"/>
          <w:sz w:val="32"/>
          <w:szCs w:val="32"/>
        </w:rPr>
        <w:t>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八、</w:t>
      </w:r>
      <w:r>
        <w:rPr>
          <w:rFonts w:hint="eastAsia" w:ascii="Times New Roman" w:hAnsi="Times New Roman" w:eastAsia="仿宋_GB2312" w:cs="Times New Roman"/>
          <w:color w:val="000000"/>
          <w:kern w:val="0"/>
          <w:sz w:val="32"/>
          <w:szCs w:val="32"/>
        </w:rPr>
        <w:t>年初结转和结余：指以前年度尚未完成、结转到本年按有关规定继续使用的资金。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w:t>
      </w:r>
      <w:r>
        <w:rPr>
          <w:rFonts w:hint="eastAsia" w:ascii="Times New Roman" w:hAnsi="Times New Roman" w:eastAsia="仿宋_GB2312" w:cs="Times New Roman"/>
          <w:color w:val="000000"/>
          <w:kern w:val="0"/>
          <w:sz w:val="32"/>
          <w:szCs w:val="32"/>
        </w:rPr>
        <w:t>结余分配：指事业单位按规定从非财政补助结余中分配的事业基金和职工福利基金等。</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hint="eastAsia" w:ascii="Times New Roman" w:hAnsi="Times New Roman" w:eastAsia="仿宋_GB2312" w:cs="Times New Roman"/>
          <w:color w:val="000000"/>
          <w:kern w:val="0"/>
          <w:sz w:val="32"/>
          <w:szCs w:val="32"/>
        </w:rPr>
        <w:t>年末结转和结余：指本年度或以前年度预算安排、因客观条件发生变化无法按原计划实施，需要延迟到以后年度按有关规定继续使用的资金。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十一、</w:t>
      </w:r>
      <w:r>
        <w:rPr>
          <w:rFonts w:hint="eastAsia" w:ascii="Times New Roman" w:hAnsi="Times New Roman" w:eastAsia="仿宋_GB2312" w:cs="Times New Roman"/>
          <w:color w:val="000000"/>
          <w:kern w:val="0"/>
          <w:sz w:val="32"/>
          <w:szCs w:val="32"/>
        </w:rPr>
        <w:t>基本支出：指为保障机构正常运转、完成日常工作任务而发生的人员支出和公用支出。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十二、</w:t>
      </w:r>
      <w:r>
        <w:rPr>
          <w:rFonts w:hint="eastAsia" w:ascii="Times New Roman" w:hAnsi="Times New Roman" w:eastAsia="仿宋_GB2312" w:cs="Times New Roman"/>
          <w:color w:val="000000"/>
          <w:kern w:val="0"/>
          <w:sz w:val="32"/>
          <w:szCs w:val="32"/>
        </w:rPr>
        <w:t>项目支出：指在基本支出之外为完成特定行政任务和事业发展目标所发生的支出。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十三、</w:t>
      </w:r>
      <w:r>
        <w:rPr>
          <w:rFonts w:hint="eastAsia" w:ascii="Times New Roman" w:hAnsi="Times New Roman" w:eastAsia="仿宋_GB2312" w:cs="Times New Roman"/>
          <w:color w:val="000000"/>
          <w:kern w:val="0"/>
          <w:sz w:val="32"/>
          <w:szCs w:val="32"/>
        </w:rPr>
        <w:t>经营支出：指事业单位在专业业务活动及其辅助活动之外开展非独立核算经营活动所发生的支出。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十四、</w:t>
      </w:r>
      <w:r>
        <w:rPr>
          <w:rFonts w:hint="eastAsia" w:ascii="Times New Roman" w:hAnsi="Times New Roman" w:eastAsia="仿宋_GB2312" w:cs="Times New Roman"/>
          <w:color w:val="000000"/>
          <w:kern w:val="0"/>
          <w:sz w:val="32"/>
          <w:szCs w:val="32"/>
        </w:rPr>
        <w:t>“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十五、</w:t>
      </w:r>
      <w:r>
        <w:rPr>
          <w:rFonts w:hint="eastAsia" w:ascii="Times New Roman" w:hAnsi="Times New Roman" w:eastAsia="仿宋_GB2312" w:cs="Times New Roman"/>
          <w:color w:val="000000"/>
          <w:kern w:val="0"/>
          <w:sz w:val="32"/>
          <w:szCs w:val="32"/>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pStyle w:val="14"/>
        <w:spacing w:line="600" w:lineRule="exact"/>
        <w:ind w:firstLine="640" w:firstLineChars="200"/>
        <w:rPr>
          <w:rFonts w:ascii="Times New Roman" w:hAnsi="Times New Roman" w:eastAsia="楷体_GB2312" w:cs="Times New Roman"/>
          <w:b/>
          <w:bCs/>
          <w:i/>
          <w:color w:val="auto"/>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lang w:eastAsia="zh-CN"/>
        </w:rPr>
        <w:t>决算公开表</w:t>
      </w:r>
      <w:r>
        <w:rPr>
          <w:rFonts w:ascii="Times New Roman" w:hAnsi="Times New Roman" w:eastAsia="仿宋_GB2312" w:cs="Times New Roman"/>
          <w:sz w:val="32"/>
          <w:szCs w:val="32"/>
        </w:rPr>
        <w:t>。</w:t>
      </w:r>
    </w:p>
    <w:p>
      <w:pPr>
        <w:pStyle w:val="14"/>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pict>
          <v:shape id="_x0000_s1026" o:spid="_x0000_s1026" o:spt="75" alt="" type="#_x0000_t75" style="position:absolute;left:0pt;margin-left:65.4pt;margin-top:17.95pt;height:65.4pt;width:72.6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Office12.Excel.Template" ShapeID="_x0000_s1026" DrawAspect="Icon" ObjectID="_1468075725" r:id="rId8">
            <o:LockedField>false</o:LockedField>
          </o:OLEObject>
        </w:pict>
      </w:r>
    </w:p>
    <w:p>
      <w:pPr>
        <w:pStyle w:val="14"/>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Style w:val="14"/>
        <w:spacing w:line="600" w:lineRule="exact"/>
        <w:ind w:firstLine="640" w:firstLineChars="200"/>
        <w:rPr>
          <w:rFonts w:ascii="Times New Roman" w:hAnsi="Times New Roman" w:eastAsia="仿宋_GB2312" w:cs="Times New Roman"/>
          <w:sz w:val="32"/>
          <w:szCs w:val="32"/>
        </w:rPr>
      </w:pPr>
    </w:p>
    <w:p>
      <w:pPr>
        <w:pStyle w:val="14"/>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2024年度部门(单位)整体支出绩效自评报告</w:t>
      </w:r>
      <w:r>
        <w:rPr>
          <w:rFonts w:hint="eastAsia" w:ascii="Times New Roman" w:hAnsi="Times New Roman" w:eastAsia="仿宋_GB2312" w:cs="Times New Roman"/>
          <w:sz w:val="32"/>
          <w:szCs w:val="32"/>
          <w:lang w:eastAsia="zh-CN"/>
        </w:rPr>
        <w:t>。</w:t>
      </w:r>
    </w:p>
    <w:p>
      <w:pPr>
        <w:pStyle w:val="14"/>
        <w:ind w:firstLine="1280" w:firstLine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pict>
          <v:shape id="_x0000_s1028" o:spid="_x0000_s1028" o:spt="75" alt="" type="#_x0000_t75" style="position:absolute;left:0pt;margin-left:67.05pt;margin-top:18.55pt;height:65.4pt;width:72.6pt;mso-wrap-distance-bottom:0pt;mso-wrap-distance-left:9pt;mso-wrap-distance-right:9pt;mso-wrap-distance-top:0pt;z-index:251660288;mso-width-relative:page;mso-height-relative:page;" o:ole="t" filled="f" o:preferrelative="t" stroked="f" coordsize="21600,21600">
            <v:path/>
            <v:fill on="f" focussize="0,0"/>
            <v:stroke on="f"/>
            <v:imagedata r:id="rId11" o:title=""/>
            <o:lock v:ext="edit" aspectratio="t"/>
            <w10:wrap type="square"/>
          </v:shape>
          <o:OLEObject Type="Embed" ProgID="Office12.wps.Document.8" ShapeID="_x0000_s1028" DrawAspect="Icon" ObjectID="_1468075726" r:id="rId10">
            <o:LockedField>false</o:LockedField>
          </o:OLEObject>
        </w:pict>
      </w:r>
    </w:p>
    <w:p>
      <w:pPr>
        <w:pStyle w:val="14"/>
        <w:spacing w:line="600" w:lineRule="exact"/>
        <w:ind w:firstLine="640" w:firstLineChars="200"/>
        <w:rPr>
          <w:rFonts w:hint="eastAsia" w:ascii="Times New Roman" w:hAnsi="Times New Roman" w:eastAsia="仿宋_GB2312" w:cs="Times New Roman"/>
          <w:sz w:val="32"/>
          <w:szCs w:val="32"/>
          <w:lang w:eastAsia="zh-CN"/>
        </w:rPr>
      </w:pPr>
      <w:bookmarkStart w:id="0" w:name="_GoBack"/>
      <w:bookmarkEnd w:id="0"/>
    </w:p>
    <w:p>
      <w:pPr>
        <w:pStyle w:val="14"/>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BB079"/>
    <w:multiLevelType w:val="singleLevel"/>
    <w:tmpl w:val="B06BB07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522D"/>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DF3DE8"/>
    <w:rsid w:val="00E00C7A"/>
    <w:rsid w:val="00E20AA1"/>
    <w:rsid w:val="00E37D6C"/>
    <w:rsid w:val="00E55B68"/>
    <w:rsid w:val="00E561AE"/>
    <w:rsid w:val="00E67BE6"/>
    <w:rsid w:val="00E8683C"/>
    <w:rsid w:val="00EA2B72"/>
    <w:rsid w:val="00F74360"/>
    <w:rsid w:val="00FB462F"/>
    <w:rsid w:val="00FE16FA"/>
    <w:rsid w:val="00FE328A"/>
    <w:rsid w:val="00FE6269"/>
    <w:rsid w:val="00FF5CD6"/>
    <w:rsid w:val="03830176"/>
    <w:rsid w:val="03DE7C60"/>
    <w:rsid w:val="048F36DF"/>
    <w:rsid w:val="056B5971"/>
    <w:rsid w:val="066E4DDC"/>
    <w:rsid w:val="06FB21FC"/>
    <w:rsid w:val="06FB2E10"/>
    <w:rsid w:val="07084FE5"/>
    <w:rsid w:val="07420EBA"/>
    <w:rsid w:val="075671B9"/>
    <w:rsid w:val="07E4541A"/>
    <w:rsid w:val="08D9644F"/>
    <w:rsid w:val="096469B9"/>
    <w:rsid w:val="09C528DE"/>
    <w:rsid w:val="0A7276A3"/>
    <w:rsid w:val="0AC54095"/>
    <w:rsid w:val="0B0142A0"/>
    <w:rsid w:val="0B552953"/>
    <w:rsid w:val="0C2E7015"/>
    <w:rsid w:val="0D3D6768"/>
    <w:rsid w:val="0E290525"/>
    <w:rsid w:val="0F0C5D00"/>
    <w:rsid w:val="1053365E"/>
    <w:rsid w:val="1142185E"/>
    <w:rsid w:val="11AD3DEC"/>
    <w:rsid w:val="11D45084"/>
    <w:rsid w:val="141E339D"/>
    <w:rsid w:val="1421049F"/>
    <w:rsid w:val="149B6EA9"/>
    <w:rsid w:val="14E3210B"/>
    <w:rsid w:val="15627995"/>
    <w:rsid w:val="158655C1"/>
    <w:rsid w:val="15F304A6"/>
    <w:rsid w:val="168005C7"/>
    <w:rsid w:val="16B7488B"/>
    <w:rsid w:val="16E94DF8"/>
    <w:rsid w:val="16EF2AF8"/>
    <w:rsid w:val="17446FEC"/>
    <w:rsid w:val="17476D92"/>
    <w:rsid w:val="18DC6D25"/>
    <w:rsid w:val="19874690"/>
    <w:rsid w:val="19C26ACC"/>
    <w:rsid w:val="1A0713BD"/>
    <w:rsid w:val="1A775879"/>
    <w:rsid w:val="1AAD7A17"/>
    <w:rsid w:val="1B844DE8"/>
    <w:rsid w:val="1BD46CA9"/>
    <w:rsid w:val="1D8303F5"/>
    <w:rsid w:val="1D97DEFF"/>
    <w:rsid w:val="1DFF72E5"/>
    <w:rsid w:val="1E014879"/>
    <w:rsid w:val="1EB00E4B"/>
    <w:rsid w:val="1EFC6F07"/>
    <w:rsid w:val="1F865D73"/>
    <w:rsid w:val="20307203"/>
    <w:rsid w:val="20761D68"/>
    <w:rsid w:val="20825D3E"/>
    <w:rsid w:val="212B3843"/>
    <w:rsid w:val="223D6BD0"/>
    <w:rsid w:val="227D4256"/>
    <w:rsid w:val="235677ED"/>
    <w:rsid w:val="23F260E0"/>
    <w:rsid w:val="253E123A"/>
    <w:rsid w:val="25F60F19"/>
    <w:rsid w:val="260F0358"/>
    <w:rsid w:val="267D38AE"/>
    <w:rsid w:val="26DB0E48"/>
    <w:rsid w:val="2733293E"/>
    <w:rsid w:val="28CF011A"/>
    <w:rsid w:val="29197DBB"/>
    <w:rsid w:val="29E53368"/>
    <w:rsid w:val="2A013D68"/>
    <w:rsid w:val="2A943D8F"/>
    <w:rsid w:val="2B570924"/>
    <w:rsid w:val="2CF107A3"/>
    <w:rsid w:val="2DF76C66"/>
    <w:rsid w:val="2EE276D8"/>
    <w:rsid w:val="2F965D37"/>
    <w:rsid w:val="2FDF85B8"/>
    <w:rsid w:val="2FFFEE04"/>
    <w:rsid w:val="31AB16B2"/>
    <w:rsid w:val="31C800DF"/>
    <w:rsid w:val="32D530ED"/>
    <w:rsid w:val="33340ABB"/>
    <w:rsid w:val="33CD09C2"/>
    <w:rsid w:val="34A85E70"/>
    <w:rsid w:val="34AA7AFA"/>
    <w:rsid w:val="34DF85B0"/>
    <w:rsid w:val="355422A7"/>
    <w:rsid w:val="357511F0"/>
    <w:rsid w:val="35FF24EF"/>
    <w:rsid w:val="3618121A"/>
    <w:rsid w:val="366D01E3"/>
    <w:rsid w:val="3670172B"/>
    <w:rsid w:val="372575B5"/>
    <w:rsid w:val="38391275"/>
    <w:rsid w:val="38696840"/>
    <w:rsid w:val="38DB0C6A"/>
    <w:rsid w:val="39781B1E"/>
    <w:rsid w:val="3B42253E"/>
    <w:rsid w:val="3B8F36BC"/>
    <w:rsid w:val="3BD43050"/>
    <w:rsid w:val="3BDF7F39"/>
    <w:rsid w:val="3C22329B"/>
    <w:rsid w:val="3C7431A4"/>
    <w:rsid w:val="3CB00B78"/>
    <w:rsid w:val="3D5E2466"/>
    <w:rsid w:val="3E4C2A84"/>
    <w:rsid w:val="3F102AF4"/>
    <w:rsid w:val="3FD75778"/>
    <w:rsid w:val="40066BD1"/>
    <w:rsid w:val="40596E43"/>
    <w:rsid w:val="407D4AF0"/>
    <w:rsid w:val="422E5A88"/>
    <w:rsid w:val="43E50EFF"/>
    <w:rsid w:val="45D95037"/>
    <w:rsid w:val="46034FF9"/>
    <w:rsid w:val="469962FA"/>
    <w:rsid w:val="46C50B05"/>
    <w:rsid w:val="47B24187"/>
    <w:rsid w:val="49070508"/>
    <w:rsid w:val="491FF225"/>
    <w:rsid w:val="4977163D"/>
    <w:rsid w:val="49F239BA"/>
    <w:rsid w:val="4AB67F08"/>
    <w:rsid w:val="4B1071E1"/>
    <w:rsid w:val="4B876F51"/>
    <w:rsid w:val="4BD0285E"/>
    <w:rsid w:val="4BD945C2"/>
    <w:rsid w:val="4BDC4E01"/>
    <w:rsid w:val="4C2F0AB2"/>
    <w:rsid w:val="4C3402EA"/>
    <w:rsid w:val="4D830AB8"/>
    <w:rsid w:val="4D9439C3"/>
    <w:rsid w:val="4EA82EC0"/>
    <w:rsid w:val="4FFD214C"/>
    <w:rsid w:val="50343177"/>
    <w:rsid w:val="50956E75"/>
    <w:rsid w:val="52B20976"/>
    <w:rsid w:val="52FD220E"/>
    <w:rsid w:val="53315014"/>
    <w:rsid w:val="55BD3BF2"/>
    <w:rsid w:val="56472611"/>
    <w:rsid w:val="56A11E54"/>
    <w:rsid w:val="56CC3D23"/>
    <w:rsid w:val="571C3C47"/>
    <w:rsid w:val="571F0487"/>
    <w:rsid w:val="573F14F3"/>
    <w:rsid w:val="5777D4F5"/>
    <w:rsid w:val="5811739B"/>
    <w:rsid w:val="58525AD6"/>
    <w:rsid w:val="594F03BA"/>
    <w:rsid w:val="595046C3"/>
    <w:rsid w:val="59DD8326"/>
    <w:rsid w:val="5A385085"/>
    <w:rsid w:val="5A9179EE"/>
    <w:rsid w:val="5B1B265C"/>
    <w:rsid w:val="5BA53952"/>
    <w:rsid w:val="5C285FBB"/>
    <w:rsid w:val="5C793DBF"/>
    <w:rsid w:val="5C89257A"/>
    <w:rsid w:val="5CC74C97"/>
    <w:rsid w:val="5DEF592A"/>
    <w:rsid w:val="5E2A4897"/>
    <w:rsid w:val="5E8E0723"/>
    <w:rsid w:val="5FC6BB1E"/>
    <w:rsid w:val="5FF720F1"/>
    <w:rsid w:val="60472375"/>
    <w:rsid w:val="60E41EEA"/>
    <w:rsid w:val="61123304"/>
    <w:rsid w:val="61A01E4A"/>
    <w:rsid w:val="636613F0"/>
    <w:rsid w:val="64282148"/>
    <w:rsid w:val="65391F09"/>
    <w:rsid w:val="65415A67"/>
    <w:rsid w:val="654964DA"/>
    <w:rsid w:val="65AE1C3D"/>
    <w:rsid w:val="65BA2773"/>
    <w:rsid w:val="65EC7721"/>
    <w:rsid w:val="65F543D3"/>
    <w:rsid w:val="67FF5C0B"/>
    <w:rsid w:val="68017A1B"/>
    <w:rsid w:val="68A0218C"/>
    <w:rsid w:val="69881607"/>
    <w:rsid w:val="6B2E1C50"/>
    <w:rsid w:val="6B663431"/>
    <w:rsid w:val="6B990ED7"/>
    <w:rsid w:val="6BF2783B"/>
    <w:rsid w:val="6C010AD2"/>
    <w:rsid w:val="6C0C4C71"/>
    <w:rsid w:val="6C3D23DD"/>
    <w:rsid w:val="6C940498"/>
    <w:rsid w:val="6DBF6E28"/>
    <w:rsid w:val="6E6B5988"/>
    <w:rsid w:val="6E765A7E"/>
    <w:rsid w:val="6EFC0924"/>
    <w:rsid w:val="6FB74722"/>
    <w:rsid w:val="6FEF8B7E"/>
    <w:rsid w:val="700B1D61"/>
    <w:rsid w:val="71A6591B"/>
    <w:rsid w:val="71AC3749"/>
    <w:rsid w:val="71B7054B"/>
    <w:rsid w:val="722778B9"/>
    <w:rsid w:val="726C3C07"/>
    <w:rsid w:val="737D59BA"/>
    <w:rsid w:val="739B4FF5"/>
    <w:rsid w:val="73CC5011"/>
    <w:rsid w:val="73F52CBF"/>
    <w:rsid w:val="740135CA"/>
    <w:rsid w:val="74405A21"/>
    <w:rsid w:val="748F244F"/>
    <w:rsid w:val="74AE2004"/>
    <w:rsid w:val="74FC69EF"/>
    <w:rsid w:val="75A13C8B"/>
    <w:rsid w:val="762E10D7"/>
    <w:rsid w:val="778C4E61"/>
    <w:rsid w:val="77C37683"/>
    <w:rsid w:val="77F72A41"/>
    <w:rsid w:val="78114EA0"/>
    <w:rsid w:val="782F3AE6"/>
    <w:rsid w:val="7840314C"/>
    <w:rsid w:val="797B78DE"/>
    <w:rsid w:val="79D19834"/>
    <w:rsid w:val="79FF515B"/>
    <w:rsid w:val="7A71284C"/>
    <w:rsid w:val="7B0E6BCA"/>
    <w:rsid w:val="7B40434D"/>
    <w:rsid w:val="7B443A67"/>
    <w:rsid w:val="7BFD6C42"/>
    <w:rsid w:val="7C5C4828"/>
    <w:rsid w:val="7DD0779C"/>
    <w:rsid w:val="7E101AA8"/>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rFonts w:ascii="宋体" w:hAnsi="宋体" w:cs="宋体"/>
      <w:sz w:val="24"/>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798</Words>
  <Characters>808</Characters>
  <Lines>69</Lines>
  <Paragraphs>19</Paragraphs>
  <TotalTime>0</TotalTime>
  <ScaleCrop>false</ScaleCrop>
  <LinksUpToDate>false</LinksUpToDate>
  <CharactersWithSpaces>837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葉墨</cp:lastModifiedBy>
  <cp:lastPrinted>2024-08-08T18:20:00Z</cp:lastPrinted>
  <dcterms:modified xsi:type="dcterms:W3CDTF">2025-09-19T07:47:05Z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4B831426C374418DA4EEAC1C17D21BEF</vt:lpwstr>
  </property>
  <property fmtid="{D5CDD505-2E9C-101B-9397-08002B2CF9AE}" pid="4" name="KSOSaveFontToCloudKey">
    <vt:lpwstr>630175869_btnclosed</vt:lpwstr>
  </property>
  <property fmtid="{D5CDD505-2E9C-101B-9397-08002B2CF9AE}" pid="5" name="KSOTemplateDocerSaveRecord">
    <vt:lpwstr>eyJoZGlkIjoiZTdlYjQyZjMzNWU1ZDE3ZmM2YmFmNjE3YTcyMWI0MTIifQ==</vt:lpwstr>
  </property>
</Properties>
</file>