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rPr>
        <w:t>怀化市建设工程质量安全监督站</w:t>
      </w:r>
      <w:r>
        <w:rPr>
          <w:rFonts w:ascii="Times New Roman" w:hAnsi="Times New Roman" w:eastAsia="方正小标宋简体" w:cs="Times New Roman"/>
          <w:sz w:val="72"/>
          <w:szCs w:val="72"/>
        </w:rPr>
        <w:t>部门（单位）部门决算</w:t>
      </w: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怀化市建设工程质量安全监督站</w:t>
      </w:r>
      <w:r>
        <w:rPr>
          <w:rFonts w:ascii="Times New Roman" w:hAnsi="Times New Roman" w:cs="Times New Roman"/>
          <w:bCs/>
          <w:sz w:val="32"/>
          <w:szCs w:val="32"/>
        </w:rPr>
        <w:t>部门（单位）概况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pPr>
      <w:r>
        <w:rPr>
          <w:rFonts w:hint="eastAsia" w:ascii="仿宋_GB2312" w:hAnsi="仿宋_GB2312" w:eastAsia="仿宋_GB2312" w:cs="仿宋_GB2312"/>
          <w:b w:val="0"/>
          <w:bCs w:val="0"/>
          <w:color w:val="auto"/>
          <w:sz w:val="32"/>
          <w:szCs w:val="32"/>
          <w:highlight w:val="none"/>
          <w:lang w:val="en-US" w:eastAsia="zh-CN"/>
        </w:rPr>
        <w:t>九、国有资本经营预算财政拨款支出</w:t>
      </w:r>
      <w:r>
        <w:rPr>
          <w:rFonts w:hint="eastAsia" w:ascii="仿宋_GB2312" w:hAnsi="仿宋_GB2312" w:eastAsia="仿宋_GB2312" w:cs="仿宋_GB2312"/>
          <w:b w:val="0"/>
          <w:bCs w:val="0"/>
          <w:color w:val="auto"/>
          <w:sz w:val="32"/>
          <w:szCs w:val="32"/>
          <w:highlight w:val="none"/>
        </w:rPr>
        <w:t>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怀化市建设工程质量安全监督站</w:t>
      </w:r>
      <w:r>
        <w:rPr>
          <w:rFonts w:ascii="Times New Roman" w:hAnsi="Times New Roman" w:eastAsia="方正小标宋_GBK" w:cs="Times New Roman"/>
          <w:sz w:val="52"/>
          <w:szCs w:val="52"/>
        </w:rPr>
        <w:t>部门（单位）概况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（一）负责怀化市城市规划区内房屋建筑工程、乡镇规模建房和市政基础设施工程质量、安全监督管理；</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（二）负责建设工程报建工作；</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（三）受理建筑工程开工前安全条件审查、竣工综合验收等工作；</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（四）组织或参与工程重大质量、安全事故的调查处理；</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县市区建设工程质量安全监督机构的业务指导工作。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怀化市建设工程质量安全监督站单位内设机构包括：办公室、财务室、6个质量安全监督室、综合室、技术室。</w:t>
      </w:r>
    </w:p>
    <w:p>
      <w:pPr>
        <w:ind w:firstLine="640" w:firstLineChars="200"/>
        <w:jc w:val="left"/>
        <w:rPr>
          <w:rFonts w:ascii="Times New Roman" w:hAnsi="Times New Roman" w:eastAsia="仿宋_GB2312" w:cs="Times New Roman"/>
          <w:sz w:val="28"/>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怀化市建设工程质量安全监督站</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怀化市建设工程质量安全监督站单位本级。</w:t>
      </w:r>
    </w:p>
    <w:p>
      <w:pPr>
        <w:jc w:val="both"/>
        <w:rPr>
          <w:rFonts w:ascii="Times New Roman" w:hAnsi="Times New Roman" w:eastAsia="黑体" w:cs="Times New Roman"/>
          <w:sz w:val="28"/>
          <w:szCs w:val="28"/>
        </w:rPr>
      </w:pPr>
    </w:p>
    <w:p>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before="120"/>
        <w:jc w:val="left"/>
        <w:textAlignment w:val="center"/>
        <w:rPr>
          <w:rFonts w:ascii="Times New Roman" w:hAnsi="Times New Roman" w:eastAsia="仿宋_GB2312" w:cs="Times New Roman"/>
          <w:color w:val="000000"/>
          <w:sz w:val="24"/>
          <w:szCs w:val="24"/>
        </w:rPr>
      </w:pPr>
    </w:p>
    <w:p>
      <w:pPr>
        <w:pStyle w:val="2"/>
        <w:ind w:left="0" w:leftChars="0"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见附件</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46.55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人员增加，相关经费增加。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1045.06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94.74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5.26</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46.55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人员增加，相关经费增加。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1095.06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99.27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人员增加，相关经费增加。</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1095.06</w:t>
      </w:r>
      <w:r>
        <w:rPr>
          <w:rFonts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88.58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951.97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cs="Times New Roman"/>
          <w:sz w:val="32"/>
          <w:szCs w:val="32"/>
          <w:lang w:val="en-US" w:eastAsia="zh-CN"/>
        </w:rPr>
        <w:t>2.53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1055.64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1095.06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103.73</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其他组织事务支出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88.58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工程建设标准规范编制与监管</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613.62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1055.64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338.35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32.05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年初预算时所有预算都在此功能科目，财政下达预算时进行了调整。</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1045.06</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978.45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93.63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绩效工资、机关事业单位基本养老保险缴费、职工基本医疗保险缴费、其他社会保障缴费、住房公积金、生活补助、其他对个人和家庭的补助</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66.61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6.37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水费、电费、邮电费、物业管理费、差旅费、维修（护）费、培训费、委托业务费、工会经费、公务用车运行维护费、其他交通费用、其他商品和服务支出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92.28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96.68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公务用车老化，维修及油耗增加</w:t>
      </w:r>
      <w:r>
        <w:rPr>
          <w:rFonts w:hint="eastAsia" w:ascii="Times New Roman" w:hAnsi="Times New Roman" w:eastAsia="仿宋_GB2312" w:cs="Times New Roman"/>
          <w:sz w:val="32"/>
          <w:szCs w:val="32"/>
          <w:lang w:eastAsia="zh-CN"/>
        </w:rPr>
        <w:t>，公务用车费用增加</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99.25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114.25</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我单位无该项预算和支出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车辆油料费、车辆维修费、车辆保险费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99.25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114.25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我单位严格遵守“三公”经费管理制度</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公务用车老化，维修及油耗增加</w:t>
      </w:r>
      <w:r>
        <w:rPr>
          <w:rFonts w:hint="eastAsia" w:ascii="Times New Roman" w:hAnsi="Times New Roman" w:eastAsia="仿宋_GB2312" w:cs="Times New Roman"/>
          <w:sz w:val="32"/>
          <w:szCs w:val="32"/>
          <w:lang w:eastAsia="zh-CN"/>
        </w:rPr>
        <w:t>，公务用车费用增加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我单位本年无公务接待</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我单位本年无公务接待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其他城市基础设施配套费安排的支出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该支出为财政追加预算的支出项目，年中调整预算。</w:t>
      </w:r>
    </w:p>
    <w:p>
      <w:pPr>
        <w:pStyle w:val="14"/>
        <w:numPr>
          <w:ilvl w:val="0"/>
          <w:numId w:val="0"/>
        </w:numPr>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lang w:eastAsia="zh-CN"/>
        </w:rPr>
        <w:t>九、</w:t>
      </w:r>
      <w:r>
        <w:rPr>
          <w:rFonts w:hint="eastAsia" w:ascii="Times New Roman" w:hAnsi="Times New Roman" w:cs="Times New Roman"/>
          <w:bCs/>
          <w:sz w:val="32"/>
          <w:szCs w:val="32"/>
        </w:rPr>
        <w:t>国有资本经营预算财政拨款支出决算情况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w:t>
      </w:r>
      <w:r>
        <w:rPr>
          <w:rFonts w:hint="eastAsia" w:ascii="Times New Roman" w:hAnsi="Times New Roman" w:eastAsia="仿宋_GB2312" w:cs="Times New Roman"/>
          <w:sz w:val="32"/>
          <w:szCs w:val="32"/>
        </w:rPr>
        <w:t>本单位无国有资本经营预算财政拨款支出。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，本单位为非参公事业单位，无机关运行经费支出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rPr>
        <w:t>我站质量安全监督人员参加省质量安全监督员培训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单位公务用车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4.57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1055.64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1103.06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104.49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1.经济性分析</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（1）预算配置控制较好。2024年度财政供养人员控制在预算编制以内，编制内在职人员控制率95.31%，未超过控制标准。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预算执行与管理。2024年财政决算收入1103.06万元，其中一般公共预算财政拨款收入1095.06万元，政府性基金预算财政拨款收入8万元，上年结转0.00万元；决算支出为1103.06万元，其中基本支出1045.06万元、项目支出58万元， “三公经费”等相关支出均未超过控制标准。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2.有效性和效率性分析。通过对2024年全年工作进行梳理和总结，我单位2024年主要产出和效益如下：</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做好春节后复工复产安全管理，部署岁末年初施工安全生产工作。2024年1月，下发《关于做好低温冰冻雨雪天气及岁末年初建筑施工安全生产、质量控制的通知》，严格落实“关键岗位人员不到岗不复工、作业人员未进行安全交底不复工、隐患未消除相关项目责任人未签署复工意见不复工”要求；2024年12月，制定《关于做好岁末年终低温冰冻雨雪天气建筑施工安全生产、质量控制的通知》，成立冬季建筑施工安全生产监督巡查领导小组，按照怀化市2024年终岁尾建筑工程质量安全管理重点工作部署会相关要求，把好冬期施工质量安全关卡。</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严格组织季度质量、安全生产标准化考评。召开专题部署会，制定及下发《2024年季度安全质量标准化考评工作的通知》，部署质量安全标准考评工作。市本级一季度质量安全考评项目25个，优良项目13个，合格项目11个，不合格项目1 个；二季度质量安全考评项目38个，优良项目17个，合格项目19个，不合格2个；三季度质量安全考评项目34个，优良项目21个，合格项目11 个，不合格项目2 个；四季度质量安全生产标准化考评项目42个，优良项目27个，合格项目15个，不合格项目0个。</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实行特殊季节施工安全管理，进行重要节点安全生产排查。针对特殊季节、特殊时段，组织开展“五一”、“中秋”、“国庆”、“高考”、“学考”、雨季汛期、夏季高温、冬季冰冻雨雪天气等重要节点的安全生产排查。中秋期间，我站对在建项目开展质量安全隐患排查，共排查在建项目19个，下发整改通知书4份，排查共发现质量安全隐患20余条（已限期整改完成）；国庆期间，我站对在建项目开展质量安全隐患排查，共排查在建项目5个，下发整改通知书2份，排查共发现质量安全隐患10余条（已限期整改完成）。</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实施监督工作规范化管理，开展监督规范化考核工作。一季度对市本级12个项目（监督组）开展监督规范化考核工作，其中优良2个，合格10个；二季度市本级监督规范化共考核11个项目（监督组），其中优良3个，合格8个；三季度市本级监督规范化共考核10个项目（监督组），其中优良3个，合格7个；四季度市本级监督规范化共考核12个项目（监督组），其中优良2个，合格8个，不合格2个。对各县（市、区）质安监督站上半年监督规范化及3季度规范化进行考核，上半年共考核125个项目，其中优良19个，合格100个，不合格6个；三季度共考核116个项目，其中优良1个，合格107个，不合格8个。</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扎实完成各类专项检查，丰富安全生产月、质量月活动。今年开展的专项检查包括建筑施工防高坠、防边坡坍塌专项整治；地质灾害及汛前安全隐患排查及汛期地质灾害防御工作；城市排水管网建设工程质量专项治理三年行动2024年上半年专项检查；脚手架、支模架专项检查；房屋建筑和市政工程施工现场消防质量安全常态化监督管理及消防质量安全专项检查；落实“建设单位”首要责任专项检查；在建项目及搅拌站成品油市场秩序专项检查；怀化市建筑市政工程施工领域工程机械摸底排查；“打非治违”专项治理；建筑工程质量常见问题专项检查；建筑起重机械设备第三方机构专项检测检查；住房城乡建设领域安全生产资格证书涉假专项治理；2024年季度建筑施工安全质量标准化考评比对抽查；2024年怀化市建设工程质量安全监督机构资格动态核查等。6月12日，怀化市建筑施工“安全生产月”启动仪式、建筑工程安全生产标准化示范观摩及建筑施工安全事故应急救援演练活动在怀化市沅水汀兰项目举行，本次活动主题为“人人讲安全、个个会应急——畅通生命通道 处处扬清风”。市本级在建项目建设单位、施工单位监理单位相关负责人等500余人积极参加；8月20日，在鹤北新城城中村改造安置区建设项目举办安全质量标准化观摩活动，市本级、鹤城区在建项目建设、施工、监理单位相关负责人300余人参加了本次观摩活动。</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工地扬尘防治常态化管理。一是制定实施方案，填报动态台账。以“一周一台账，一周一调度，一月一通报”工作模式，本年度共更新《6个100%+2扬尘动态监管台账》49次，新签订扬尘责任状28份。二是按照《怀化市建设工程扬尘污染防治实施细则》规定，要求市本级在建项目分别安装视频监控、扬尘监测系统，现已安装施工现场视频监控系统 22个（已联网18个），已安装建筑扬尘在线监测系统 22个项目（已联网21个）。三是开展市本级建筑工地文明施工和扬尘治理专项检查。1-12月，累计检查了工地358次，共发现问题555个，现场已督促施工单位立行立改；1-12月，共下发了整改通知书87份，约谈通知书2份，均已完成整改。四是组织建筑工地安全防护网等塑料制品污染防治工作。1-12月，共填报《建筑工地安全防护网等塑料制品污染防治检查表》共300份。五是加强对市本级监管工地非道路移动机械的排查工作，按时收集《怀化市2024年非道路移动机械排放污染防治行动检查表》及《怀化市在用非道路移动机械使用管理台账》。六是落实房建市政工程建筑垃圾源头减量化工作，共填报《房建市政工程建筑垃圾源头减量化工作统计表》共计103份，截止至12月31日,共完成在建项目建筑垃圾分类收集 720666.682立方(其中工程弃土703664立方，石方10593立方，工程泥浆2320.9立方)已完成建筑垃圾资源化利用处置共计172908.582立方消纳场处置共计546009立方。</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工地关键岗位人员及工人实名制全面监督。一是扎实推进在建项目关键岗位人员到岗履职。对市本级在建项目采取全覆盖定期检查和不定期抽查方式，累积完成关键岗位人员履职情况检查76个，发现未按要求满足70%履职并督促立即整改5个，督促符合变更但未变更关键岗位人员项目完成变更1个。二是保障迎国检工作，项目迎检资料按五大类25小项分类情况，总包劳资专管员履职情况，工程款支付担保，过程结算，工程款和人工费支付情况，实名制台账、工资发放情况，技能工人培训情况，以及维权告示牌设置情况等等进行全面检查落实。三是保障农民工工资支付工作。10月29日，对市本级在建项目开展欠薪隐患排查，填报23个（46份），对存在有欠薪问题的6个项目进行检查，已经完成欠薪消除项目3个，督促欠薪项目和建设单位做好欠薪消除工作；12月6日，年终岁尾建筑工程质量安全管理重点工作部署会召开后，再次开展欠薪隐患排查，共排查项目29个（58份），存在欠薪隐患问题项目10个，能在节前支付消除项目4个，其余项目已督促责任单位进行对接、做好欠薪隐患消除工作。</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根据《关于派驻第一批建筑企业安全生产监督员的通知》要求，我站联合建工科派出分管领导对本土企业实施大力帮扶指导服务，对智怀建设集团有限公司、怀化永晟建设工程有限公司、湖南德鑫建筑工程有限公司、湖南建工第七工程有限公司及湖南德欣工程建设有限公司共5家企业，每月进行企业宣贯法律、法规知识，组织技术培训，督促落实各项理制度，鼓励员工积极考证，对企业存在的困难积极给予指导及帮助。据统计，通过帮扶，以上企业2024年度建筑业产值突破30亿元，纳税额首次突破亿元大关，在全省范围内已具备一定的核心竞争力。</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按照我站为民服务热情耐心、专业指导、全程跟进的原则，妥善处理各类投诉及历史遗留问题项目办证工作，全年累计办理经房屋鉴定备案的处遗项目22个，向市不动产中心出具房屋质量鉴定备案情况函31个（其中处遗项目12个，保交楼项目3个，村民安置区项目7个）；共收到质量投诉384起，已处理完结374起，处理完结率97%；共收到噪音投诉323起，已处理完结323起，处理完结率100%。近期，收到壹线国际复工续建项目送来的“房产处遗精准服务，质安监督尽心尽责”锦旗，是对我站为民办实事工作的高度肯定。</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全年预算工作有待完善和精准，执行预算欠严格落实。主要原因是公用经费不足导致没有严格按照年初预算科目支出</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科学合理编制预算，严格执行预算。按照《预算法》及其实施条例的相关规定，参考上一年度预算执行情况和年度的收支预测科学编制预算，避免年中大幅调整预算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在预算执行过程中，严格按照预算科目支出，避免预算科目间的预算资金调剂，确需调剂的，按规定程序报经批准</w:t>
      </w:r>
      <w:r>
        <w:rPr>
          <w:rFonts w:hint="eastAsia" w:ascii="Times New Roman" w:hAnsi="Times New Roman" w:eastAsia="仿宋_GB2312" w:cs="Times New Roman"/>
          <w:sz w:val="32"/>
          <w:szCs w:val="32"/>
          <w:lang w:eastAsia="zh-CN"/>
        </w:rPr>
        <w:t>；三是遵循预算管理办法，对年度无法预计临时追加的相关工作经费需严格按规定执行预算调整程序。</w:t>
      </w:r>
    </w:p>
    <w:p>
      <w:pPr>
        <w:pStyle w:val="14"/>
        <w:overflowPunct w:val="0"/>
        <w:autoSpaceDE/>
        <w:autoSpaceDN/>
        <w:spacing w:line="60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我单位将通过绩效自评工作进一步完善预算管理机制，规范资金使用，强化监督检查，强化财政资金管理水平，提高财政资金使用效益，预算资金使用效益的提高提供基础保障。</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财政拨款收入：指财政当年拨付的资金。包括一般公共预算财政拨款和政府性基金财政拨款。</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二、</w:t>
      </w:r>
      <w:r>
        <w:rPr>
          <w:rFonts w:hint="eastAsia" w:ascii="Times New Roman" w:hAnsi="Times New Roman" w:eastAsia="仿宋_GB2312" w:cs="Times New Roman"/>
          <w:color w:val="000000"/>
          <w:kern w:val="0"/>
          <w:sz w:val="32"/>
          <w:szCs w:val="32"/>
        </w:rPr>
        <w:t>上级补助收入：指事业单位从主管部门和上级单位取得的非财政补助收入。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rPr>
        <w:t>经营收入：指事业单位在专业业务活动及其辅助活动之外开展非独立核算经营活动取得的收入。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rPr>
        <w:t>附属单位上缴收入：指事业单位附属独立核算单位按照有关规定上缴的收入。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rPr>
        <w:t>其他收入：指除上述“财政拨款收入”、“事业收入”、“经营收入”等以外的收入。</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七、</w:t>
      </w:r>
      <w:r>
        <w:rPr>
          <w:rFonts w:hint="eastAsia" w:ascii="Times New Roman" w:hAnsi="Times New Roman" w:eastAsia="仿宋_GB2312" w:cs="Times New Roman"/>
          <w:color w:val="000000"/>
          <w:kern w:val="0"/>
          <w:sz w:val="32"/>
          <w:szCs w:val="32"/>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年初结转和结余：指以前年度尚未完成、结转到本年按有关规定继续使用的资金。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w:t>
      </w:r>
      <w:r>
        <w:rPr>
          <w:rFonts w:hint="eastAsia" w:ascii="Times New Roman" w:hAnsi="Times New Roman" w:eastAsia="仿宋_GB2312" w:cs="Times New Roman"/>
          <w:color w:val="000000"/>
          <w:kern w:val="0"/>
          <w:sz w:val="32"/>
          <w:szCs w:val="32"/>
        </w:rPr>
        <w:t>结余分配：指事业单位按规定从非财政补助结余中分配的事业基金和职工福利基金等。</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hint="eastAsia" w:ascii="Times New Roman" w:hAnsi="Times New Roman" w:eastAsia="仿宋_GB2312" w:cs="Times New Roman"/>
          <w:color w:val="000000"/>
          <w:kern w:val="0"/>
          <w:sz w:val="32"/>
          <w:szCs w:val="32"/>
        </w:rPr>
        <w:t>年末结转和结余：指本年度或以前年度预算安排、因客观条件发生变化无法按原计划实施，需要延迟到以后年度按有关规定继续使用的资金。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十一、</w:t>
      </w:r>
      <w:r>
        <w:rPr>
          <w:rFonts w:hint="eastAsia" w:ascii="Times New Roman" w:hAnsi="Times New Roman" w:eastAsia="仿宋_GB2312" w:cs="Times New Roman"/>
          <w:color w:val="000000"/>
          <w:kern w:val="0"/>
          <w:sz w:val="32"/>
          <w:szCs w:val="32"/>
        </w:rPr>
        <w:t>基本支出：指为保障机构正常运转、完成日常工作任务而发生的人员支出和公用支出。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十二、</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十三、</w:t>
      </w:r>
      <w:r>
        <w:rPr>
          <w:rFonts w:hint="eastAsia" w:ascii="Times New Roman" w:hAnsi="Times New Roman" w:eastAsia="仿宋_GB2312" w:cs="Times New Roman"/>
          <w:color w:val="000000"/>
          <w:kern w:val="0"/>
          <w:sz w:val="32"/>
          <w:szCs w:val="32"/>
        </w:rPr>
        <w:t>经营支出：指事业单位在专业业务活动及其辅助活动之外开展非独立核算经营活动所发生的支出。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十四、</w:t>
      </w:r>
      <w:r>
        <w:rPr>
          <w:rFonts w:hint="eastAsia" w:ascii="Times New Roman" w:hAnsi="Times New Roman" w:eastAsia="仿宋_GB2312" w:cs="Times New Roman"/>
          <w:color w:val="000000"/>
          <w:kern w:val="0"/>
          <w:sz w:val="32"/>
          <w:szCs w:val="32"/>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十五、</w:t>
      </w:r>
      <w:r>
        <w:rPr>
          <w:rFonts w:hint="eastAsia" w:ascii="Times New Roman" w:hAnsi="Times New Roman" w:eastAsia="仿宋_GB2312" w:cs="Times New Roman"/>
          <w:color w:val="000000"/>
          <w:kern w:val="0"/>
          <w:sz w:val="32"/>
          <w:szCs w:val="32"/>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pStyle w:val="14"/>
        <w:spacing w:line="600" w:lineRule="exact"/>
        <w:ind w:firstLine="640" w:firstLineChars="200"/>
        <w:rPr>
          <w:rFonts w:ascii="Times New Roman" w:hAnsi="Times New Roman" w:eastAsia="楷体_GB2312" w:cs="Times New Roman"/>
          <w:b/>
          <w:bCs/>
          <w:i/>
          <w:color w:val="auto"/>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eastAsia="zh-CN"/>
        </w:rPr>
        <w:t>决算公开表</w:t>
      </w:r>
      <w:r>
        <w:rPr>
          <w:rFonts w:ascii="Times New Roman" w:hAnsi="Times New Roman" w:eastAsia="仿宋_GB2312" w:cs="Times New Roman"/>
          <w:sz w:val="32"/>
          <w:szCs w:val="32"/>
        </w:rPr>
        <w:t>。</w:t>
      </w:r>
    </w:p>
    <w:p>
      <w:pPr>
        <w:pStyle w:val="14"/>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pict>
          <v:shape id="_x0000_s1026" o:spid="_x0000_s1026" o:spt="75" alt="" type="#_x0000_t75" style="position:absolute;left:0pt;margin-left:59.85pt;margin-top:16.75pt;height:65.4pt;width:72.6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Office12.Excel.Template" ShapeID="_x0000_s1026" DrawAspect="Icon" ObjectID="_1468075725" r:id="rId8">
            <o:LockedField>false</o:LockedField>
          </o:OLEObject>
        </w:pict>
      </w:r>
    </w:p>
    <w:p>
      <w:pPr>
        <w:pStyle w:val="14"/>
        <w:spacing w:line="600" w:lineRule="exact"/>
        <w:ind w:firstLine="640" w:firstLineChars="200"/>
        <w:rPr>
          <w:rFonts w:hint="eastAsia" w:ascii="Times New Roman" w:hAnsi="Times New Roman" w:eastAsia="仿宋_GB2312" w:cs="Times New Roman"/>
          <w:sz w:val="32"/>
          <w:szCs w:val="32"/>
          <w:lang w:eastAsia="zh-CN"/>
        </w:rPr>
      </w:pPr>
    </w:p>
    <w:p>
      <w:pPr>
        <w:pStyle w:val="14"/>
        <w:spacing w:line="600" w:lineRule="exact"/>
        <w:ind w:firstLine="640" w:firstLineChars="200"/>
        <w:rPr>
          <w:rFonts w:hint="eastAsia" w:ascii="Times New Roman" w:hAnsi="Times New Roman" w:eastAsia="仿宋_GB2312" w:cs="Times New Roman"/>
          <w:sz w:val="32"/>
          <w:szCs w:val="32"/>
          <w:lang w:eastAsia="zh-CN"/>
        </w:rPr>
      </w:pPr>
    </w:p>
    <w:p>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2024年度部门(单位)整体支出绩效自评报告。</w:t>
      </w:r>
    </w:p>
    <w:p>
      <w:pPr>
        <w:pStyle w:val="14"/>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pict>
          <v:shape id="_x0000_s1027" o:spid="_x0000_s1027" o:spt="75" type="#_x0000_t75" style="position:absolute;left:0pt;margin-left:65.4pt;margin-top:19.25pt;height:65.4pt;width:72.6pt;mso-wrap-distance-bottom:0pt;mso-wrap-distance-left:9pt;mso-wrap-distance-right:9pt;mso-wrap-distance-top:0pt;z-index:251660288;mso-width-relative:page;mso-height-relative:page;" o:ole="t" filled="f" o:preferrelative="t" stroked="f" coordsize="21600,21600">
            <v:fill on="f" focussize="0,0"/>
            <v:stroke on="f"/>
            <v:imagedata r:id="rId11" o:title=""/>
            <o:lock v:ext="edit" aspectratio="t"/>
            <w10:wrap type="square"/>
          </v:shape>
          <o:OLEObject Type="Embed" ProgID="Office12.wps.Document.8" ShapeID="_x0000_s1027" DrawAspect="Icon" ObjectID="_1468075726" r:id="rId10">
            <o:LockedField>false</o:LockedField>
          </o:OLEObject>
        </w:pict>
      </w:r>
    </w:p>
    <w:p>
      <w:pPr>
        <w:pStyle w:val="14"/>
        <w:spacing w:line="600" w:lineRule="exact"/>
        <w:ind w:firstLine="640" w:firstLineChars="200"/>
        <w:rPr>
          <w:rFonts w:hint="eastAsia" w:ascii="Times New Roman" w:hAnsi="Times New Roman" w:eastAsia="仿宋_GB2312" w:cs="Times New Roman"/>
          <w:sz w:val="32"/>
          <w:szCs w:val="32"/>
          <w:lang w:eastAsia="zh-CN"/>
        </w:rPr>
      </w:pPr>
    </w:p>
    <w:p>
      <w:pPr>
        <w:pStyle w:val="14"/>
        <w:spacing w:line="600" w:lineRule="exact"/>
        <w:ind w:firstLine="640" w:firstLineChars="200"/>
        <w:rPr>
          <w:rFonts w:hint="eastAsia" w:ascii="Times New Roman" w:hAnsi="Times New Roman" w:eastAsia="仿宋_GB2312" w:cs="Times New Roman"/>
          <w:sz w:val="32"/>
          <w:szCs w:val="32"/>
          <w:lang w:eastAsia="zh-CN"/>
        </w:rPr>
      </w:pPr>
      <w:bookmarkStart w:id="0" w:name="_GoBack"/>
      <w:bookmarkEnd w:id="0"/>
    </w:p>
    <w:p>
      <w:pPr>
        <w:pStyle w:val="14"/>
        <w:spacing w:line="600" w:lineRule="exact"/>
        <w:ind w:firstLine="640" w:firstLineChars="200"/>
        <w:rPr>
          <w:rFonts w:hint="eastAsia" w:ascii="Times New Roman" w:hAnsi="Times New Roman" w:eastAsia="仿宋_GB2312" w:cs="Times New Roman"/>
          <w:sz w:val="32"/>
          <w:szCs w:val="32"/>
          <w:lang w:eastAsia="zh-CN"/>
        </w:rPr>
      </w:pPr>
    </w:p>
    <w:p>
      <w:pPr>
        <w:pStyle w:val="14"/>
        <w:ind w:firstLine="1280" w:firstLineChars="400"/>
        <w:rPr>
          <w:rFonts w:ascii="Times New Roman" w:hAnsi="Times New Roman" w:eastAsia="仿宋_GB2312" w:cs="Times New Roman"/>
          <w:sz w:val="32"/>
          <w:szCs w:val="32"/>
        </w:rPr>
      </w:pP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DF3DE8"/>
    <w:rsid w:val="00E00C7A"/>
    <w:rsid w:val="00E37D6C"/>
    <w:rsid w:val="00E55B68"/>
    <w:rsid w:val="00E561AE"/>
    <w:rsid w:val="00E67BE6"/>
    <w:rsid w:val="00E8683C"/>
    <w:rsid w:val="00EA2B72"/>
    <w:rsid w:val="00F74360"/>
    <w:rsid w:val="00FB462F"/>
    <w:rsid w:val="00FE16FA"/>
    <w:rsid w:val="00FE328A"/>
    <w:rsid w:val="00FE6269"/>
    <w:rsid w:val="00FF5CD6"/>
    <w:rsid w:val="03830176"/>
    <w:rsid w:val="048F36DF"/>
    <w:rsid w:val="06FB21FC"/>
    <w:rsid w:val="07084FE5"/>
    <w:rsid w:val="07E4541A"/>
    <w:rsid w:val="08D9644F"/>
    <w:rsid w:val="096469B9"/>
    <w:rsid w:val="09C528DE"/>
    <w:rsid w:val="0A7276A3"/>
    <w:rsid w:val="0AC54095"/>
    <w:rsid w:val="0B0142A0"/>
    <w:rsid w:val="0B552953"/>
    <w:rsid w:val="0C2E7015"/>
    <w:rsid w:val="0E290525"/>
    <w:rsid w:val="0F0C5D00"/>
    <w:rsid w:val="1053365E"/>
    <w:rsid w:val="1142185E"/>
    <w:rsid w:val="141E339D"/>
    <w:rsid w:val="1421049F"/>
    <w:rsid w:val="149B6EA9"/>
    <w:rsid w:val="15627995"/>
    <w:rsid w:val="158655C1"/>
    <w:rsid w:val="15F304A6"/>
    <w:rsid w:val="168005C7"/>
    <w:rsid w:val="16B7488B"/>
    <w:rsid w:val="16E94DF8"/>
    <w:rsid w:val="16EF2AF8"/>
    <w:rsid w:val="18DC6D25"/>
    <w:rsid w:val="19874690"/>
    <w:rsid w:val="1A775879"/>
    <w:rsid w:val="1AAD7A17"/>
    <w:rsid w:val="1D8303F5"/>
    <w:rsid w:val="1D97DEFF"/>
    <w:rsid w:val="1DFF72E5"/>
    <w:rsid w:val="1E014879"/>
    <w:rsid w:val="1EFC6F07"/>
    <w:rsid w:val="1F865D73"/>
    <w:rsid w:val="20307203"/>
    <w:rsid w:val="20761D68"/>
    <w:rsid w:val="20825D3E"/>
    <w:rsid w:val="2192117A"/>
    <w:rsid w:val="223D6BD0"/>
    <w:rsid w:val="246B5B6C"/>
    <w:rsid w:val="260F0358"/>
    <w:rsid w:val="267D38AE"/>
    <w:rsid w:val="2733293E"/>
    <w:rsid w:val="29197DBB"/>
    <w:rsid w:val="29E53368"/>
    <w:rsid w:val="2A013D68"/>
    <w:rsid w:val="2B570924"/>
    <w:rsid w:val="2FDF85B8"/>
    <w:rsid w:val="2FFFEE04"/>
    <w:rsid w:val="30024310"/>
    <w:rsid w:val="302C3DC1"/>
    <w:rsid w:val="31C800DF"/>
    <w:rsid w:val="33CD09C2"/>
    <w:rsid w:val="34A85E70"/>
    <w:rsid w:val="34DF85B0"/>
    <w:rsid w:val="355422A7"/>
    <w:rsid w:val="35FF24EF"/>
    <w:rsid w:val="366D01E3"/>
    <w:rsid w:val="3670172B"/>
    <w:rsid w:val="372575B5"/>
    <w:rsid w:val="38DB0C6A"/>
    <w:rsid w:val="3B8F36BC"/>
    <w:rsid w:val="3BD43050"/>
    <w:rsid w:val="3BDF7F39"/>
    <w:rsid w:val="3CD25E6D"/>
    <w:rsid w:val="3D5E2466"/>
    <w:rsid w:val="3E4C2A84"/>
    <w:rsid w:val="3F4B25BC"/>
    <w:rsid w:val="40066BD1"/>
    <w:rsid w:val="407D4AF0"/>
    <w:rsid w:val="422E5A88"/>
    <w:rsid w:val="46034FF9"/>
    <w:rsid w:val="469962FA"/>
    <w:rsid w:val="47B24187"/>
    <w:rsid w:val="48535654"/>
    <w:rsid w:val="49070508"/>
    <w:rsid w:val="491FF225"/>
    <w:rsid w:val="4977163D"/>
    <w:rsid w:val="49F239BA"/>
    <w:rsid w:val="4B1071E1"/>
    <w:rsid w:val="4B876F51"/>
    <w:rsid w:val="4BD0285E"/>
    <w:rsid w:val="4BD945C2"/>
    <w:rsid w:val="4BDC4E01"/>
    <w:rsid w:val="4C3402EA"/>
    <w:rsid w:val="4D830AB8"/>
    <w:rsid w:val="4D9439C3"/>
    <w:rsid w:val="4EA82EC0"/>
    <w:rsid w:val="4FFD214C"/>
    <w:rsid w:val="50343177"/>
    <w:rsid w:val="50956E75"/>
    <w:rsid w:val="52FD220E"/>
    <w:rsid w:val="53315014"/>
    <w:rsid w:val="56472611"/>
    <w:rsid w:val="56A11E54"/>
    <w:rsid w:val="56CC3D23"/>
    <w:rsid w:val="571C3C47"/>
    <w:rsid w:val="5777D4F5"/>
    <w:rsid w:val="5811739B"/>
    <w:rsid w:val="583C2C9B"/>
    <w:rsid w:val="59DD8326"/>
    <w:rsid w:val="5A9179EE"/>
    <w:rsid w:val="5B1B265C"/>
    <w:rsid w:val="5BA53952"/>
    <w:rsid w:val="5C793DBF"/>
    <w:rsid w:val="5CC74C97"/>
    <w:rsid w:val="5D564740"/>
    <w:rsid w:val="5DEF592A"/>
    <w:rsid w:val="5E2A4897"/>
    <w:rsid w:val="5E8E0723"/>
    <w:rsid w:val="5FC6BB1E"/>
    <w:rsid w:val="5FF720F1"/>
    <w:rsid w:val="60472375"/>
    <w:rsid w:val="61123304"/>
    <w:rsid w:val="6203302B"/>
    <w:rsid w:val="636613F0"/>
    <w:rsid w:val="65415A67"/>
    <w:rsid w:val="65BA2773"/>
    <w:rsid w:val="65F543D3"/>
    <w:rsid w:val="67FF5C0B"/>
    <w:rsid w:val="68017A1B"/>
    <w:rsid w:val="6B663431"/>
    <w:rsid w:val="6BF2783B"/>
    <w:rsid w:val="6C010AD2"/>
    <w:rsid w:val="6C940498"/>
    <w:rsid w:val="6EFC0924"/>
    <w:rsid w:val="6FB74722"/>
    <w:rsid w:val="6FEF8B7E"/>
    <w:rsid w:val="71A6591B"/>
    <w:rsid w:val="71B7054B"/>
    <w:rsid w:val="722778B9"/>
    <w:rsid w:val="726C3C07"/>
    <w:rsid w:val="737D59BA"/>
    <w:rsid w:val="73CC5011"/>
    <w:rsid w:val="73F52CBF"/>
    <w:rsid w:val="740135CA"/>
    <w:rsid w:val="74405A21"/>
    <w:rsid w:val="74AE2004"/>
    <w:rsid w:val="74FC69EF"/>
    <w:rsid w:val="75A13C8B"/>
    <w:rsid w:val="762E10D7"/>
    <w:rsid w:val="778C4E61"/>
    <w:rsid w:val="77C37683"/>
    <w:rsid w:val="797B78DE"/>
    <w:rsid w:val="79D19834"/>
    <w:rsid w:val="79FF515B"/>
    <w:rsid w:val="7B443A67"/>
    <w:rsid w:val="7DD0779C"/>
    <w:rsid w:val="7E101AA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798</Words>
  <Characters>808</Characters>
  <Lines>69</Lines>
  <Paragraphs>19</Paragraphs>
  <TotalTime>1</TotalTime>
  <ScaleCrop>false</ScaleCrop>
  <LinksUpToDate>false</LinksUpToDate>
  <CharactersWithSpaces>837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葉墨</cp:lastModifiedBy>
  <cp:lastPrinted>2024-08-08T18:20:00Z</cp:lastPrinted>
  <dcterms:modified xsi:type="dcterms:W3CDTF">2025-09-19T07:53:52Z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F3EAA2B3FDB349DA8DDCBF07DCD52C3A</vt:lpwstr>
  </property>
  <property fmtid="{D5CDD505-2E9C-101B-9397-08002B2CF9AE}" pid="4" name="KSOSaveFontToCloudKey">
    <vt:lpwstr>630175869_btnclosed</vt:lpwstr>
  </property>
  <property fmtid="{D5CDD505-2E9C-101B-9397-08002B2CF9AE}" pid="5" name="KSOTemplateDocerSaveRecord">
    <vt:lpwstr>eyJoZGlkIjoiZTdlYjQyZjMzNWU1ZDE3ZmM2YmFmNjE3YTcyMWI0MTIifQ==</vt:lpwstr>
  </property>
</Properties>
</file>