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42"/>
        <w:ind w:firstLine="480"/>
        <w:rPr>
          <w:shd w:val="clear" w:color="auto" w:fill="FFFFFF"/>
        </w:rPr>
      </w:pPr>
      <w:r>
        <w:rPr>
          <w:rFonts w:hint="eastAsia"/>
          <w:shd w:val="clear" w:color="auto" w:fill="FFFFFF"/>
        </w:rPr>
        <w:t>附件1</w:t>
      </w:r>
    </w:p>
    <w:p>
      <w:pPr>
        <w:pStyle w:val="42"/>
        <w:ind w:firstLine="480"/>
        <w:rPr>
          <w:shd w:val="clear" w:color="auto" w:fill="FFFFFF"/>
        </w:rPr>
      </w:pPr>
    </w:p>
    <w:p>
      <w:pPr>
        <w:pStyle w:val="64"/>
      </w:pPr>
      <w:r>
        <w:rPr>
          <w:rFonts w:hint="eastAsia"/>
        </w:rPr>
        <w:t>怀化市城乡建设事务中心</w:t>
      </w:r>
    </w:p>
    <w:p>
      <w:pPr>
        <w:pStyle w:val="64"/>
      </w:pPr>
      <w:r>
        <w:rPr>
          <w:rFonts w:hint="eastAsia"/>
        </w:rPr>
        <w:t>2</w:t>
      </w:r>
      <w:r>
        <w:t>023</w:t>
      </w:r>
      <w:r>
        <w:rPr>
          <w:rFonts w:hint="eastAsia"/>
        </w:rPr>
        <w:t>年部门整体支出绩效自评报告</w:t>
      </w:r>
    </w:p>
    <w:p>
      <w:pPr>
        <w:pStyle w:val="42"/>
        <w:ind w:firstLine="480"/>
        <w:rPr>
          <w:shd w:val="clear" w:color="auto" w:fill="FFFFFF"/>
        </w:rPr>
      </w:pPr>
    </w:p>
    <w:p>
      <w:pPr>
        <w:pStyle w:val="18"/>
        <w:ind w:firstLine="602"/>
        <w:rPr>
          <w:shd w:val="clear" w:color="auto" w:fill="FFFFFF"/>
        </w:rPr>
      </w:pPr>
      <w:r>
        <w:rPr>
          <w:rFonts w:hint="eastAsia"/>
          <w:shd w:val="clear" w:color="auto" w:fill="FFFFFF"/>
        </w:rPr>
        <w:t>一、部门、单位基本情况</w:t>
      </w:r>
    </w:p>
    <w:p>
      <w:pPr>
        <w:pStyle w:val="19"/>
        <w:ind w:firstLine="562"/>
        <w:rPr>
          <w:shd w:val="clear" w:color="auto" w:fill="FFFFFF"/>
        </w:rPr>
      </w:pPr>
      <w:r>
        <w:rPr>
          <w:rFonts w:hint="eastAsia"/>
          <w:shd w:val="clear" w:color="auto" w:fill="FFFFFF"/>
        </w:rPr>
        <w:t>（一）机构设置情况</w:t>
      </w:r>
    </w:p>
    <w:p>
      <w:pPr>
        <w:pStyle w:val="42"/>
        <w:ind w:firstLine="480"/>
        <w:rPr>
          <w:shd w:val="clear" w:color="auto" w:fill="FFFFFF"/>
        </w:rPr>
      </w:pPr>
      <w:r>
        <w:rPr>
          <w:rFonts w:hint="eastAsia"/>
          <w:shd w:val="clear" w:color="auto" w:fill="FFFFFF"/>
        </w:rPr>
        <w:t>怀化市城乡建设事务中心作为怀化市住房和城乡建设局的二级部门预算单位，</w:t>
      </w:r>
      <w:r>
        <w:rPr>
          <w:rFonts w:hint="eastAsia"/>
        </w:rPr>
        <w:t>属正科级公益一类事业单位。</w:t>
      </w:r>
    </w:p>
    <w:p>
      <w:pPr>
        <w:pStyle w:val="19"/>
        <w:ind w:firstLine="562"/>
        <w:rPr>
          <w:shd w:val="clear" w:color="auto" w:fill="FFFFFF"/>
        </w:rPr>
      </w:pPr>
      <w:r>
        <w:rPr>
          <w:rFonts w:hint="eastAsia"/>
          <w:shd w:val="clear" w:color="auto" w:fill="FFFFFF"/>
        </w:rPr>
        <w:t>（二）人员编制情况</w:t>
      </w:r>
    </w:p>
    <w:p>
      <w:pPr>
        <w:pStyle w:val="42"/>
        <w:ind w:firstLine="480"/>
      </w:pPr>
      <w:r>
        <w:rPr>
          <w:rFonts w:hint="eastAsia"/>
        </w:rPr>
        <w:t>根据人员编制规定，2023年度怀化市城乡建设事务中心在</w:t>
      </w:r>
      <w:r>
        <w:rPr>
          <w:rFonts w:hint="eastAsia"/>
          <w:shd w:val="clear" w:color="auto" w:fill="FFFFFF"/>
        </w:rPr>
        <w:t>职在册人</w:t>
      </w:r>
      <w:r>
        <w:rPr>
          <w:rFonts w:hint="eastAsia"/>
        </w:rPr>
        <w:t>员为40人，全为财政全额拨款事业编制人员，离退休人员共14人。</w:t>
      </w:r>
    </w:p>
    <w:p>
      <w:pPr>
        <w:pStyle w:val="19"/>
        <w:ind w:firstLine="562"/>
        <w:rPr>
          <w:shd w:val="clear" w:color="auto" w:fill="FFFFFF"/>
        </w:rPr>
      </w:pPr>
      <w:r>
        <w:rPr>
          <w:rFonts w:hint="eastAsia"/>
          <w:shd w:val="clear" w:color="auto" w:fill="FFFFFF"/>
        </w:rPr>
        <w:t>（三）主要职能职责</w:t>
      </w:r>
    </w:p>
    <w:p>
      <w:pPr>
        <w:pStyle w:val="42"/>
        <w:ind w:firstLine="480"/>
        <w:rPr>
          <w:shd w:val="clear" w:color="auto" w:fill="FFFFFF"/>
        </w:rPr>
      </w:pPr>
      <w:r>
        <w:rPr>
          <w:rFonts w:hint="eastAsia"/>
          <w:shd w:val="clear" w:color="auto" w:fill="FFFFFF"/>
        </w:rPr>
        <w:t>1.负责市本级城市规划区内（含鹤城区）和指导县（市、区）燃气管理工作。</w:t>
      </w:r>
    </w:p>
    <w:p>
      <w:pPr>
        <w:pStyle w:val="42"/>
        <w:ind w:firstLine="480"/>
        <w:rPr>
          <w:shd w:val="clear" w:color="auto" w:fill="FFFFFF"/>
        </w:rPr>
      </w:pPr>
      <w:r>
        <w:rPr>
          <w:rFonts w:hint="eastAsia"/>
          <w:shd w:val="clear" w:color="auto" w:fill="FFFFFF"/>
        </w:rPr>
        <w:t>2.负责宣传贯彻国家、省、市燃气管理的法规、标准、政策。</w:t>
      </w:r>
    </w:p>
    <w:p>
      <w:pPr>
        <w:pStyle w:val="42"/>
        <w:ind w:firstLine="480"/>
        <w:rPr>
          <w:shd w:val="clear" w:color="auto" w:fill="FFFFFF"/>
        </w:rPr>
      </w:pPr>
      <w:r>
        <w:rPr>
          <w:rFonts w:hint="eastAsia"/>
          <w:shd w:val="clear" w:color="auto" w:fill="FFFFFF"/>
        </w:rPr>
        <w:t>3.负责城镇燃气规划、计划的制定、修订及组织实施。</w:t>
      </w:r>
    </w:p>
    <w:p>
      <w:pPr>
        <w:pStyle w:val="42"/>
        <w:ind w:firstLine="480"/>
        <w:rPr>
          <w:shd w:val="clear" w:color="auto" w:fill="FFFFFF"/>
        </w:rPr>
      </w:pPr>
      <w:r>
        <w:rPr>
          <w:rFonts w:hint="eastAsia"/>
          <w:shd w:val="clear" w:color="auto" w:fill="FFFFFF"/>
        </w:rPr>
        <w:t>4.负责燃气企业、燃气燃烧器具安装维修企业及燃气设施改动行政审批的审核及管理工作。</w:t>
      </w:r>
    </w:p>
    <w:p>
      <w:pPr>
        <w:pStyle w:val="42"/>
        <w:ind w:firstLine="480"/>
        <w:rPr>
          <w:shd w:val="clear" w:color="auto" w:fill="FFFFFF"/>
        </w:rPr>
      </w:pPr>
      <w:r>
        <w:rPr>
          <w:rFonts w:hint="eastAsia"/>
          <w:shd w:val="clear" w:color="auto" w:fill="FFFFFF"/>
        </w:rPr>
        <w:t>5.负责对燃气企业经营单位及燃气燃烧器具安装维修企业的监督。</w:t>
      </w:r>
    </w:p>
    <w:p>
      <w:pPr>
        <w:pStyle w:val="42"/>
        <w:ind w:firstLine="480"/>
        <w:rPr>
          <w:shd w:val="clear" w:color="auto" w:fill="FFFFFF"/>
        </w:rPr>
      </w:pPr>
      <w:r>
        <w:rPr>
          <w:rFonts w:hint="eastAsia"/>
          <w:shd w:val="clear" w:color="auto" w:fill="FFFFFF"/>
        </w:rPr>
        <w:t>6.负责燃气经营单位及燃气燃烧器具安装维修企业从业人员的职业技能资格培训工作。</w:t>
      </w:r>
    </w:p>
    <w:p>
      <w:pPr>
        <w:pStyle w:val="42"/>
        <w:ind w:firstLine="480"/>
        <w:rPr>
          <w:shd w:val="clear" w:color="auto" w:fill="FFFFFF"/>
        </w:rPr>
      </w:pPr>
      <w:r>
        <w:rPr>
          <w:rFonts w:hint="eastAsia"/>
          <w:shd w:val="clear" w:color="auto" w:fill="FFFFFF"/>
        </w:rPr>
        <w:t>7.负责供气事故应急预案的制定、修订及组织实施。</w:t>
      </w:r>
    </w:p>
    <w:p>
      <w:pPr>
        <w:pStyle w:val="42"/>
        <w:ind w:firstLine="480"/>
        <w:rPr>
          <w:shd w:val="clear" w:color="auto" w:fill="FFFFFF"/>
        </w:rPr>
      </w:pPr>
      <w:r>
        <w:rPr>
          <w:rFonts w:hint="eastAsia"/>
          <w:shd w:val="clear" w:color="auto" w:fill="FFFFFF"/>
        </w:rPr>
        <w:t>8.为建设工程提供造价管理服务。</w:t>
      </w:r>
    </w:p>
    <w:p>
      <w:pPr>
        <w:pStyle w:val="42"/>
        <w:ind w:firstLine="480"/>
        <w:rPr>
          <w:shd w:val="clear" w:color="auto" w:fill="FFFFFF"/>
        </w:rPr>
      </w:pPr>
      <w:r>
        <w:rPr>
          <w:rFonts w:hint="eastAsia"/>
          <w:shd w:val="clear" w:color="auto" w:fill="FFFFFF"/>
        </w:rPr>
        <w:t>9.贯彻执行有关工程造价法律、政策，按时准确发布建安材料价格信息。实行动态管理，对造价从业人员、造价咨询机构进行统一管理、监督、检查，做好定额解释、仲裁服务工作。</w:t>
      </w:r>
    </w:p>
    <w:p>
      <w:pPr>
        <w:pStyle w:val="42"/>
        <w:ind w:firstLine="480"/>
        <w:rPr>
          <w:color w:val="000000"/>
          <w:shd w:val="clear" w:color="auto" w:fill="FFFFFF"/>
        </w:rPr>
      </w:pPr>
      <w:r>
        <w:rPr>
          <w:rFonts w:hint="eastAsia"/>
          <w:color w:val="000000"/>
          <w:shd w:val="clear" w:color="auto" w:fill="FFFFFF"/>
        </w:rPr>
        <w:t>10.配合生态环境部门积极做好入河排污口排查整治工作。</w:t>
      </w:r>
    </w:p>
    <w:p>
      <w:pPr>
        <w:pStyle w:val="42"/>
        <w:ind w:firstLine="480"/>
        <w:rPr>
          <w:color w:val="000000"/>
          <w:shd w:val="clear" w:color="auto" w:fill="FFFFFF"/>
        </w:rPr>
      </w:pPr>
      <w:r>
        <w:rPr>
          <w:rFonts w:hint="eastAsia"/>
          <w:color w:val="000000"/>
          <w:shd w:val="clear" w:color="auto" w:fill="FFFFFF"/>
        </w:rPr>
        <w:t>11.加强对污水主干管网维护单位的日常监管，督促指导维护单位建立应急预案，完善应急管理机制。</w:t>
      </w:r>
    </w:p>
    <w:p>
      <w:pPr>
        <w:pStyle w:val="42"/>
        <w:ind w:firstLine="480"/>
        <w:rPr>
          <w:color w:val="000000"/>
          <w:shd w:val="clear" w:color="auto" w:fill="FFFFFF"/>
        </w:rPr>
      </w:pPr>
      <w:r>
        <w:rPr>
          <w:rFonts w:hint="eastAsia"/>
          <w:color w:val="000000"/>
          <w:shd w:val="clear" w:color="auto" w:fill="FFFFFF"/>
        </w:rPr>
        <w:t>12.有序推进太平溪污染问题整改工作。</w:t>
      </w:r>
    </w:p>
    <w:p>
      <w:pPr>
        <w:pStyle w:val="42"/>
        <w:ind w:firstLine="480"/>
        <w:rPr>
          <w:color w:val="000000"/>
          <w:shd w:val="clear" w:color="auto" w:fill="FFFFFF"/>
        </w:rPr>
      </w:pPr>
      <w:r>
        <w:rPr>
          <w:rFonts w:hint="eastAsia"/>
          <w:color w:val="000000"/>
          <w:shd w:val="clear" w:color="auto" w:fill="FFFFFF"/>
        </w:rPr>
        <w:t>13.宣传和贯彻执行国家、省有关建设工程招标投标的方针政策和法律、规章。</w:t>
      </w:r>
    </w:p>
    <w:p>
      <w:pPr>
        <w:pStyle w:val="42"/>
        <w:ind w:firstLine="480"/>
        <w:rPr>
          <w:color w:val="000000"/>
          <w:shd w:val="clear" w:color="auto" w:fill="FFFFFF"/>
        </w:rPr>
      </w:pPr>
      <w:r>
        <w:rPr>
          <w:rFonts w:hint="eastAsia"/>
          <w:color w:val="000000"/>
          <w:shd w:val="clear" w:color="auto" w:fill="FFFFFF"/>
        </w:rPr>
        <w:t>14.承担对市住房城乡建设局指定区域范围内房屋建筑和市政工程招标投标活动实施监督管理的事务性工作。</w:t>
      </w:r>
    </w:p>
    <w:p>
      <w:pPr>
        <w:pStyle w:val="42"/>
        <w:ind w:firstLine="480"/>
        <w:rPr>
          <w:color w:val="000000"/>
          <w:shd w:val="clear" w:color="auto" w:fill="FFFFFF"/>
        </w:rPr>
      </w:pPr>
      <w:r>
        <w:rPr>
          <w:rFonts w:hint="eastAsia"/>
          <w:color w:val="000000"/>
          <w:shd w:val="clear" w:color="auto" w:fill="FFFFFF"/>
        </w:rPr>
        <w:t>15.承担规范招标代理机构市场行为的事务性工作,负责招标代理机构的业务培训、不良行为的记录等工作。</w:t>
      </w:r>
    </w:p>
    <w:p>
      <w:pPr>
        <w:pStyle w:val="42"/>
        <w:ind w:firstLine="480"/>
        <w:rPr>
          <w:color w:val="000000"/>
          <w:shd w:val="clear" w:color="auto" w:fill="FFFFFF"/>
        </w:rPr>
      </w:pPr>
      <w:r>
        <w:rPr>
          <w:rFonts w:hint="eastAsia"/>
          <w:color w:val="000000"/>
          <w:shd w:val="clear" w:color="auto" w:fill="FFFFFF"/>
        </w:rPr>
        <w:t>16.承担招标投标活动中违法违规行为查处的事务性工作。</w:t>
      </w:r>
    </w:p>
    <w:p>
      <w:pPr>
        <w:pStyle w:val="42"/>
        <w:ind w:firstLine="480"/>
        <w:rPr>
          <w:color w:val="000000"/>
          <w:shd w:val="clear" w:color="auto" w:fill="FFFFFF"/>
        </w:rPr>
      </w:pPr>
      <w:r>
        <w:rPr>
          <w:rFonts w:hint="eastAsia"/>
          <w:color w:val="000000"/>
          <w:shd w:val="clear" w:color="auto" w:fill="FFFFFF"/>
        </w:rPr>
        <w:t>17.承担评标专家履职情况检查的事务性工作。</w:t>
      </w:r>
    </w:p>
    <w:p>
      <w:pPr>
        <w:pStyle w:val="42"/>
        <w:ind w:firstLine="480"/>
        <w:rPr>
          <w:color w:val="000000"/>
          <w:shd w:val="clear" w:color="auto" w:fill="FFFFFF"/>
        </w:rPr>
      </w:pPr>
      <w:r>
        <w:rPr>
          <w:rFonts w:hint="eastAsia"/>
          <w:color w:val="000000"/>
          <w:shd w:val="clear" w:color="auto" w:fill="FFFFFF"/>
        </w:rPr>
        <w:t>18.协助处理招标投标活动的投诉举报工作。</w:t>
      </w:r>
    </w:p>
    <w:p>
      <w:pPr>
        <w:pStyle w:val="42"/>
        <w:ind w:firstLine="480"/>
        <w:rPr>
          <w:color w:val="000000"/>
          <w:shd w:val="clear" w:color="auto" w:fill="FFFFFF"/>
        </w:rPr>
      </w:pPr>
      <w:r>
        <w:rPr>
          <w:rFonts w:hint="eastAsia"/>
          <w:color w:val="000000"/>
          <w:shd w:val="clear" w:color="auto" w:fill="FFFFFF"/>
        </w:rPr>
        <w:t>19.负责对区县（市)建设工程招标投标工作的业务指导。</w:t>
      </w:r>
    </w:p>
    <w:p>
      <w:pPr>
        <w:pStyle w:val="19"/>
        <w:ind w:firstLine="562"/>
        <w:rPr>
          <w:shd w:val="clear" w:color="auto" w:fill="FFFFFF"/>
        </w:rPr>
      </w:pPr>
      <w:r>
        <w:rPr>
          <w:rFonts w:hint="eastAsia" w:ascii="仿宋GB2312" w:hAnsi="仿宋" w:eastAsia="仿宋GB2312"/>
          <w:shd w:val="clear" w:color="auto" w:fill="FFFFFF"/>
        </w:rPr>
        <w:t>(四)</w:t>
      </w:r>
      <w:r>
        <w:rPr>
          <w:rFonts w:hint="eastAsia"/>
          <w:shd w:val="clear" w:color="auto" w:fill="FFFFFF"/>
        </w:rPr>
        <w:t>绩效目标设定情况</w:t>
      </w:r>
    </w:p>
    <w:p>
      <w:pPr>
        <w:pStyle w:val="42"/>
        <w:ind w:firstLine="480"/>
        <w:rPr>
          <w:shd w:val="clear" w:color="auto" w:fill="FFFFFF"/>
        </w:rPr>
      </w:pPr>
      <w:r>
        <w:rPr>
          <w:rFonts w:hint="eastAsia"/>
          <w:shd w:val="clear" w:color="auto" w:fill="FFFFFF"/>
        </w:rPr>
        <w:t>按照市本级预算绩效管理工作的总体要求，2023年我单位整体支出781.06万元，全部实行整体支出绩效目标理，年初编报绩效目标的项目2个，年中追加编报绩效目标4个，涉及项目支出 297.87万元，其中专项业务费58.14 万元,污水处理业务费25.13 万元、城市基础设施配套费安排的支出32万元、鹤中一体化燃气规划专项经费27.99万元、污泥干化处置费72.81万元、污水截污干管费用81.80万元，全部实行项目支出绩效目标管理。</w:t>
      </w:r>
    </w:p>
    <w:p>
      <w:pPr>
        <w:pStyle w:val="18"/>
        <w:ind w:firstLine="602"/>
        <w:rPr>
          <w:shd w:val="clear" w:color="auto" w:fill="FFFFFF"/>
          <w:lang w:bidi="ar"/>
        </w:rPr>
      </w:pPr>
      <w:r>
        <w:rPr>
          <w:rFonts w:hint="eastAsia"/>
          <w:shd w:val="clear" w:color="auto" w:fill="FFFFFF"/>
          <w:lang w:bidi="ar"/>
        </w:rPr>
        <w:t>二、部门整体支出管理及使用情况</w:t>
      </w:r>
    </w:p>
    <w:p>
      <w:pPr>
        <w:pStyle w:val="42"/>
        <w:ind w:firstLine="480"/>
        <w:rPr>
          <w:shd w:val="clear" w:color="auto" w:fill="FFFFFF"/>
        </w:rPr>
      </w:pPr>
      <w:r>
        <w:rPr>
          <w:rFonts w:hint="eastAsia"/>
          <w:shd w:val="clear" w:color="auto" w:fill="FFFFFF"/>
        </w:rPr>
        <w:t>预算执行、使用、管理总体情况。</w:t>
      </w:r>
    </w:p>
    <w:p>
      <w:pPr>
        <w:pStyle w:val="42"/>
        <w:ind w:firstLine="480"/>
        <w:rPr>
          <w:shd w:val="clear" w:color="auto" w:fill="FFFFFF"/>
        </w:rPr>
      </w:pPr>
      <w:r>
        <w:rPr>
          <w:rFonts w:hint="eastAsia"/>
          <w:shd w:val="clear" w:color="auto" w:fill="FFFFFF"/>
        </w:rPr>
        <w:t>2023年部门预算情况。收入包括一般公共预算财政拨款收入，政府性基金预算财政拨款收入、其他收入；支出包括保障机关基本运行的经费以及相关专项经费。</w:t>
      </w:r>
    </w:p>
    <w:p>
      <w:pPr>
        <w:pStyle w:val="42"/>
        <w:ind w:firstLine="480"/>
        <w:rPr>
          <w:shd w:val="clear" w:color="auto" w:fill="FFFFFF"/>
        </w:rPr>
      </w:pPr>
      <w:r>
        <w:rPr>
          <w:rFonts w:hint="eastAsia"/>
          <w:shd w:val="clear" w:color="auto" w:fill="FFFFFF"/>
        </w:rPr>
        <w:t>本单位整体支出和项目支出实行绩效目标管理。</w:t>
      </w:r>
    </w:p>
    <w:p>
      <w:pPr>
        <w:pStyle w:val="11"/>
        <w:ind w:firstLine="482"/>
        <w:rPr>
          <w:shd w:val="clear" w:color="auto" w:fill="FFFFFF"/>
        </w:rPr>
      </w:pPr>
      <w:r>
        <w:rPr>
          <w:rFonts w:hint="eastAsia"/>
          <w:shd w:val="clear" w:color="auto" w:fill="FFFFFF"/>
        </w:rPr>
        <w:t>1.收入预算</w:t>
      </w:r>
    </w:p>
    <w:p>
      <w:pPr>
        <w:pStyle w:val="42"/>
        <w:ind w:firstLine="480"/>
        <w:rPr>
          <w:shd w:val="clear" w:color="auto" w:fill="FFFFFF"/>
        </w:rPr>
      </w:pPr>
      <w:r>
        <w:rPr>
          <w:rFonts w:hint="eastAsia"/>
          <w:shd w:val="clear" w:color="auto" w:fill="FFFFFF"/>
        </w:rPr>
        <w:t xml:space="preserve">2023年年初预算数 568.61 万元，其中，一般公共预算拨款568.61万元，无政府性基金预算拨款、无纳入财政专户管理的非税收入拨款，无国有资本经营预算拨款。压减公用经费和专项支出后，同口径对比，收入较上年增加167.68万元，主要原因：一是在职人员的基础性绩效奖及退休人员的一次性生活补助纳入了预算，人员经费增加；二是新增鹤中一体化燃气规划编制专项，项目经费增加。 </w:t>
      </w:r>
    </w:p>
    <w:p>
      <w:pPr>
        <w:pStyle w:val="11"/>
        <w:ind w:firstLine="482"/>
        <w:rPr>
          <w:shd w:val="clear" w:color="auto" w:fill="FFFFFF"/>
        </w:rPr>
      </w:pPr>
      <w:r>
        <w:rPr>
          <w:rFonts w:hint="eastAsia"/>
          <w:shd w:val="clear" w:color="auto" w:fill="FFFFFF"/>
        </w:rPr>
        <w:t>2.支出预算</w:t>
      </w:r>
    </w:p>
    <w:p>
      <w:pPr>
        <w:pStyle w:val="42"/>
        <w:ind w:firstLine="480"/>
        <w:rPr>
          <w:shd w:val="clear" w:color="auto" w:fill="FFFFFF"/>
        </w:rPr>
      </w:pPr>
      <w:r>
        <w:rPr>
          <w:rFonts w:hint="eastAsia"/>
          <w:shd w:val="clear" w:color="auto" w:fill="FFFFFF"/>
        </w:rPr>
        <w:t>2023年年初预算数568.61万元，其中主要是人员支出408.11 万元，公用经费40.50万元，特定目标类项目支出40 万元，其他运转类项目支出80万元。压减公用经费和专项支出后，同口径对比，支出较上年增加167.88 万元，主要原因一是在职人员的基础性绩效奖及退休人员的一次性生活补助纳入了预算，人员支出增加。二是新增鹤中一体化燃气规划专项，项目支出增加。</w:t>
      </w:r>
    </w:p>
    <w:p>
      <w:pPr>
        <w:pStyle w:val="19"/>
        <w:ind w:firstLine="562"/>
      </w:pPr>
      <w:r>
        <w:rPr>
          <w:rFonts w:hint="eastAsia"/>
          <w:shd w:val="clear" w:color="auto" w:fill="FFFFFF"/>
        </w:rPr>
        <w:t>（二）部门预算执行情况</w:t>
      </w:r>
    </w:p>
    <w:p>
      <w:pPr>
        <w:pStyle w:val="11"/>
        <w:ind w:firstLine="482"/>
        <w:rPr>
          <w:shd w:val="clear" w:color="auto" w:fill="FFFFFF"/>
        </w:rPr>
      </w:pPr>
      <w:r>
        <w:rPr>
          <w:rFonts w:hint="eastAsia"/>
          <w:shd w:val="clear" w:color="auto" w:fill="FFFFFF"/>
        </w:rPr>
        <w:t>1.基本支出情况</w:t>
      </w:r>
    </w:p>
    <w:p>
      <w:pPr>
        <w:pStyle w:val="42"/>
        <w:ind w:firstLine="480"/>
        <w:rPr>
          <w:shd w:val="clear" w:color="auto" w:fill="FFFFFF"/>
        </w:rPr>
      </w:pPr>
      <w:r>
        <w:rPr>
          <w:rFonts w:hint="eastAsia"/>
          <w:shd w:val="clear" w:color="auto" w:fill="FFFFFF"/>
        </w:rPr>
        <w:t>2023年年初预算数为448.61万元，全年预算数483.19万元，实际支出483.19万元，基本支出是指为保障单位机构正常运转、完成日常工作任务而发生的各项支出，其中包括用于基本工资164.46万元、津贴补贴0.47万元、奖金21.47万元、绩效工资163.00万元、机关事业单位基本养老保险缴费32.97万元、职工基本医疗保险缴费51.38万元、其他社会保障缴费 4.89万元、生活补助22.67万元等。</w:t>
      </w:r>
    </w:p>
    <w:p>
      <w:pPr>
        <w:pStyle w:val="11"/>
        <w:ind w:firstLine="482"/>
        <w:rPr>
          <w:shd w:val="clear" w:color="auto" w:fill="FFFFFF"/>
        </w:rPr>
      </w:pPr>
      <w:r>
        <w:rPr>
          <w:rFonts w:hint="eastAsia"/>
          <w:shd w:val="clear" w:color="auto" w:fill="FFFFFF"/>
        </w:rPr>
        <w:t>2.项目支出情况</w:t>
      </w:r>
    </w:p>
    <w:p>
      <w:pPr>
        <w:pStyle w:val="42"/>
        <w:ind w:firstLine="480"/>
        <w:rPr>
          <w:shd w:val="clear" w:color="auto" w:fill="FFFFFF"/>
        </w:rPr>
      </w:pPr>
      <w:r>
        <w:rPr>
          <w:rFonts w:hint="eastAsia"/>
          <w:shd w:val="clear" w:color="auto" w:fill="FFFFFF"/>
        </w:rPr>
        <w:t>2023年年初预算数为120.00万元，全年预算数297.87万元，实际支出297.87万元，其中年中追加预算177.87万元（原怀化市城市管理事务服务中心于2023年7月并入怀化市城乡建设事务中心，财政增加相应的预算经费）。项目支出是指单位为完成特定行政工作任务或事业发展目标而发生的支出，包括有关事业发展专项、专项业务费、基本建设支出等，城乡建设事务中心项目支出包括专项（业务）费58.14万元，污水处理业务费25.13万元，城市基础设施配套费安排的支出32万元，鹤中一体化燃气规划专项经费27.99万元、污泥干化处置费72.81万元、污水截污干管81.80万元。</w:t>
      </w:r>
    </w:p>
    <w:p>
      <w:pPr>
        <w:pStyle w:val="19"/>
        <w:ind w:firstLine="562"/>
        <w:rPr>
          <w:shd w:val="clear" w:color="auto" w:fill="FFFFFF"/>
        </w:rPr>
      </w:pPr>
      <w:r>
        <w:rPr>
          <w:rFonts w:hint="eastAsia"/>
          <w:shd w:val="clear" w:color="auto" w:fill="FFFFFF"/>
        </w:rPr>
        <w:t>（三）“三公”经费使用和管理情况</w:t>
      </w:r>
    </w:p>
    <w:p>
      <w:pPr>
        <w:pStyle w:val="42"/>
        <w:ind w:firstLine="480"/>
        <w:rPr>
          <w:shd w:val="clear" w:color="auto" w:fill="FFFFFF"/>
        </w:rPr>
      </w:pPr>
      <w:r>
        <w:rPr>
          <w:rFonts w:hint="eastAsia"/>
          <w:shd w:val="clear" w:color="auto" w:fill="FFFFFF"/>
        </w:rPr>
        <w:t>2023年怀化市城乡建设事务中心一般公共预算安排“三公”经费预算数为1万元，其中，公务接待费1万元，公务用车购置费0万元，公务用车运行费0万元，因公出国（境）费0万元。2023年“三公”经费预算与上年持平。2023年单位无“三公”经费支出</w:t>
      </w:r>
    </w:p>
    <w:p>
      <w:pPr>
        <w:pStyle w:val="18"/>
        <w:ind w:firstLine="602"/>
        <w:rPr>
          <w:shd w:val="clear" w:color="auto" w:fill="FFFFFF"/>
        </w:rPr>
      </w:pPr>
      <w:r>
        <w:rPr>
          <w:rFonts w:hint="eastAsia"/>
          <w:shd w:val="clear" w:color="auto" w:fill="FFFFFF"/>
        </w:rPr>
        <w:t>三、政府性基金预算支出情况</w:t>
      </w:r>
    </w:p>
    <w:p>
      <w:pPr>
        <w:pStyle w:val="42"/>
        <w:ind w:firstLine="480"/>
        <w:rPr>
          <w:shd w:val="clear" w:color="auto" w:fill="FFFFFF"/>
        </w:rPr>
      </w:pPr>
      <w:r>
        <w:rPr>
          <w:rFonts w:hint="eastAsia"/>
          <w:shd w:val="clear" w:color="auto" w:fill="FFFFFF"/>
        </w:rPr>
        <w:t>2023年年初政府性基金预算支出0万元，年中追加政府性基金预算支出104.81万元，实际政府性基金预算支出104.81万元。</w:t>
      </w:r>
    </w:p>
    <w:p>
      <w:pPr>
        <w:pStyle w:val="18"/>
        <w:ind w:firstLine="602"/>
        <w:rPr>
          <w:shd w:val="clear" w:color="auto" w:fill="FFFFFF"/>
        </w:rPr>
      </w:pPr>
      <w:r>
        <w:rPr>
          <w:rFonts w:hint="eastAsia"/>
          <w:shd w:val="clear" w:color="auto" w:fill="FFFFFF"/>
        </w:rPr>
        <w:t>四、国有资本经营预算支出情况</w:t>
      </w:r>
    </w:p>
    <w:p>
      <w:pPr>
        <w:pStyle w:val="42"/>
        <w:ind w:firstLine="480"/>
      </w:pPr>
      <w:r>
        <w:rPr>
          <w:rFonts w:hint="eastAsia"/>
          <w:shd w:val="clear" w:color="auto" w:fill="FFFFFF"/>
        </w:rPr>
        <w:t>2023年无国有资本经营预算支出。</w:t>
      </w:r>
    </w:p>
    <w:p>
      <w:pPr>
        <w:pStyle w:val="18"/>
        <w:ind w:firstLine="602"/>
        <w:rPr>
          <w:shd w:val="clear" w:color="auto" w:fill="FFFFFF"/>
        </w:rPr>
      </w:pPr>
      <w:bookmarkStart w:id="0" w:name="_Hlk170896337"/>
      <w:r>
        <w:rPr>
          <w:rFonts w:hint="eastAsia"/>
          <w:shd w:val="clear" w:color="auto" w:fill="FFFFFF"/>
        </w:rPr>
        <w:t>五、社会保险基金预算支出</w:t>
      </w:r>
      <w:bookmarkEnd w:id="0"/>
      <w:r>
        <w:rPr>
          <w:rFonts w:hint="eastAsia"/>
          <w:shd w:val="clear" w:color="auto" w:fill="FFFFFF"/>
        </w:rPr>
        <w:t>情况</w:t>
      </w:r>
    </w:p>
    <w:p>
      <w:pPr>
        <w:pStyle w:val="42"/>
        <w:ind w:firstLine="480"/>
      </w:pPr>
      <w:r>
        <w:rPr>
          <w:rFonts w:hint="eastAsia"/>
        </w:rPr>
        <w:t>2023年无社会保险基金预算支出。</w:t>
      </w:r>
    </w:p>
    <w:p>
      <w:pPr>
        <w:pStyle w:val="18"/>
        <w:ind w:firstLine="602"/>
      </w:pPr>
      <w:r>
        <w:rPr>
          <w:rFonts w:hint="eastAsia"/>
          <w:shd w:val="clear" w:color="auto" w:fill="FFFFFF"/>
        </w:rPr>
        <w:t>六、部门整体支出绩效情况</w:t>
      </w:r>
    </w:p>
    <w:p>
      <w:pPr>
        <w:pStyle w:val="19"/>
        <w:ind w:firstLine="562"/>
        <w:rPr>
          <w:shd w:val="clear" w:color="auto" w:fill="FFFFFF"/>
        </w:rPr>
      </w:pPr>
      <w:r>
        <w:rPr>
          <w:rFonts w:hint="eastAsia"/>
        </w:rPr>
        <w:t>（一）综合评价结论</w:t>
      </w:r>
    </w:p>
    <w:p>
      <w:pPr>
        <w:pStyle w:val="42"/>
        <w:ind w:firstLine="480"/>
        <w:rPr>
          <w:shd w:val="clear" w:color="auto" w:fill="FFFFFF"/>
        </w:rPr>
      </w:pPr>
      <w:r>
        <w:rPr>
          <w:rFonts w:hint="eastAsia"/>
          <w:shd w:val="clear" w:color="auto" w:fill="FFFFFF"/>
        </w:rPr>
        <w:t>根据部门整体支出绩效评价指标规定的内容，经我单位认真自评，总评分为100分，实际得分98分，2023年度部门整体绩效评价为优秀。</w:t>
      </w:r>
    </w:p>
    <w:p>
      <w:pPr>
        <w:pStyle w:val="42"/>
        <w:ind w:firstLine="480"/>
        <w:rPr>
          <w:shd w:val="clear" w:color="auto" w:fill="FFFFFF"/>
        </w:rPr>
      </w:pPr>
      <w:r>
        <w:rPr>
          <w:rFonts w:hint="eastAsia"/>
          <w:shd w:val="clear" w:color="auto" w:fill="FFFFFF"/>
        </w:rPr>
        <w:t>我单位按照市级部门预决算编制通知和有关要求，按时完成预决算编制工作，并及时在网上进行预决算公开。部门整体绩效目标编制完整、合理，项目绩效目标编制明确、量化。按要求严格预算执行管理，及时足额将专项资金按指标拨付。严格执行“三公经费”预算，按要求及时公开预算、决算、绩效等信息。按要求及时、准确、全面开展资产清查工作，上报国有资产报表数据的真实、准确、全面。内部控制制度健全完整并执行良好，在本年度内未出现廉政风险。中心支部认真贯彻落实省、市有关文件精神，以党建为统领，以行业诚信建设为抓手，扎实推进招投标、燃气、造价、污水工作有序开展，完成上级交办的各项工作任务。</w:t>
      </w:r>
    </w:p>
    <w:p>
      <w:pPr>
        <w:pStyle w:val="18"/>
        <w:ind w:firstLine="602"/>
        <w:rPr>
          <w:shd w:val="clear" w:color="auto" w:fill="FFFFFF"/>
        </w:rPr>
      </w:pPr>
      <w:r>
        <w:rPr>
          <w:rFonts w:hint="eastAsia"/>
          <w:shd w:val="clear" w:color="auto" w:fill="FFFFFF"/>
        </w:rPr>
        <w:t>（二）评价指标分析（或综合评价情况）</w:t>
      </w:r>
    </w:p>
    <w:p>
      <w:pPr>
        <w:pStyle w:val="42"/>
        <w:ind w:firstLine="480"/>
        <w:rPr>
          <w:shd w:val="clear" w:color="auto" w:fill="FFFFFF"/>
        </w:rPr>
      </w:pPr>
      <w:r>
        <w:rPr>
          <w:rFonts w:hint="eastAsia"/>
          <w:shd w:val="clear" w:color="auto" w:fill="FFFFFF"/>
        </w:rPr>
        <w:t>2023年中心支部在市住建局党组的正确领导下，认真贯彻落实省、市有关文件精神，以党建为统领，以行业诚信建设为抓手，扎实推进招投标、燃气、造价、污水工作有序开展，完成上级交办的各项工作任务，现总结如下：</w:t>
      </w:r>
    </w:p>
    <w:p>
      <w:pPr>
        <w:pStyle w:val="42"/>
        <w:ind w:firstLine="480"/>
        <w:rPr>
          <w:shd w:val="clear" w:color="auto" w:fill="FFFFFF"/>
        </w:rPr>
      </w:pPr>
      <w:r>
        <w:rPr>
          <w:rFonts w:hint="eastAsia"/>
          <w:shd w:val="clear" w:color="auto" w:fill="FFFFFF"/>
        </w:rPr>
        <w:t>1.党的建设全面加强。一是贯彻落实新时代党的建设总要求，坚持和加强党的全面领导，坚定不移全面从严治党。以党的政治建设统领党的各方面建设，加强中心班子建设，认真履行基层党建工作“一岗双责”，严格落实“三会一课”、组织生活、谈心谈话等制度，狠抓制度落实。二是结合主题学习教育，常态化开展党纪党规学习、警示教育学习，培树高尚的人生观、价值观，树牢法纪观念、清廉思想，从思想深处培树廉洁从政的自觉追求，做实中心内部监督和提醒。三是2023年组织党员集中学习7 次，党支部会议12次、干部职工廉政教育6次，支部书记上党课5次，对口联系领导上党课 2次，将党建工作与业务工作统筹推进。</w:t>
      </w:r>
    </w:p>
    <w:p>
      <w:pPr>
        <w:pStyle w:val="42"/>
        <w:ind w:firstLine="480"/>
        <w:rPr>
          <w:shd w:val="clear" w:color="auto" w:fill="FFFFFF"/>
        </w:rPr>
      </w:pPr>
      <w:r>
        <w:rPr>
          <w:rFonts w:hint="eastAsia"/>
          <w:shd w:val="clear" w:color="auto" w:fill="FFFFFF"/>
        </w:rPr>
        <w:t>2.筑牢意识形态阵地。中心党支部始终将意识形态工作纳入党员学习的重要内容，及时传达学习党中央和上级党委关于意识形态工作的决策部署及指示精神，强化阵地管理，引领正确导向，广泛宣传社会主义核心价值观、公民道德基本规范，大力弘扬优秀传统美德，把意识形态工作落实到每一位干部职工身上。</w:t>
      </w:r>
    </w:p>
    <w:p>
      <w:pPr>
        <w:pStyle w:val="42"/>
        <w:ind w:firstLine="480"/>
        <w:rPr>
          <w:shd w:val="clear" w:color="auto" w:fill="FFFFFF"/>
        </w:rPr>
      </w:pPr>
      <w:r>
        <w:rPr>
          <w:rFonts w:hint="eastAsia"/>
          <w:shd w:val="clear" w:color="auto" w:fill="FFFFFF"/>
        </w:rPr>
        <w:t>3.全面部署狠抓落实。招投标专项整治：制定《关于开展2023年度全市房屋建筑和市政基础设施工程标后稽查工作的通知》、《怀化市2023年住建领域招投标突出问题专项整治工作方案》等，持续推动招投标专项整治向纵深发展，成立招投标突出问题专项整治工作领导小组，承担专项整治工作方案中各项任务的综合协调、跟踪督办、监督检查、政策起草等专项整治工作。造价计价依据宣贯：于2022年3月9-10日，举办“2022年计价依据”宣贯交底培训，组织市县住建、财评、审计、施工、造价咨询机构等相关单位的120余名造价从业人员参加培训。燃气安全专项整治：制定了《怀化市城镇燃气安全专项整治工作方案》《怀化市城镇燃气用户橡胶软管等更换实施方案》等，成立了怀化市城镇燃气安全专项整治工作专班。全年完成41.66万户燃气入户安检，22.54万户燃气橡胶软管更换，9712户燃气餐饮企业检查，1.06万户城镇燃气平台的信息入录。燃气管道涉铁安全隐患整治：经过一年的努力牵头负责的全市燃气管道涉铁隐患20处，已全部完成整改，鹤城全市涉铁隐患剩余1处因地质原因正在抓紧进场施工。太平溪流域整改：为做好省委巡视交办的太平溪污染老大难问题整改，根据市政府安排，结合《太平溪流域水环境治理工作方案》和工作实际，牵头起草《太平溪流域水环境问题巡视整改工作方案》。该方案涉及16个部门（单位）18条具体整改措施，实行一月一调度，各项工作正按序时推进。</w:t>
      </w:r>
    </w:p>
    <w:p>
      <w:pPr>
        <w:pStyle w:val="42"/>
        <w:ind w:firstLine="480"/>
        <w:rPr>
          <w:shd w:val="clear" w:color="auto" w:fill="FFFFFF"/>
        </w:rPr>
      </w:pPr>
      <w:r>
        <w:rPr>
          <w:rFonts w:hint="eastAsia"/>
          <w:shd w:val="clear" w:color="auto" w:fill="FFFFFF"/>
        </w:rPr>
        <w:t>4.业务工作稳步推进。招标投监督管理：全面实行不见面开标、评标，坚持招标文件“应核尽核”，事后常态化开展标后稽查，落实标后承诺制度，强化相关主体责任，切实加强对工程项目招投标的监督管理。造价材料价格信息：全年调查、发布12期全市建筑材料价格信息，印发《怀化市工程造价》6期。污水整治：配合生态环境部门积极做好入河排污口排查整治工作，对直接负责整改的15个排口和维护范围内的舞水河东岸及太平溪和三条支流（潭口溪、岩堰溪、坨垸溪）塌陷和渗漏严重地段的污水管网进行了全面摸排，计划2024年1月底完成财评和服务单位选定工作，2月中旬如期开工。燃气排查整治：宁夏6.21燃气爆炸事故发生后，市委、市政府高度重视，当晚在副市长向秀亮带队下对全市燃气领域迅速开展地毯式安全隐患排查，共排查燃气餐饮（重点检查夜市摊店）工商用户5730处，发现隐患2640个，已全部整改到位。</w:t>
      </w:r>
    </w:p>
    <w:p>
      <w:pPr>
        <w:pStyle w:val="42"/>
        <w:ind w:firstLine="480"/>
        <w:rPr>
          <w:shd w:val="clear" w:color="auto" w:fill="FFFFFF"/>
        </w:rPr>
      </w:pPr>
      <w:r>
        <w:rPr>
          <w:rFonts w:hint="eastAsia"/>
          <w:shd w:val="clear" w:color="auto" w:fill="FFFFFF"/>
        </w:rPr>
        <w:t>5.压紧压实主体责任。招投标方面：强化招标代理机构管理，严格核查招标代理机构专职人员信息，通过监管平台对招标代理机构实行“一项目一考评”，同时加强招标代理机构监管，2023年连续4个季度通过湖南省招标代理机构监管平台对140余名招标代理人员信息进行核查。燃气方面：落实城镇燃气安全管理“六化”工作。强化城镇燃气“全链条、全过程、全要素”安全管理，防范燃气安全事故发生，消除燃气市场安全隐患。全市15个县市区按照“街巷定界、规模适度”的原则，完成网络化划分工作64个，划分燃气输配系统网格419个，明确“三员”的网络数量419个。全市共制定应急预案70个，开展应急演练72次。污水方面：督促指导怀化市全城污水处理有限公司建设好怀化市污水处理厂改扩建工程，该工程已于9月15日通水调试，11月5日运行，市本级污水处理能力提升到21万立方米/日。加强对污水主干管网维护单位的日常监管，督促指导维护单位建立应急预案，完善应急管理机制，实行每天巡查打卡，建立巡查问题整改台账，对维护单位实行每月考核评分。造价方面：开展全市工程造价咨询企业及注册造价工程师监督检查，同时鼓励支持工程造价咨询企业参与建设工程全过程工程咨询服务，推进工程造价咨询企业诚信服务创建精神为文明示范工作。</w:t>
      </w:r>
    </w:p>
    <w:p>
      <w:pPr>
        <w:pStyle w:val="42"/>
        <w:ind w:firstLine="480"/>
        <w:rPr>
          <w:shd w:val="clear" w:color="auto" w:fill="FFFFFF"/>
        </w:rPr>
      </w:pPr>
      <w:r>
        <w:rPr>
          <w:rFonts w:hint="eastAsia"/>
          <w:shd w:val="clear" w:color="auto" w:fill="FFFFFF"/>
        </w:rPr>
        <w:t>6.民生事业长足发展。黑臭水体整治：茅谷冲溪黑臭水体整治初见成效。9月11日，住建部到我市调研黑臭水体治理情况，对茅谷冲溪水质进行采样检测，检测结果为无黑臭。城市污水管网：2023年全市县以上城市完成污水管网新建改造共96.18公里（新建32.95公里、改造63.23公里），省厅任务50公里。造价审查：积极配合省厅和市局完成恒大、处遗、保交楼、市政工程等项目的造价审查工作，助力房地产市场平稳过渡。城镇燃气老旧管网改造：全年完成燃气老旧管网更新改造约125公里（其中：市政管道11.343公里、庭院管道29.7586公里、燃气立管84.689公里），完成燃气户内设施改造35020户。</w:t>
      </w:r>
    </w:p>
    <w:p>
      <w:pPr>
        <w:pStyle w:val="42"/>
        <w:ind w:firstLine="480"/>
        <w:rPr>
          <w:shd w:val="clear" w:color="auto" w:fill="FFFFFF"/>
        </w:rPr>
      </w:pPr>
      <w:r>
        <w:rPr>
          <w:rFonts w:hint="eastAsia"/>
          <w:shd w:val="clear" w:color="auto" w:fill="FFFFFF"/>
        </w:rPr>
        <w:t>7.强化执法有力震慑。燃气方面：持续开展燃气市场打非治违工作，相继联合公安、交通行政执法、城市管理行政执法等开展联合行动11次，打掉销售瓶装燃气“黑窝点”22个，行政拘留2人，刑事拘留4人，依法查扣车辆11台,查扣燃气钢瓶1150个，开展执法检查249次，进行执法处罚50次，罚款46.134万元。招投标方面：加强工程建设招投标领域违法违规行为查处和标后稽查工作，常态化开展工程建设招投标领域违法违规行为的查处和标后稽查,重点查处出借挂靠资质、转包违法分包问题。全年市县区累计对87个项目进行标后履约情况检查，查处15个违法违规行为项目，个人罚款1.41万元，企业罚款30.77万元，对2家代理机构进行不规范行为考评，4名评标专家考评为基本称职，1名专家考评为称职。下发整改通知书43份，上报3人不良行为，约谈相关责任人58人。查处工程建设招投标领域违法违规行为19件，罚款43.5万元，通报批评评标专家6人，上报8人不良行为。对9名专家考评认定为基本称职，取消其半年评标资格，对1名专家考评认定为不称职，取消其一年评标资格。4家招标代理机构在项目考评中被记不规范行为并予以扣分。</w:t>
      </w:r>
    </w:p>
    <w:p>
      <w:pPr>
        <w:pStyle w:val="42"/>
        <w:ind w:firstLine="480"/>
        <w:rPr>
          <w:shd w:val="clear" w:color="auto" w:fill="FFFFFF"/>
        </w:rPr>
      </w:pPr>
      <w:r>
        <w:rPr>
          <w:rFonts w:hint="eastAsia"/>
          <w:shd w:val="clear" w:color="auto" w:fill="FFFFFF"/>
        </w:rPr>
        <w:t>8.宣传引导营造氛围。组织燃气企业负责人集中学习新《安全生产法》和相关业务知识，提高他们的依法经营水平。对全市燃气管理部门工作人员、部分乡镇、街道、社区安检员进行燃气安全专题培训。发放宣传册5万多份，发送燃气安全短信10万余条，向学校学生赠送燃气安全使用书本2万余本。充分利用电视、报刊和为民热线等媒体媒介，多渠道、全方位的宣传活动，推进“清廉工程”建设和燃气安全工作，让广大群众直观了解工作情况，营造出人人关注、人人参与、人人监督的舆论氛围和社会环境。</w:t>
      </w:r>
    </w:p>
    <w:p>
      <w:pPr>
        <w:pStyle w:val="18"/>
        <w:ind w:firstLine="602"/>
        <w:rPr>
          <w:shd w:val="clear" w:color="auto" w:fill="FFFFFF"/>
        </w:rPr>
      </w:pPr>
      <w:r>
        <w:rPr>
          <w:rFonts w:hint="eastAsia"/>
          <w:shd w:val="clear" w:color="auto" w:fill="FFFFFF"/>
        </w:rPr>
        <w:t>七、存在的问题及原因分析</w:t>
      </w:r>
    </w:p>
    <w:p>
      <w:pPr>
        <w:pStyle w:val="42"/>
        <w:ind w:firstLine="480"/>
        <w:rPr>
          <w:shd w:val="clear" w:color="auto" w:fill="FFFFFF"/>
        </w:rPr>
      </w:pPr>
      <w:r>
        <w:rPr>
          <w:rFonts w:hint="eastAsia"/>
          <w:shd w:val="clear" w:color="auto" w:fill="FFFFFF"/>
        </w:rPr>
        <w:t>1.全面预算绩效管理工作经验不太丰富，绩效管理专业人员匮乏，规范管理有盲点。</w:t>
      </w:r>
    </w:p>
    <w:p>
      <w:pPr>
        <w:pStyle w:val="42"/>
        <w:ind w:firstLine="480"/>
        <w:rPr>
          <w:shd w:val="clear" w:color="auto" w:fill="FFFFFF"/>
        </w:rPr>
      </w:pPr>
      <w:r>
        <w:rPr>
          <w:rFonts w:hint="eastAsia"/>
          <w:shd w:val="clear" w:color="auto" w:fill="FFFFFF"/>
        </w:rPr>
        <w:t>2.部门预算编制的科学化、精细化有待提高。目前，预算编制要求经济科目细化到款级，但在实际编制过程中，由于有的预算支出项目具有预测性和不确定性等特点，造成实际支出与预算编制不符。</w:t>
      </w:r>
    </w:p>
    <w:p>
      <w:pPr>
        <w:pStyle w:val="18"/>
        <w:ind w:firstLine="602"/>
        <w:rPr>
          <w:shd w:val="clear" w:color="auto" w:fill="FFFFFF"/>
        </w:rPr>
      </w:pPr>
      <w:r>
        <w:rPr>
          <w:rFonts w:hint="eastAsia"/>
          <w:shd w:val="clear" w:color="auto" w:fill="FFFFFF"/>
        </w:rPr>
        <w:t>八、下一步改进措施</w:t>
      </w:r>
    </w:p>
    <w:p>
      <w:pPr>
        <w:pStyle w:val="42"/>
        <w:ind w:firstLine="480"/>
        <w:rPr>
          <w:shd w:val="clear" w:color="auto" w:fill="FFFFFF"/>
        </w:rPr>
      </w:pPr>
      <w:r>
        <w:rPr>
          <w:rFonts w:hint="eastAsia"/>
          <w:shd w:val="clear" w:color="auto" w:fill="FFFFFF"/>
        </w:rPr>
        <w:t>1.我们将更加全面、细致地制定绩效目标，进一步严肃财经纪律，在实施过程中遵循“实事求是、尊重客观、力求精准”的原则，努力使项目资金落到实处。</w:t>
      </w:r>
    </w:p>
    <w:p>
      <w:pPr>
        <w:pStyle w:val="42"/>
        <w:ind w:firstLine="480"/>
        <w:rPr>
          <w:shd w:val="clear" w:color="auto" w:fill="FFFFFF"/>
        </w:rPr>
      </w:pPr>
      <w:r>
        <w:rPr>
          <w:rFonts w:hint="eastAsia"/>
          <w:shd w:val="clear" w:color="auto" w:fill="FFFFFF"/>
        </w:rPr>
        <w:t>2.我们将落实内控制度，严肃执行“三重一大”的原则，深入开展政府购买社会化服务，切实引进社会化竞争机制，引进相关专业人才，保障项目在公开、公平、公正的监督环境中实施，有效节约项目资金，把有限的资金用在刀刃上。</w:t>
      </w:r>
    </w:p>
    <w:p>
      <w:pPr>
        <w:pStyle w:val="42"/>
        <w:ind w:firstLine="480"/>
        <w:rPr>
          <w:shd w:val="clear" w:color="auto" w:fill="FFFFFF"/>
        </w:rPr>
      </w:pPr>
      <w:r>
        <w:rPr>
          <w:rFonts w:hint="eastAsia"/>
          <w:shd w:val="clear" w:color="auto" w:fill="FFFFFF"/>
        </w:rPr>
        <w:t>3.加强对财政资金的拨付和使用管理，加强对财务干部职工的业务培训，强化预算管理意识，严格执行预算，做到专账核算，确保专款专用。</w:t>
      </w:r>
    </w:p>
    <w:p>
      <w:pPr>
        <w:pStyle w:val="18"/>
        <w:ind w:firstLine="602"/>
        <w:rPr>
          <w:shd w:val="clear" w:color="auto" w:fill="FFFFFF"/>
        </w:rPr>
      </w:pPr>
      <w:r>
        <w:rPr>
          <w:rFonts w:hint="eastAsia"/>
          <w:shd w:val="clear" w:color="auto" w:fill="FFFFFF"/>
        </w:rPr>
        <w:t>九、其他需要说明的情况</w:t>
      </w:r>
    </w:p>
    <w:p>
      <w:pPr>
        <w:pStyle w:val="42"/>
        <w:ind w:firstLine="480"/>
      </w:pPr>
      <w:r>
        <w:rPr>
          <w:rFonts w:hint="eastAsia"/>
        </w:rPr>
        <w:t>无其他需要说明的情况。</w:t>
      </w:r>
    </w:p>
    <w:p>
      <w:pPr>
        <w:pStyle w:val="42"/>
        <w:ind w:firstLine="480"/>
        <w:rPr>
          <w:shd w:val="clear" w:color="auto" w:fill="FFFFFF"/>
        </w:rPr>
      </w:pPr>
    </w:p>
    <w:p>
      <w:pPr>
        <w:pStyle w:val="42"/>
        <w:ind w:firstLine="480"/>
        <w:rPr>
          <w:shd w:val="clear" w:color="auto" w:fill="FFFFFF"/>
        </w:rPr>
      </w:pPr>
      <w:r>
        <w:rPr>
          <w:rFonts w:hint="eastAsia"/>
          <w:shd w:val="clear" w:color="auto" w:fill="FFFFFF"/>
        </w:rPr>
        <w:t>报告包括以下附件：</w:t>
      </w:r>
    </w:p>
    <w:p>
      <w:pPr>
        <w:pStyle w:val="42"/>
        <w:ind w:firstLine="480"/>
        <w:rPr>
          <w:shd w:val="clear" w:color="auto" w:fill="FFFFFF"/>
        </w:rPr>
      </w:pPr>
      <w:r>
        <w:rPr>
          <w:rFonts w:hint="eastAsia"/>
          <w:shd w:val="clear" w:color="auto" w:fill="FFFFFF"/>
        </w:rPr>
        <w:t xml:space="preserve">1.部门整体支出绩效评价基础数据表  </w:t>
      </w:r>
    </w:p>
    <w:p>
      <w:pPr>
        <w:pStyle w:val="42"/>
        <w:ind w:firstLine="480"/>
        <w:rPr>
          <w:shd w:val="clear" w:color="auto" w:fill="FFFFFF"/>
        </w:rPr>
      </w:pPr>
      <w:r>
        <w:rPr>
          <w:rFonts w:hint="eastAsia"/>
          <w:shd w:val="clear" w:color="auto" w:fill="FFFFFF"/>
        </w:rPr>
        <w:t>2.部门整体支出绩效自评表</w:t>
      </w:r>
    </w:p>
    <w:p>
      <w:pPr>
        <w:widowControl/>
        <w:jc w:val="left"/>
        <w:rPr>
          <w:rFonts w:ascii="Times New Roman" w:hAnsi="Times New Roman" w:eastAsia="宋体"/>
          <w:sz w:val="24"/>
          <w:shd w:val="clear" w:color="auto" w:fill="FFFFFF"/>
        </w:rPr>
      </w:pPr>
      <w:r>
        <w:rPr>
          <w:shd w:val="clear" w:color="auto" w:fill="FFFFFF"/>
        </w:rPr>
        <w:br w:type="page"/>
      </w:r>
    </w:p>
    <w:p>
      <w:pPr>
        <w:widowControl/>
        <w:jc w:val="left"/>
        <w:rPr>
          <w:rFonts w:ascii="宋体" w:hAnsi="宋体" w:eastAsia="宋体" w:cs="黑体"/>
          <w:bCs/>
          <w:kern w:val="0"/>
          <w:szCs w:val="21"/>
          <w:shd w:val="clear" w:color="auto" w:fill="FFFFFF"/>
        </w:rPr>
      </w:pPr>
      <w:r>
        <w:rPr>
          <w:rFonts w:hint="eastAsia" w:ascii="宋体" w:hAnsi="宋体" w:eastAsia="宋体" w:cs="黑体"/>
          <w:bCs/>
          <w:kern w:val="0"/>
          <w:szCs w:val="21"/>
          <w:shd w:val="clear" w:color="auto" w:fill="FFFFFF"/>
        </w:rPr>
        <w:t xml:space="preserve">附件1-1 </w:t>
      </w:r>
    </w:p>
    <w:p>
      <w:pPr>
        <w:widowControl/>
        <w:spacing w:line="360" w:lineRule="exact"/>
        <w:jc w:val="center"/>
        <w:rPr>
          <w:rFonts w:ascii="宋体" w:hAnsi="宋体" w:eastAsia="宋体" w:cs="方正小标宋简体"/>
          <w:bCs/>
          <w:szCs w:val="21"/>
        </w:rPr>
      </w:pPr>
      <w:r>
        <w:rPr>
          <w:rFonts w:hint="eastAsia" w:ascii="宋体" w:hAnsi="宋体" w:eastAsia="宋体" w:cs="方正小标宋简体"/>
          <w:bCs/>
          <w:szCs w:val="21"/>
        </w:rPr>
        <w:t>部门整体支出绩效评价基础数据表</w:t>
      </w:r>
    </w:p>
    <w:p>
      <w:pPr>
        <w:widowControl/>
        <w:spacing w:line="360" w:lineRule="exact"/>
        <w:jc w:val="left"/>
        <w:rPr>
          <w:rFonts w:ascii="宋体" w:hAnsi="宋体" w:eastAsia="宋体" w:cs="楷体_GB2312"/>
          <w:bCs/>
          <w:szCs w:val="21"/>
        </w:rPr>
      </w:pPr>
      <w:r>
        <w:rPr>
          <w:rFonts w:hint="eastAsia" w:ascii="宋体" w:hAnsi="宋体" w:eastAsia="宋体" w:cs="仿宋_GB2312"/>
          <w:bCs/>
          <w:szCs w:val="21"/>
        </w:rPr>
        <w:t>填报单位：  怀化市城乡建设事务中心</w:t>
      </w:r>
    </w:p>
    <w:tbl>
      <w:tblPr>
        <w:tblStyle w:val="27"/>
        <w:tblW w:w="92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89"/>
        <w:gridCol w:w="1091"/>
        <w:gridCol w:w="907"/>
        <w:gridCol w:w="1107"/>
        <w:gridCol w:w="1089"/>
        <w:gridCol w:w="950"/>
        <w:gridCol w:w="8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289" w:type="dxa"/>
            <w:vMerge w:val="restart"/>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财政供养人员情况</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编制数</w:t>
            </w: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2023年实际在职人数</w:t>
            </w:r>
          </w:p>
        </w:tc>
        <w:tc>
          <w:tcPr>
            <w:tcW w:w="1795"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控制率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vMerge w:val="continue"/>
            <w:tcBorders>
              <w:tl2br w:val="nil"/>
              <w:tr2bl w:val="nil"/>
            </w:tcBorders>
            <w:vAlign w:val="center"/>
          </w:tcPr>
          <w:p>
            <w:pPr>
              <w:widowControl/>
              <w:spacing w:line="360" w:lineRule="exact"/>
              <w:jc w:val="center"/>
              <w:rPr>
                <w:rFonts w:ascii="宋体" w:hAnsi="宋体" w:eastAsia="宋体" w:cs="楷体_GB2312"/>
                <w:bCs/>
                <w:szCs w:val="21"/>
              </w:rPr>
            </w:pP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38</w:t>
            </w: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40</w:t>
            </w:r>
          </w:p>
        </w:tc>
        <w:tc>
          <w:tcPr>
            <w:tcW w:w="1795" w:type="dxa"/>
            <w:gridSpan w:val="2"/>
            <w:tcBorders>
              <w:tl2br w:val="nil"/>
              <w:tr2bl w:val="nil"/>
            </w:tcBorders>
            <w:vAlign w:val="center"/>
          </w:tcPr>
          <w:p>
            <w:pPr>
              <w:widowControl/>
              <w:spacing w:line="360" w:lineRule="exact"/>
              <w:jc w:val="center"/>
              <w:rPr>
                <w:rFonts w:ascii="宋体" w:hAnsi="宋体" w:eastAsia="宋体" w:cs="仿宋"/>
                <w:bCs/>
                <w:kern w:val="0"/>
                <w:szCs w:val="21"/>
              </w:rPr>
            </w:pPr>
            <w:r>
              <w:rPr>
                <w:rFonts w:hint="eastAsia" w:ascii="宋体" w:hAnsi="宋体" w:eastAsia="宋体" w:cs="楷体_GB2312"/>
                <w:bCs/>
                <w:szCs w:val="21"/>
              </w:rPr>
              <w:t>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经费控制情况</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2022年决算数</w:t>
            </w: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2023年预算数</w:t>
            </w:r>
          </w:p>
        </w:tc>
        <w:tc>
          <w:tcPr>
            <w:tcW w:w="1795"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2023年决算数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tcBorders>
              <w:tl2br w:val="nil"/>
              <w:tr2bl w:val="nil"/>
            </w:tcBorders>
            <w:vAlign w:val="center"/>
          </w:tcPr>
          <w:p>
            <w:pPr>
              <w:widowControl/>
              <w:spacing w:line="360" w:lineRule="exact"/>
              <w:jc w:val="left"/>
              <w:rPr>
                <w:rFonts w:ascii="宋体" w:hAnsi="宋体" w:eastAsia="宋体" w:cs="楷体_GB2312"/>
                <w:bCs/>
                <w:szCs w:val="21"/>
              </w:rPr>
            </w:pPr>
            <w:r>
              <w:rPr>
                <w:rFonts w:hint="eastAsia" w:ascii="宋体" w:hAnsi="宋体" w:eastAsia="宋体" w:cs="楷体_GB2312"/>
                <w:bCs/>
                <w:szCs w:val="21"/>
              </w:rPr>
              <w:t>三公经费</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.11</w:t>
            </w: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1</w:t>
            </w:r>
            <w:r>
              <w:rPr>
                <w:rFonts w:ascii="宋体" w:hAnsi="宋体" w:eastAsia="宋体" w:cs="楷体_GB2312"/>
                <w:bCs/>
                <w:szCs w:val="21"/>
              </w:rPr>
              <w:t>.00</w:t>
            </w:r>
          </w:p>
        </w:tc>
        <w:tc>
          <w:tcPr>
            <w:tcW w:w="1795"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tcBorders>
              <w:tl2br w:val="nil"/>
              <w:tr2bl w:val="nil"/>
            </w:tcBorders>
            <w:vAlign w:val="center"/>
          </w:tcPr>
          <w:p>
            <w:pPr>
              <w:widowControl/>
              <w:spacing w:line="360" w:lineRule="exact"/>
              <w:jc w:val="left"/>
              <w:rPr>
                <w:rFonts w:ascii="宋体" w:hAnsi="宋体" w:eastAsia="宋体" w:cs="楷体_GB2312"/>
                <w:bCs/>
                <w:szCs w:val="21"/>
              </w:rPr>
            </w:pPr>
            <w:r>
              <w:rPr>
                <w:rFonts w:hint="eastAsia" w:ascii="宋体" w:hAnsi="宋体" w:eastAsia="宋体" w:cs="楷体_GB2312"/>
                <w:bCs/>
                <w:szCs w:val="21"/>
              </w:rPr>
              <w:t xml:space="preserve">   1.公务用车购置和维护经费</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c>
          <w:tcPr>
            <w:tcW w:w="1795"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tcBorders>
              <w:tl2br w:val="nil"/>
              <w:tr2bl w:val="nil"/>
            </w:tcBorders>
            <w:vAlign w:val="center"/>
          </w:tcPr>
          <w:p>
            <w:pPr>
              <w:widowControl/>
              <w:spacing w:line="360" w:lineRule="exact"/>
              <w:jc w:val="left"/>
              <w:rPr>
                <w:rFonts w:ascii="宋体" w:hAnsi="宋体" w:eastAsia="宋体" w:cs="楷体_GB2312"/>
                <w:bCs/>
                <w:szCs w:val="21"/>
              </w:rPr>
            </w:pPr>
            <w:r>
              <w:rPr>
                <w:rFonts w:hint="eastAsia" w:ascii="宋体" w:hAnsi="宋体" w:eastAsia="宋体" w:cs="楷体_GB2312"/>
                <w:bCs/>
                <w:szCs w:val="21"/>
              </w:rPr>
              <w:t xml:space="preserve">       其中：公车购置</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c>
          <w:tcPr>
            <w:tcW w:w="1795"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tcBorders>
              <w:tl2br w:val="nil"/>
              <w:tr2bl w:val="nil"/>
            </w:tcBorders>
            <w:vAlign w:val="center"/>
          </w:tcPr>
          <w:p>
            <w:pPr>
              <w:widowControl/>
              <w:spacing w:line="360" w:lineRule="exact"/>
              <w:jc w:val="left"/>
              <w:rPr>
                <w:rFonts w:ascii="宋体" w:hAnsi="宋体" w:eastAsia="宋体" w:cs="楷体_GB2312"/>
                <w:bCs/>
                <w:szCs w:val="21"/>
              </w:rPr>
            </w:pPr>
            <w:r>
              <w:rPr>
                <w:rFonts w:hint="eastAsia" w:ascii="宋体" w:hAnsi="宋体" w:eastAsia="宋体" w:cs="楷体_GB2312"/>
                <w:bCs/>
                <w:szCs w:val="21"/>
              </w:rPr>
              <w:t xml:space="preserve">             公车运行维护</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c>
          <w:tcPr>
            <w:tcW w:w="1795"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tcBorders>
              <w:tl2br w:val="nil"/>
              <w:tr2bl w:val="nil"/>
            </w:tcBorders>
            <w:vAlign w:val="center"/>
          </w:tcPr>
          <w:p>
            <w:pPr>
              <w:widowControl/>
              <w:spacing w:line="360" w:lineRule="exact"/>
              <w:jc w:val="left"/>
              <w:rPr>
                <w:rFonts w:ascii="宋体" w:hAnsi="宋体" w:eastAsia="宋体" w:cs="楷体_GB2312"/>
                <w:bCs/>
                <w:szCs w:val="21"/>
              </w:rPr>
            </w:pPr>
            <w:r>
              <w:rPr>
                <w:rFonts w:hint="eastAsia" w:ascii="宋体" w:hAnsi="宋体" w:eastAsia="宋体" w:cs="楷体_GB2312"/>
                <w:bCs/>
                <w:szCs w:val="21"/>
              </w:rPr>
              <w:t xml:space="preserve">   2.出国经费</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c>
          <w:tcPr>
            <w:tcW w:w="1795"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tcBorders>
              <w:tl2br w:val="nil"/>
              <w:tr2bl w:val="nil"/>
            </w:tcBorders>
            <w:vAlign w:val="center"/>
          </w:tcPr>
          <w:p>
            <w:pPr>
              <w:widowControl/>
              <w:spacing w:line="360" w:lineRule="exact"/>
              <w:jc w:val="left"/>
              <w:rPr>
                <w:rFonts w:ascii="宋体" w:hAnsi="宋体" w:eastAsia="宋体" w:cs="楷体_GB2312"/>
                <w:bCs/>
                <w:szCs w:val="21"/>
              </w:rPr>
            </w:pPr>
            <w:r>
              <w:rPr>
                <w:rFonts w:hint="eastAsia" w:ascii="宋体" w:hAnsi="宋体" w:eastAsia="宋体" w:cs="楷体_GB2312"/>
                <w:bCs/>
                <w:szCs w:val="21"/>
              </w:rPr>
              <w:t xml:space="preserve">   3.公务接待</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.11</w:t>
            </w: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1</w:t>
            </w:r>
            <w:r>
              <w:rPr>
                <w:rFonts w:ascii="宋体" w:hAnsi="宋体" w:eastAsia="宋体" w:cs="楷体_GB2312"/>
                <w:bCs/>
                <w:szCs w:val="21"/>
              </w:rPr>
              <w:t>.00</w:t>
            </w:r>
          </w:p>
        </w:tc>
        <w:tc>
          <w:tcPr>
            <w:tcW w:w="1795"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tcBorders>
              <w:tl2br w:val="nil"/>
              <w:tr2bl w:val="nil"/>
            </w:tcBorders>
            <w:vAlign w:val="center"/>
          </w:tcPr>
          <w:p>
            <w:pPr>
              <w:widowControl/>
              <w:spacing w:line="360" w:lineRule="exact"/>
              <w:jc w:val="left"/>
              <w:rPr>
                <w:rFonts w:ascii="宋体" w:hAnsi="宋体" w:eastAsia="宋体" w:cs="楷体_GB2312"/>
                <w:bCs/>
                <w:szCs w:val="21"/>
              </w:rPr>
            </w:pPr>
            <w:r>
              <w:rPr>
                <w:rFonts w:hint="eastAsia" w:ascii="宋体" w:hAnsi="宋体" w:eastAsia="宋体" w:cs="楷体_GB2312"/>
                <w:bCs/>
                <w:szCs w:val="21"/>
              </w:rPr>
              <w:t>项目支出</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6</w:t>
            </w:r>
            <w:r>
              <w:rPr>
                <w:rFonts w:ascii="宋体" w:hAnsi="宋体" w:eastAsia="宋体" w:cs="楷体_GB2312"/>
                <w:bCs/>
                <w:szCs w:val="21"/>
              </w:rPr>
              <w:t>3.88</w:t>
            </w: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1</w:t>
            </w:r>
            <w:r>
              <w:rPr>
                <w:rFonts w:ascii="宋体" w:hAnsi="宋体" w:eastAsia="宋体" w:cs="楷体_GB2312"/>
                <w:bCs/>
                <w:szCs w:val="21"/>
              </w:rPr>
              <w:t>20.00</w:t>
            </w:r>
          </w:p>
        </w:tc>
        <w:tc>
          <w:tcPr>
            <w:tcW w:w="1795"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2</w:t>
            </w:r>
            <w:r>
              <w:rPr>
                <w:rFonts w:ascii="宋体" w:hAnsi="宋体" w:eastAsia="宋体" w:cs="楷体_GB2312"/>
                <w:bCs/>
                <w:szCs w:val="21"/>
              </w:rPr>
              <w:t>97.87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tcBorders>
              <w:tl2br w:val="nil"/>
              <w:tr2bl w:val="nil"/>
            </w:tcBorders>
            <w:vAlign w:val="center"/>
          </w:tcPr>
          <w:p>
            <w:pPr>
              <w:widowControl/>
              <w:spacing w:line="360" w:lineRule="exact"/>
              <w:ind w:firstLine="420" w:firstLineChars="200"/>
              <w:jc w:val="left"/>
              <w:rPr>
                <w:rFonts w:ascii="宋体" w:hAnsi="宋体" w:eastAsia="宋体" w:cs="楷体_GB2312"/>
                <w:bCs/>
                <w:szCs w:val="21"/>
              </w:rPr>
            </w:pPr>
            <w:r>
              <w:rPr>
                <w:rFonts w:hint="eastAsia" w:ascii="宋体" w:hAnsi="宋体" w:eastAsia="宋体" w:cs="楷体_GB2312"/>
                <w:bCs/>
                <w:szCs w:val="21"/>
              </w:rPr>
              <w:t>1.专项（业务）经费</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8</w:t>
            </w:r>
            <w:r>
              <w:rPr>
                <w:rFonts w:ascii="宋体" w:hAnsi="宋体" w:eastAsia="宋体" w:cs="楷体_GB2312"/>
                <w:bCs/>
                <w:szCs w:val="21"/>
              </w:rPr>
              <w:t>0.00</w:t>
            </w:r>
          </w:p>
        </w:tc>
        <w:tc>
          <w:tcPr>
            <w:tcW w:w="1795"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5</w:t>
            </w:r>
            <w:r>
              <w:rPr>
                <w:rFonts w:ascii="宋体" w:hAnsi="宋体" w:eastAsia="宋体" w:cs="楷体_GB2312"/>
                <w:bCs/>
                <w:szCs w:val="21"/>
              </w:rPr>
              <w:t>8.14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tcBorders>
              <w:tl2br w:val="nil"/>
              <w:tr2bl w:val="nil"/>
            </w:tcBorders>
            <w:vAlign w:val="center"/>
          </w:tcPr>
          <w:p>
            <w:pPr>
              <w:widowControl/>
              <w:spacing w:line="360" w:lineRule="exact"/>
              <w:ind w:firstLine="420" w:firstLineChars="200"/>
              <w:jc w:val="left"/>
              <w:rPr>
                <w:rFonts w:ascii="宋体" w:hAnsi="宋体" w:eastAsia="宋体" w:cs="楷体_GB2312"/>
                <w:bCs/>
                <w:szCs w:val="21"/>
              </w:rPr>
            </w:pPr>
            <w:r>
              <w:rPr>
                <w:rFonts w:hint="eastAsia" w:ascii="宋体" w:hAnsi="宋体" w:eastAsia="宋体" w:cs="楷体_GB2312"/>
                <w:bCs/>
                <w:szCs w:val="21"/>
              </w:rPr>
              <w:t>2.污水处理专项业务费</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c>
          <w:tcPr>
            <w:tcW w:w="1795"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2</w:t>
            </w:r>
            <w:r>
              <w:rPr>
                <w:rFonts w:ascii="宋体" w:hAnsi="宋体" w:eastAsia="宋体" w:cs="楷体_GB2312"/>
                <w:bCs/>
                <w:szCs w:val="21"/>
              </w:rPr>
              <w:t>5.13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tcBorders>
              <w:tl2br w:val="nil"/>
              <w:tr2bl w:val="nil"/>
            </w:tcBorders>
            <w:vAlign w:val="center"/>
          </w:tcPr>
          <w:p>
            <w:pPr>
              <w:widowControl/>
              <w:spacing w:line="360" w:lineRule="exact"/>
              <w:ind w:firstLine="420" w:firstLineChars="200"/>
              <w:jc w:val="left"/>
              <w:rPr>
                <w:rFonts w:ascii="宋体" w:hAnsi="宋体" w:eastAsia="宋体" w:cs="楷体_GB2312"/>
                <w:bCs/>
                <w:szCs w:val="21"/>
              </w:rPr>
            </w:pPr>
            <w:r>
              <w:rPr>
                <w:rFonts w:hint="eastAsia" w:ascii="宋体" w:hAnsi="宋体" w:eastAsia="宋体" w:cs="楷体_GB2312"/>
                <w:bCs/>
                <w:szCs w:val="21"/>
              </w:rPr>
              <w:t>3.城市基础设施配套征收经费</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c>
          <w:tcPr>
            <w:tcW w:w="1795"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3</w:t>
            </w:r>
            <w:r>
              <w:rPr>
                <w:rFonts w:ascii="宋体" w:hAnsi="宋体" w:eastAsia="宋体" w:cs="楷体_GB2312"/>
                <w:bCs/>
                <w:szCs w:val="21"/>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tcBorders>
              <w:tl2br w:val="nil"/>
              <w:tr2bl w:val="nil"/>
            </w:tcBorders>
            <w:vAlign w:val="center"/>
          </w:tcPr>
          <w:p>
            <w:pPr>
              <w:widowControl/>
              <w:spacing w:line="360" w:lineRule="exact"/>
              <w:ind w:firstLine="420" w:firstLineChars="200"/>
              <w:jc w:val="left"/>
              <w:rPr>
                <w:rFonts w:ascii="宋体" w:hAnsi="宋体" w:eastAsia="宋体" w:cs="楷体_GB2312"/>
                <w:bCs/>
                <w:szCs w:val="21"/>
              </w:rPr>
            </w:pPr>
            <w:r>
              <w:rPr>
                <w:rFonts w:hint="eastAsia" w:ascii="宋体" w:hAnsi="宋体" w:eastAsia="宋体" w:cs="楷体_GB2312"/>
                <w:bCs/>
                <w:szCs w:val="21"/>
              </w:rPr>
              <w:t>4.污泥干化处置费</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c>
          <w:tcPr>
            <w:tcW w:w="1795"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7</w:t>
            </w:r>
            <w:r>
              <w:rPr>
                <w:rFonts w:ascii="宋体" w:hAnsi="宋体" w:eastAsia="宋体" w:cs="楷体_GB2312"/>
                <w:bCs/>
                <w:szCs w:val="21"/>
              </w:rPr>
              <w:t>2.81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tcBorders>
              <w:tl2br w:val="nil"/>
              <w:tr2bl w:val="nil"/>
            </w:tcBorders>
            <w:vAlign w:val="center"/>
          </w:tcPr>
          <w:p>
            <w:pPr>
              <w:widowControl/>
              <w:spacing w:line="360" w:lineRule="exact"/>
              <w:ind w:firstLine="420" w:firstLineChars="200"/>
              <w:jc w:val="left"/>
              <w:rPr>
                <w:rFonts w:ascii="宋体" w:hAnsi="宋体" w:eastAsia="宋体" w:cs="楷体_GB2312"/>
                <w:bCs/>
                <w:szCs w:val="21"/>
              </w:rPr>
            </w:pPr>
            <w:r>
              <w:rPr>
                <w:rFonts w:ascii="宋体" w:hAnsi="宋体" w:eastAsia="宋体" w:cs="楷体_GB2312"/>
                <w:bCs/>
                <w:szCs w:val="21"/>
              </w:rPr>
              <w:t>5</w:t>
            </w:r>
            <w:r>
              <w:rPr>
                <w:rFonts w:hint="eastAsia" w:ascii="宋体" w:hAnsi="宋体" w:eastAsia="宋体" w:cs="楷体_GB2312"/>
                <w:bCs/>
                <w:szCs w:val="21"/>
              </w:rPr>
              <w:t>.</w:t>
            </w:r>
            <w:r>
              <w:rPr>
                <w:rFonts w:ascii="宋体" w:hAnsi="宋体" w:eastAsia="宋体" w:cs="楷体_GB2312"/>
                <w:bCs/>
                <w:szCs w:val="21"/>
              </w:rPr>
              <w:t>污水截污干管费用</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c>
          <w:tcPr>
            <w:tcW w:w="1795"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8</w:t>
            </w:r>
            <w:r>
              <w:rPr>
                <w:rFonts w:ascii="宋体" w:hAnsi="宋体" w:eastAsia="宋体" w:cs="楷体_GB2312"/>
                <w:bCs/>
                <w:szCs w:val="21"/>
              </w:rPr>
              <w:t>1.80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tcBorders>
              <w:tl2br w:val="nil"/>
              <w:tr2bl w:val="nil"/>
            </w:tcBorders>
            <w:vAlign w:val="center"/>
          </w:tcPr>
          <w:p>
            <w:pPr>
              <w:widowControl/>
              <w:spacing w:line="360" w:lineRule="exact"/>
              <w:ind w:firstLine="420" w:firstLineChars="200"/>
              <w:jc w:val="left"/>
              <w:rPr>
                <w:rFonts w:ascii="宋体" w:hAnsi="宋体" w:eastAsia="宋体" w:cs="楷体_GB2312"/>
                <w:bCs/>
                <w:szCs w:val="21"/>
              </w:rPr>
            </w:pPr>
            <w:r>
              <w:rPr>
                <w:rFonts w:hint="eastAsia" w:ascii="宋体" w:hAnsi="宋体" w:eastAsia="宋体" w:cs="楷体_GB2312"/>
                <w:bCs/>
                <w:szCs w:val="21"/>
              </w:rPr>
              <w:t>6.</w:t>
            </w:r>
            <w:r>
              <w:rPr>
                <w:rFonts w:ascii="宋体" w:hAnsi="宋体" w:eastAsia="宋体" w:cs="楷体_GB2312"/>
                <w:bCs/>
                <w:szCs w:val="21"/>
              </w:rPr>
              <w:t>鹤城一体化燃气规划专项经费</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4</w:t>
            </w:r>
            <w:r>
              <w:rPr>
                <w:rFonts w:ascii="宋体" w:hAnsi="宋体" w:eastAsia="宋体" w:cs="楷体_GB2312"/>
                <w:bCs/>
                <w:szCs w:val="21"/>
              </w:rPr>
              <w:t>0.00</w:t>
            </w:r>
          </w:p>
        </w:tc>
        <w:tc>
          <w:tcPr>
            <w:tcW w:w="1795"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2</w:t>
            </w:r>
            <w:r>
              <w:rPr>
                <w:rFonts w:ascii="宋体" w:hAnsi="宋体" w:eastAsia="宋体" w:cs="楷体_GB2312"/>
                <w:bCs/>
                <w:szCs w:val="21"/>
              </w:rPr>
              <w:t>7.99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tcBorders>
              <w:tl2br w:val="nil"/>
              <w:tr2bl w:val="nil"/>
            </w:tcBorders>
            <w:vAlign w:val="center"/>
          </w:tcPr>
          <w:p>
            <w:pPr>
              <w:widowControl/>
              <w:spacing w:line="360" w:lineRule="exact"/>
              <w:ind w:firstLine="420" w:firstLineChars="200"/>
              <w:jc w:val="left"/>
              <w:rPr>
                <w:rFonts w:ascii="宋体" w:hAnsi="宋体" w:eastAsia="宋体" w:cs="楷体_GB2312"/>
                <w:bCs/>
                <w:szCs w:val="21"/>
              </w:rPr>
            </w:pPr>
            <w:r>
              <w:rPr>
                <w:rFonts w:hint="eastAsia" w:ascii="宋体" w:hAnsi="宋体" w:eastAsia="宋体" w:cs="楷体_GB2312"/>
                <w:bCs/>
                <w:szCs w:val="21"/>
              </w:rPr>
              <w:t>7.燃气专项整治费</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1</w:t>
            </w:r>
            <w:r>
              <w:rPr>
                <w:rFonts w:ascii="宋体" w:hAnsi="宋体" w:eastAsia="宋体" w:cs="楷体_GB2312"/>
                <w:bCs/>
                <w:szCs w:val="21"/>
              </w:rPr>
              <w:t>9.22</w:t>
            </w: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c>
          <w:tcPr>
            <w:tcW w:w="1795"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tcBorders>
              <w:tl2br w:val="nil"/>
              <w:tr2bl w:val="nil"/>
            </w:tcBorders>
            <w:vAlign w:val="center"/>
          </w:tcPr>
          <w:p>
            <w:pPr>
              <w:widowControl/>
              <w:spacing w:line="360" w:lineRule="exact"/>
              <w:ind w:firstLine="420" w:firstLineChars="200"/>
              <w:jc w:val="left"/>
              <w:rPr>
                <w:rFonts w:ascii="宋体" w:hAnsi="宋体" w:eastAsia="宋体" w:cs="楷体_GB2312"/>
                <w:bCs/>
                <w:szCs w:val="21"/>
              </w:rPr>
            </w:pPr>
            <w:r>
              <w:rPr>
                <w:rFonts w:hint="eastAsia" w:ascii="宋体" w:hAnsi="宋体" w:eastAsia="宋体" w:cs="楷体_GB2312"/>
                <w:bCs/>
                <w:szCs w:val="21"/>
              </w:rPr>
              <w:t>8.《怀化工程造价》刊物编辑发行经费</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3</w:t>
            </w:r>
            <w:r>
              <w:rPr>
                <w:rFonts w:ascii="宋体" w:hAnsi="宋体" w:eastAsia="宋体" w:cs="楷体_GB2312"/>
                <w:bCs/>
                <w:szCs w:val="21"/>
              </w:rPr>
              <w:t>7.51</w:t>
            </w: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c>
          <w:tcPr>
            <w:tcW w:w="1795"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289" w:type="dxa"/>
            <w:tcBorders>
              <w:tl2br w:val="nil"/>
              <w:tr2bl w:val="nil"/>
            </w:tcBorders>
            <w:vAlign w:val="center"/>
          </w:tcPr>
          <w:p>
            <w:pPr>
              <w:widowControl/>
              <w:spacing w:line="360" w:lineRule="exact"/>
              <w:ind w:firstLine="420" w:firstLineChars="200"/>
              <w:jc w:val="left"/>
              <w:rPr>
                <w:rFonts w:ascii="宋体" w:hAnsi="宋体" w:eastAsia="宋体" w:cs="楷体_GB2312"/>
                <w:bCs/>
                <w:szCs w:val="21"/>
              </w:rPr>
            </w:pPr>
            <w:r>
              <w:rPr>
                <w:rFonts w:hint="eastAsia" w:ascii="宋体" w:hAnsi="宋体" w:eastAsia="宋体" w:cs="楷体_GB2312"/>
                <w:bCs/>
                <w:szCs w:val="21"/>
              </w:rPr>
              <w:t>9.市住建领域招投标突出问题专项整治工作经费</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5</w:t>
            </w:r>
            <w:r>
              <w:rPr>
                <w:rFonts w:ascii="宋体" w:hAnsi="宋体" w:eastAsia="宋体" w:cs="楷体_GB2312"/>
                <w:bCs/>
                <w:szCs w:val="21"/>
              </w:rPr>
              <w:t>.15</w:t>
            </w: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c>
          <w:tcPr>
            <w:tcW w:w="1795"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tcBorders>
              <w:tl2br w:val="nil"/>
              <w:tr2bl w:val="nil"/>
            </w:tcBorders>
            <w:vAlign w:val="center"/>
          </w:tcPr>
          <w:p>
            <w:pPr>
              <w:widowControl/>
              <w:spacing w:line="360" w:lineRule="exact"/>
              <w:ind w:firstLine="420" w:firstLineChars="200"/>
              <w:jc w:val="left"/>
              <w:rPr>
                <w:rFonts w:ascii="宋体" w:hAnsi="宋体" w:eastAsia="宋体" w:cs="楷体_GB2312"/>
                <w:bCs/>
                <w:szCs w:val="21"/>
              </w:rPr>
            </w:pPr>
            <w:r>
              <w:rPr>
                <w:rFonts w:hint="eastAsia" w:ascii="宋体" w:hAnsi="宋体" w:eastAsia="宋体" w:cs="楷体_GB2312"/>
                <w:bCs/>
                <w:szCs w:val="21"/>
              </w:rPr>
              <w:t>1</w:t>
            </w:r>
            <w:r>
              <w:rPr>
                <w:rFonts w:ascii="宋体" w:hAnsi="宋体" w:eastAsia="宋体" w:cs="楷体_GB2312"/>
                <w:bCs/>
                <w:szCs w:val="21"/>
              </w:rPr>
              <w:t>0</w:t>
            </w:r>
            <w:r>
              <w:rPr>
                <w:rFonts w:hint="eastAsia" w:ascii="宋体" w:hAnsi="宋体" w:eastAsia="宋体" w:cs="楷体_GB2312"/>
                <w:bCs/>
                <w:szCs w:val="21"/>
              </w:rPr>
              <w:t>.医疗救助补助</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2</w:t>
            </w:r>
            <w:r>
              <w:rPr>
                <w:rFonts w:ascii="宋体" w:hAnsi="宋体" w:eastAsia="宋体" w:cs="楷体_GB2312"/>
                <w:bCs/>
                <w:szCs w:val="21"/>
              </w:rPr>
              <w:t>.00</w:t>
            </w: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c>
          <w:tcPr>
            <w:tcW w:w="1795"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tcBorders>
              <w:tl2br w:val="nil"/>
              <w:tr2bl w:val="nil"/>
            </w:tcBorders>
            <w:vAlign w:val="center"/>
          </w:tcPr>
          <w:p>
            <w:pPr>
              <w:widowControl/>
              <w:spacing w:line="360" w:lineRule="exact"/>
              <w:jc w:val="left"/>
              <w:rPr>
                <w:rFonts w:ascii="宋体" w:hAnsi="宋体" w:eastAsia="宋体" w:cs="楷体_GB2312"/>
                <w:bCs/>
                <w:szCs w:val="21"/>
              </w:rPr>
            </w:pPr>
            <w:r>
              <w:rPr>
                <w:rFonts w:hint="eastAsia" w:ascii="宋体" w:hAnsi="宋体" w:eastAsia="宋体" w:cs="楷体_GB2312"/>
                <w:bCs/>
                <w:szCs w:val="21"/>
              </w:rPr>
              <w:t>公用经费</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1</w:t>
            </w:r>
            <w:r>
              <w:rPr>
                <w:rFonts w:ascii="宋体" w:hAnsi="宋体" w:eastAsia="宋体" w:cs="楷体_GB2312"/>
                <w:bCs/>
                <w:szCs w:val="21"/>
              </w:rPr>
              <w:t>4.87</w:t>
            </w: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4</w:t>
            </w:r>
            <w:r>
              <w:rPr>
                <w:rFonts w:ascii="宋体" w:hAnsi="宋体" w:eastAsia="宋体" w:cs="楷体_GB2312"/>
                <w:bCs/>
                <w:szCs w:val="21"/>
              </w:rPr>
              <w:t>0.50</w:t>
            </w:r>
          </w:p>
        </w:tc>
        <w:tc>
          <w:tcPr>
            <w:tcW w:w="1795"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2</w:t>
            </w:r>
            <w:r>
              <w:rPr>
                <w:rFonts w:ascii="宋体" w:hAnsi="宋体" w:eastAsia="宋体" w:cs="楷体_GB2312"/>
                <w:bCs/>
                <w:szCs w:val="21"/>
              </w:rPr>
              <w:t>1.24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tcBorders>
              <w:tl2br w:val="nil"/>
              <w:tr2bl w:val="nil"/>
            </w:tcBorders>
            <w:vAlign w:val="center"/>
          </w:tcPr>
          <w:p>
            <w:pPr>
              <w:widowControl/>
              <w:spacing w:line="360" w:lineRule="exact"/>
              <w:jc w:val="left"/>
              <w:rPr>
                <w:rFonts w:ascii="宋体" w:hAnsi="宋体" w:eastAsia="宋体" w:cs="楷体_GB2312"/>
                <w:bCs/>
                <w:szCs w:val="21"/>
              </w:rPr>
            </w:pPr>
            <w:r>
              <w:rPr>
                <w:rFonts w:hint="eastAsia" w:ascii="宋体" w:hAnsi="宋体" w:eastAsia="宋体" w:cs="楷体_GB2312"/>
                <w:bCs/>
                <w:szCs w:val="21"/>
              </w:rPr>
              <w:t xml:space="preserve">    其中：办公费</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.79</w:t>
            </w: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1</w:t>
            </w:r>
            <w:r>
              <w:rPr>
                <w:rFonts w:ascii="宋体" w:hAnsi="宋体" w:eastAsia="宋体" w:cs="楷体_GB2312"/>
                <w:bCs/>
                <w:szCs w:val="21"/>
              </w:rPr>
              <w:t>.00</w:t>
            </w:r>
          </w:p>
        </w:tc>
        <w:tc>
          <w:tcPr>
            <w:tcW w:w="1795"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tcBorders>
              <w:tl2br w:val="nil"/>
              <w:tr2bl w:val="nil"/>
            </w:tcBorders>
            <w:vAlign w:val="center"/>
          </w:tcPr>
          <w:p>
            <w:pPr>
              <w:widowControl/>
              <w:spacing w:line="360" w:lineRule="exact"/>
              <w:jc w:val="left"/>
              <w:rPr>
                <w:rFonts w:ascii="宋体" w:hAnsi="宋体" w:eastAsia="宋体" w:cs="楷体_GB2312"/>
                <w:bCs/>
                <w:szCs w:val="21"/>
              </w:rPr>
            </w:pPr>
            <w:r>
              <w:rPr>
                <w:rFonts w:hint="eastAsia" w:ascii="宋体" w:hAnsi="宋体" w:eastAsia="宋体" w:cs="楷体_GB2312"/>
                <w:bCs/>
                <w:szCs w:val="21"/>
              </w:rPr>
              <w:t xml:space="preserve">          水费、电费、差旅费</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.03</w:t>
            </w: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p>
        </w:tc>
        <w:tc>
          <w:tcPr>
            <w:tcW w:w="1795" w:type="dxa"/>
            <w:gridSpan w:val="2"/>
            <w:tcBorders>
              <w:tl2br w:val="nil"/>
              <w:tr2bl w:val="nil"/>
            </w:tcBorders>
            <w:vAlign w:val="center"/>
          </w:tcPr>
          <w:p>
            <w:pPr>
              <w:widowControl/>
              <w:spacing w:line="360" w:lineRule="exact"/>
              <w:jc w:val="center"/>
              <w:rPr>
                <w:rFonts w:ascii="宋体" w:hAnsi="宋体" w:eastAsia="宋体" w:cs="楷体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tcBorders>
              <w:tl2br w:val="nil"/>
              <w:tr2bl w:val="nil"/>
            </w:tcBorders>
            <w:vAlign w:val="center"/>
          </w:tcPr>
          <w:p>
            <w:pPr>
              <w:widowControl/>
              <w:spacing w:line="360" w:lineRule="exact"/>
              <w:jc w:val="left"/>
              <w:rPr>
                <w:rFonts w:ascii="宋体" w:hAnsi="宋体" w:eastAsia="宋体" w:cs="楷体_GB2312"/>
                <w:bCs/>
                <w:szCs w:val="21"/>
              </w:rPr>
            </w:pPr>
            <w:r>
              <w:rPr>
                <w:rFonts w:hint="eastAsia" w:ascii="宋体" w:hAnsi="宋体" w:eastAsia="宋体" w:cs="楷体_GB2312"/>
                <w:bCs/>
                <w:szCs w:val="21"/>
              </w:rPr>
              <w:t xml:space="preserve">          会议费、培训费</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.20</w:t>
            </w: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r>
              <w:rPr>
                <w:rFonts w:ascii="宋体" w:hAnsi="宋体" w:eastAsia="宋体" w:cs="楷体_GB2312"/>
                <w:bCs/>
                <w:szCs w:val="21"/>
              </w:rPr>
              <w:t>.50</w:t>
            </w:r>
          </w:p>
        </w:tc>
        <w:tc>
          <w:tcPr>
            <w:tcW w:w="1795" w:type="dxa"/>
            <w:gridSpan w:val="2"/>
            <w:tcBorders>
              <w:tl2br w:val="nil"/>
              <w:tr2bl w:val="nil"/>
            </w:tcBorders>
            <w:vAlign w:val="center"/>
          </w:tcPr>
          <w:p>
            <w:pPr>
              <w:widowControl/>
              <w:spacing w:line="360" w:lineRule="exact"/>
              <w:jc w:val="center"/>
              <w:rPr>
                <w:rFonts w:ascii="宋体" w:hAnsi="宋体" w:eastAsia="宋体" w:cs="楷体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tcBorders>
              <w:tl2br w:val="nil"/>
              <w:tr2bl w:val="nil"/>
            </w:tcBorders>
            <w:vAlign w:val="center"/>
          </w:tcPr>
          <w:p>
            <w:pPr>
              <w:widowControl/>
              <w:spacing w:line="360" w:lineRule="exact"/>
              <w:jc w:val="left"/>
              <w:rPr>
                <w:rFonts w:ascii="宋体" w:hAnsi="宋体" w:eastAsia="宋体" w:cs="楷体_GB2312"/>
                <w:bCs/>
                <w:szCs w:val="21"/>
              </w:rPr>
            </w:pPr>
            <w:r>
              <w:rPr>
                <w:rFonts w:hint="eastAsia" w:ascii="宋体" w:hAnsi="宋体" w:eastAsia="宋体" w:cs="楷体_GB2312"/>
                <w:bCs/>
                <w:szCs w:val="21"/>
              </w:rPr>
              <w:t>政府采购金额</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2</w:t>
            </w:r>
            <w:r>
              <w:rPr>
                <w:rFonts w:ascii="宋体" w:hAnsi="宋体" w:eastAsia="宋体" w:cs="楷体_GB2312"/>
                <w:bCs/>
                <w:szCs w:val="21"/>
              </w:rPr>
              <w:t>.59</w:t>
            </w:r>
          </w:p>
        </w:tc>
        <w:tc>
          <w:tcPr>
            <w:tcW w:w="1795" w:type="dxa"/>
            <w:gridSpan w:val="2"/>
            <w:tcBorders>
              <w:tl2br w:val="nil"/>
              <w:tr2bl w:val="nil"/>
            </w:tcBorders>
            <w:vAlign w:val="center"/>
          </w:tcPr>
          <w:p>
            <w:pPr>
              <w:widowControl/>
              <w:spacing w:line="360" w:lineRule="exact"/>
              <w:jc w:val="center"/>
              <w:rPr>
                <w:rFonts w:hint="default" w:ascii="宋体" w:hAnsi="宋体" w:eastAsia="宋体" w:cs="楷体_GB2312"/>
                <w:bCs/>
                <w:szCs w:val="21"/>
                <w:lang w:val="en-US" w:eastAsia="zh-CN"/>
              </w:rPr>
            </w:pPr>
            <w:r>
              <w:rPr>
                <w:rFonts w:hint="eastAsia" w:ascii="宋体" w:hAnsi="宋体" w:eastAsia="宋体" w:cs="楷体_GB2312"/>
                <w:bCs/>
                <w:szCs w:val="21"/>
                <w:lang w:val="en-US" w:eastAsia="zh-CN"/>
              </w:rPr>
              <w:t>2.59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tcBorders>
              <w:tl2br w:val="nil"/>
              <w:tr2bl w:val="nil"/>
            </w:tcBorders>
            <w:vAlign w:val="center"/>
          </w:tcPr>
          <w:p>
            <w:pPr>
              <w:widowControl/>
              <w:spacing w:line="360" w:lineRule="exact"/>
              <w:jc w:val="left"/>
              <w:rPr>
                <w:rFonts w:ascii="宋体" w:hAnsi="宋体" w:eastAsia="宋体" w:cs="楷体_GB2312"/>
                <w:bCs/>
                <w:szCs w:val="21"/>
              </w:rPr>
            </w:pPr>
            <w:r>
              <w:rPr>
                <w:rFonts w:hint="eastAsia" w:ascii="宋体" w:hAnsi="宋体" w:eastAsia="宋体" w:cs="楷体_GB2312"/>
                <w:bCs/>
                <w:szCs w:val="21"/>
              </w:rPr>
              <w:t xml:space="preserve">部门基本支出预算调整 </w:t>
            </w:r>
          </w:p>
        </w:tc>
        <w:tc>
          <w:tcPr>
            <w:tcW w:w="1998" w:type="dxa"/>
            <w:gridSpan w:val="2"/>
            <w:tcBorders>
              <w:tl2br w:val="nil"/>
              <w:tr2bl w:val="nil"/>
            </w:tcBorders>
            <w:vAlign w:val="center"/>
          </w:tcPr>
          <w:p>
            <w:pPr>
              <w:widowControl/>
              <w:spacing w:line="360" w:lineRule="exact"/>
              <w:jc w:val="center"/>
              <w:rPr>
                <w:rFonts w:ascii="宋体" w:hAnsi="宋体" w:eastAsia="宋体" w:cs="楷体_GB2312"/>
                <w:bCs/>
                <w:szCs w:val="21"/>
              </w:rPr>
            </w:pPr>
          </w:p>
        </w:tc>
        <w:tc>
          <w:tcPr>
            <w:tcW w:w="219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4</w:t>
            </w:r>
            <w:r>
              <w:rPr>
                <w:rFonts w:ascii="宋体" w:hAnsi="宋体" w:eastAsia="宋体" w:cs="楷体_GB2312"/>
                <w:bCs/>
                <w:szCs w:val="21"/>
              </w:rPr>
              <w:t>48.61</w:t>
            </w:r>
          </w:p>
        </w:tc>
        <w:tc>
          <w:tcPr>
            <w:tcW w:w="1795"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4</w:t>
            </w:r>
            <w:r>
              <w:rPr>
                <w:rFonts w:ascii="宋体" w:hAnsi="宋体" w:eastAsia="宋体" w:cs="楷体_GB2312"/>
                <w:bCs/>
                <w:szCs w:val="21"/>
              </w:rPr>
              <w:t>83.19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289" w:type="dxa"/>
            <w:vMerge w:val="restart"/>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楼堂馆所控制情况</w:t>
            </w:r>
          </w:p>
        </w:tc>
        <w:tc>
          <w:tcPr>
            <w:tcW w:w="1091"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批复规模</w:t>
            </w:r>
          </w:p>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w:t>
            </w:r>
          </w:p>
        </w:tc>
        <w:tc>
          <w:tcPr>
            <w:tcW w:w="907"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实际规模（㎡）</w:t>
            </w:r>
          </w:p>
        </w:tc>
        <w:tc>
          <w:tcPr>
            <w:tcW w:w="1107"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规模控制</w:t>
            </w:r>
          </w:p>
        </w:tc>
        <w:tc>
          <w:tcPr>
            <w:tcW w:w="1089"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预算投资（万元）</w:t>
            </w:r>
          </w:p>
        </w:tc>
        <w:tc>
          <w:tcPr>
            <w:tcW w:w="950"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实际投资（万元）</w:t>
            </w:r>
          </w:p>
        </w:tc>
        <w:tc>
          <w:tcPr>
            <w:tcW w:w="845"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投资概算控制率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289" w:type="dxa"/>
            <w:vMerge w:val="continue"/>
            <w:tcBorders>
              <w:tl2br w:val="nil"/>
              <w:tr2bl w:val="nil"/>
            </w:tcBorders>
            <w:vAlign w:val="center"/>
          </w:tcPr>
          <w:p>
            <w:pPr>
              <w:widowControl/>
              <w:spacing w:line="360" w:lineRule="exact"/>
              <w:jc w:val="center"/>
              <w:rPr>
                <w:rFonts w:ascii="宋体" w:hAnsi="宋体" w:eastAsia="宋体" w:cs="楷体_GB2312"/>
                <w:bCs/>
                <w:szCs w:val="21"/>
              </w:rPr>
            </w:pPr>
          </w:p>
        </w:tc>
        <w:tc>
          <w:tcPr>
            <w:tcW w:w="1091"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p>
        </w:tc>
        <w:tc>
          <w:tcPr>
            <w:tcW w:w="907" w:type="dxa"/>
            <w:tcBorders>
              <w:tl2br w:val="nil"/>
              <w:tr2bl w:val="nil"/>
            </w:tcBorders>
            <w:vAlign w:val="center"/>
          </w:tcPr>
          <w:p>
            <w:pPr>
              <w:widowControl/>
              <w:spacing w:line="360" w:lineRule="exact"/>
              <w:jc w:val="center"/>
              <w:rPr>
                <w:rFonts w:ascii="宋体" w:hAnsi="宋体" w:eastAsia="宋体" w:cs="楷体_GB2312"/>
                <w:bCs/>
                <w:szCs w:val="21"/>
              </w:rPr>
            </w:pPr>
            <w:r>
              <w:rPr>
                <w:rFonts w:ascii="宋体" w:hAnsi="宋体" w:eastAsia="宋体" w:cs="楷体_GB2312"/>
                <w:bCs/>
                <w:szCs w:val="21"/>
              </w:rPr>
              <w:t>0</w:t>
            </w:r>
          </w:p>
        </w:tc>
        <w:tc>
          <w:tcPr>
            <w:tcW w:w="1107"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p>
        </w:tc>
        <w:tc>
          <w:tcPr>
            <w:tcW w:w="1089"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p>
        </w:tc>
        <w:tc>
          <w:tcPr>
            <w:tcW w:w="950"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0</w:t>
            </w:r>
          </w:p>
        </w:tc>
        <w:tc>
          <w:tcPr>
            <w:tcW w:w="845"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1</w:t>
            </w:r>
            <w:r>
              <w:rPr>
                <w:rFonts w:ascii="宋体" w:hAnsi="宋体" w:eastAsia="宋体" w:cs="楷体_GB2312"/>
                <w:bCs/>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289"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厉行节约保障措施</w:t>
            </w:r>
          </w:p>
        </w:tc>
        <w:tc>
          <w:tcPr>
            <w:tcW w:w="5989" w:type="dxa"/>
            <w:gridSpan w:val="6"/>
            <w:tcBorders>
              <w:tl2br w:val="nil"/>
              <w:tr2bl w:val="nil"/>
            </w:tcBorders>
            <w:vAlign w:val="center"/>
          </w:tcPr>
          <w:p>
            <w:pPr>
              <w:widowControl/>
              <w:spacing w:line="360" w:lineRule="exact"/>
              <w:jc w:val="left"/>
              <w:rPr>
                <w:rFonts w:ascii="宋体" w:hAnsi="宋体" w:eastAsia="宋体" w:cs="宋体"/>
                <w:bCs/>
                <w:szCs w:val="21"/>
              </w:rPr>
            </w:pPr>
            <w:r>
              <w:rPr>
                <w:rFonts w:hint="eastAsia" w:ascii="宋体" w:hAnsi="宋体" w:eastAsia="宋体" w:cs="宋体"/>
                <w:bCs/>
                <w:szCs w:val="21"/>
              </w:rPr>
              <w:t>科学合理编制预算，严格执行</w:t>
            </w:r>
            <w:r>
              <w:rPr>
                <w:rFonts w:hint="eastAsia" w:ascii="宋体" w:hAnsi="宋体" w:eastAsia="宋体" w:cs="楷体_GB2312"/>
                <w:bCs/>
                <w:szCs w:val="21"/>
              </w:rPr>
              <w:t>　</w:t>
            </w:r>
            <w:r>
              <w:rPr>
                <w:rFonts w:hint="eastAsia" w:ascii="宋体" w:hAnsi="宋体" w:eastAsia="宋体" w:cs="宋体"/>
                <w:bCs/>
                <w:szCs w:val="21"/>
              </w:rPr>
              <w:t>《财务管理制度》、《专项资金管理办法》。</w:t>
            </w:r>
          </w:p>
        </w:tc>
      </w:tr>
    </w:tbl>
    <w:p>
      <w:pPr>
        <w:widowControl/>
        <w:spacing w:line="360" w:lineRule="exact"/>
        <w:jc w:val="left"/>
        <w:rPr>
          <w:rFonts w:ascii="宋体" w:hAnsi="宋体" w:eastAsia="宋体" w:cs="楷体_GB2312"/>
          <w:bCs/>
          <w:szCs w:val="21"/>
        </w:rPr>
      </w:pPr>
      <w:r>
        <w:rPr>
          <w:rFonts w:ascii="宋体" w:hAnsi="宋体" w:eastAsia="宋体" w:cs="楷体_GB2312"/>
          <w:bCs/>
          <w:szCs w:val="21"/>
        </w:rPr>
        <w:t>填表人：</w:t>
      </w:r>
      <w:r>
        <w:rPr>
          <w:rFonts w:hint="eastAsia" w:ascii="宋体" w:hAnsi="宋体" w:eastAsia="宋体" w:cs="楷体_GB2312"/>
          <w:bCs/>
          <w:szCs w:val="21"/>
        </w:rPr>
        <w:t xml:space="preserve">陈丽娟   </w:t>
      </w:r>
      <w:r>
        <w:rPr>
          <w:rFonts w:ascii="宋体" w:hAnsi="宋体" w:eastAsia="宋体" w:cs="楷体_GB2312"/>
          <w:bCs/>
          <w:szCs w:val="21"/>
        </w:rPr>
        <w:t xml:space="preserve">     填报日期：</w:t>
      </w:r>
      <w:r>
        <w:rPr>
          <w:rFonts w:hint="eastAsia" w:ascii="宋体" w:hAnsi="宋体" w:eastAsia="宋体" w:cs="楷体_GB2312"/>
          <w:bCs/>
          <w:szCs w:val="21"/>
        </w:rPr>
        <w:t xml:space="preserve"> </w:t>
      </w:r>
      <w:r>
        <w:rPr>
          <w:rFonts w:ascii="宋体" w:hAnsi="宋体" w:eastAsia="宋体" w:cs="楷体_GB2312"/>
          <w:bCs/>
          <w:szCs w:val="21"/>
        </w:rPr>
        <w:t>2024</w:t>
      </w:r>
      <w:r>
        <w:rPr>
          <w:rFonts w:hint="eastAsia" w:ascii="宋体" w:hAnsi="宋体" w:eastAsia="宋体" w:cs="楷体_GB2312"/>
          <w:bCs/>
          <w:szCs w:val="21"/>
        </w:rPr>
        <w:t xml:space="preserve">年6月6日    </w:t>
      </w:r>
      <w:r>
        <w:rPr>
          <w:rFonts w:ascii="宋体" w:hAnsi="宋体" w:eastAsia="宋体" w:cs="楷体_GB2312"/>
          <w:bCs/>
          <w:szCs w:val="21"/>
        </w:rPr>
        <w:t xml:space="preserve">    联系电话：</w:t>
      </w:r>
      <w:r>
        <w:rPr>
          <w:rFonts w:hint="eastAsia" w:ascii="宋体" w:hAnsi="宋体" w:eastAsia="宋体" w:cs="楷体_GB2312"/>
          <w:bCs/>
          <w:szCs w:val="21"/>
        </w:rPr>
        <w:t xml:space="preserve"> </w:t>
      </w:r>
      <w:r>
        <w:rPr>
          <w:rFonts w:ascii="宋体" w:hAnsi="宋体" w:eastAsia="宋体" w:cs="楷体_GB2312"/>
          <w:bCs/>
          <w:szCs w:val="21"/>
        </w:rPr>
        <w:t>19974589993</w:t>
      </w:r>
    </w:p>
    <w:p>
      <w:pPr>
        <w:widowControl/>
        <w:spacing w:line="360" w:lineRule="exact"/>
        <w:jc w:val="left"/>
        <w:rPr>
          <w:rFonts w:ascii="宋体" w:hAnsi="宋体" w:eastAsia="宋体" w:cs="楷体_GB2312"/>
          <w:bCs/>
          <w:szCs w:val="21"/>
        </w:rPr>
      </w:pPr>
      <w:r>
        <w:rPr>
          <w:rFonts w:ascii="宋体" w:hAnsi="宋体" w:eastAsia="宋体" w:cs="楷体_GB2312"/>
          <w:bCs/>
          <w:szCs w:val="21"/>
        </w:rPr>
        <w:br w:type="page"/>
      </w:r>
    </w:p>
    <w:p>
      <w:pPr>
        <w:widowControl/>
        <w:spacing w:beforeAutospacing="1" w:afterAutospacing="1" w:line="360" w:lineRule="exact"/>
        <w:jc w:val="left"/>
        <w:rPr>
          <w:rFonts w:ascii="宋体" w:hAnsi="宋体" w:eastAsia="宋体" w:cs="黑体"/>
          <w:bCs/>
          <w:kern w:val="0"/>
          <w:szCs w:val="21"/>
          <w:shd w:val="clear" w:color="auto" w:fill="FFFFFF"/>
        </w:rPr>
      </w:pPr>
      <w:r>
        <w:rPr>
          <w:rFonts w:hint="eastAsia" w:ascii="宋体" w:hAnsi="宋体" w:eastAsia="宋体" w:cs="黑体"/>
          <w:bCs/>
          <w:kern w:val="0"/>
          <w:szCs w:val="21"/>
          <w:shd w:val="clear" w:color="auto" w:fill="FFFFFF"/>
        </w:rPr>
        <w:t>附件1-2</w:t>
      </w:r>
    </w:p>
    <w:p>
      <w:pPr>
        <w:widowControl/>
        <w:spacing w:line="360" w:lineRule="exact"/>
        <w:jc w:val="center"/>
        <w:rPr>
          <w:rFonts w:ascii="宋体" w:hAnsi="宋体" w:eastAsia="宋体" w:cs="楷体_GB2312"/>
          <w:bCs/>
          <w:szCs w:val="21"/>
        </w:rPr>
      </w:pPr>
      <w:r>
        <w:rPr>
          <w:rFonts w:hint="eastAsia" w:ascii="宋体" w:hAnsi="宋体" w:eastAsia="宋体" w:cs="方正小标宋简体"/>
          <w:bCs/>
          <w:szCs w:val="21"/>
        </w:rPr>
        <w:t>整体支出绩效自评表</w:t>
      </w:r>
    </w:p>
    <w:tbl>
      <w:tblPr>
        <w:tblStyle w:val="27"/>
        <w:tblW w:w="92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297"/>
        <w:gridCol w:w="922"/>
        <w:gridCol w:w="1073"/>
        <w:gridCol w:w="984"/>
        <w:gridCol w:w="88"/>
        <w:gridCol w:w="1172"/>
        <w:gridCol w:w="1030"/>
        <w:gridCol w:w="774"/>
        <w:gridCol w:w="644"/>
        <w:gridCol w:w="102"/>
        <w:gridCol w:w="11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40"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预算单位名称</w:t>
            </w:r>
          </w:p>
        </w:tc>
        <w:tc>
          <w:tcPr>
            <w:tcW w:w="7922" w:type="dxa"/>
            <w:gridSpan w:val="10"/>
            <w:tcBorders>
              <w:tl2br w:val="nil"/>
              <w:tr2bl w:val="nil"/>
            </w:tcBorders>
            <w:vAlign w:val="center"/>
          </w:tcPr>
          <w:p>
            <w:pPr>
              <w:widowControl/>
              <w:spacing w:line="360" w:lineRule="exact"/>
              <w:jc w:val="center"/>
              <w:rPr>
                <w:rFonts w:ascii="宋体" w:hAnsi="宋体" w:eastAsia="宋体" w:cs="仿宋"/>
                <w:bCs/>
                <w:color w:val="000000"/>
                <w:szCs w:val="21"/>
              </w:rPr>
            </w:pPr>
            <w:r>
              <w:rPr>
                <w:rFonts w:hint="eastAsia" w:ascii="宋体" w:hAnsi="宋体" w:eastAsia="宋体" w:cs="楷体_GB2312"/>
                <w:bCs/>
                <w:szCs w:val="21"/>
              </w:rPr>
              <w:t>怀化市城乡建设事务中心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40" w:type="dxa"/>
            <w:gridSpan w:val="2"/>
            <w:vMerge w:val="restart"/>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年度预</w:t>
            </w:r>
          </w:p>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算申请</w:t>
            </w:r>
          </w:p>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（万元）</w:t>
            </w:r>
          </w:p>
        </w:tc>
        <w:tc>
          <w:tcPr>
            <w:tcW w:w="1995" w:type="dxa"/>
            <w:gridSpan w:val="2"/>
            <w:tcBorders>
              <w:tl2br w:val="nil"/>
              <w:tr2bl w:val="nil"/>
            </w:tcBorders>
            <w:vAlign w:val="center"/>
          </w:tcPr>
          <w:p>
            <w:pPr>
              <w:widowControl/>
              <w:spacing w:line="360" w:lineRule="exact"/>
              <w:jc w:val="center"/>
              <w:rPr>
                <w:rFonts w:ascii="宋体" w:hAnsi="宋体" w:eastAsia="宋体" w:cs="楷体_GB2312"/>
                <w:bCs/>
                <w:szCs w:val="21"/>
              </w:rPr>
            </w:pPr>
          </w:p>
        </w:tc>
        <w:tc>
          <w:tcPr>
            <w:tcW w:w="984"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年  初</w:t>
            </w:r>
          </w:p>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预算数</w:t>
            </w:r>
          </w:p>
        </w:tc>
        <w:tc>
          <w:tcPr>
            <w:tcW w:w="1260"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全年预算数</w:t>
            </w:r>
          </w:p>
        </w:tc>
        <w:tc>
          <w:tcPr>
            <w:tcW w:w="1030"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全年</w:t>
            </w:r>
          </w:p>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执行数</w:t>
            </w:r>
          </w:p>
        </w:tc>
        <w:tc>
          <w:tcPr>
            <w:tcW w:w="774"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分值</w:t>
            </w:r>
          </w:p>
        </w:tc>
        <w:tc>
          <w:tcPr>
            <w:tcW w:w="74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执行率</w:t>
            </w:r>
          </w:p>
        </w:tc>
        <w:tc>
          <w:tcPr>
            <w:tcW w:w="1133"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40" w:type="dxa"/>
            <w:gridSpan w:val="2"/>
            <w:vMerge w:val="continue"/>
            <w:tcBorders>
              <w:tl2br w:val="nil"/>
              <w:tr2bl w:val="nil"/>
            </w:tcBorders>
            <w:vAlign w:val="center"/>
          </w:tcPr>
          <w:p>
            <w:pPr>
              <w:widowControl/>
              <w:spacing w:line="360" w:lineRule="exact"/>
              <w:jc w:val="left"/>
              <w:rPr>
                <w:rFonts w:ascii="宋体" w:hAnsi="宋体" w:eastAsia="宋体" w:cs="楷体_GB2312"/>
                <w:bCs/>
                <w:szCs w:val="21"/>
              </w:rPr>
            </w:pPr>
          </w:p>
        </w:tc>
        <w:tc>
          <w:tcPr>
            <w:tcW w:w="1995"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年度资金总额</w:t>
            </w:r>
          </w:p>
        </w:tc>
        <w:tc>
          <w:tcPr>
            <w:tcW w:w="984"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5</w:t>
            </w:r>
            <w:r>
              <w:rPr>
                <w:rFonts w:ascii="宋体" w:hAnsi="宋体" w:eastAsia="宋体" w:cs="楷体_GB2312"/>
                <w:bCs/>
                <w:szCs w:val="21"/>
              </w:rPr>
              <w:t>68.61</w:t>
            </w:r>
          </w:p>
        </w:tc>
        <w:tc>
          <w:tcPr>
            <w:tcW w:w="1260"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7</w:t>
            </w:r>
            <w:r>
              <w:rPr>
                <w:rFonts w:ascii="宋体" w:hAnsi="宋体" w:eastAsia="宋体" w:cs="楷体_GB2312"/>
                <w:bCs/>
                <w:szCs w:val="21"/>
              </w:rPr>
              <w:t>81.06</w:t>
            </w:r>
          </w:p>
        </w:tc>
        <w:tc>
          <w:tcPr>
            <w:tcW w:w="1030"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7</w:t>
            </w:r>
            <w:r>
              <w:rPr>
                <w:rFonts w:ascii="宋体" w:hAnsi="宋体" w:eastAsia="宋体" w:cs="楷体_GB2312"/>
                <w:bCs/>
                <w:szCs w:val="21"/>
              </w:rPr>
              <w:t>81.06</w:t>
            </w:r>
          </w:p>
        </w:tc>
        <w:tc>
          <w:tcPr>
            <w:tcW w:w="774"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10</w:t>
            </w:r>
          </w:p>
        </w:tc>
        <w:tc>
          <w:tcPr>
            <w:tcW w:w="746"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1</w:t>
            </w:r>
            <w:r>
              <w:rPr>
                <w:rFonts w:ascii="宋体" w:hAnsi="宋体" w:eastAsia="宋体" w:cs="楷体_GB2312"/>
                <w:bCs/>
                <w:szCs w:val="21"/>
              </w:rPr>
              <w:t>00%</w:t>
            </w:r>
          </w:p>
        </w:tc>
        <w:tc>
          <w:tcPr>
            <w:tcW w:w="1133"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1</w:t>
            </w:r>
            <w:r>
              <w:rPr>
                <w:rFonts w:ascii="宋体" w:hAnsi="宋体" w:eastAsia="宋体" w:cs="楷体_GB2312"/>
                <w:bCs/>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0" w:type="dxa"/>
            <w:gridSpan w:val="2"/>
            <w:vMerge w:val="continue"/>
            <w:tcBorders>
              <w:tl2br w:val="nil"/>
              <w:tr2bl w:val="nil"/>
            </w:tcBorders>
            <w:vAlign w:val="center"/>
          </w:tcPr>
          <w:p>
            <w:pPr>
              <w:widowControl/>
              <w:spacing w:line="360" w:lineRule="exact"/>
              <w:jc w:val="left"/>
              <w:rPr>
                <w:rFonts w:ascii="宋体" w:hAnsi="宋体" w:eastAsia="宋体" w:cs="楷体_GB2312"/>
                <w:bCs/>
                <w:szCs w:val="21"/>
              </w:rPr>
            </w:pPr>
          </w:p>
        </w:tc>
        <w:tc>
          <w:tcPr>
            <w:tcW w:w="4239" w:type="dxa"/>
            <w:gridSpan w:val="5"/>
            <w:tcBorders>
              <w:tl2br w:val="nil"/>
              <w:tr2bl w:val="nil"/>
            </w:tcBorders>
            <w:vAlign w:val="center"/>
          </w:tcPr>
          <w:p>
            <w:pPr>
              <w:widowControl/>
              <w:spacing w:line="360" w:lineRule="exact"/>
              <w:jc w:val="left"/>
              <w:rPr>
                <w:rFonts w:ascii="宋体" w:hAnsi="宋体" w:eastAsia="宋体" w:cs="楷体_GB2312"/>
                <w:bCs/>
                <w:szCs w:val="21"/>
              </w:rPr>
            </w:pPr>
            <w:r>
              <w:rPr>
                <w:rFonts w:hint="eastAsia" w:ascii="宋体" w:hAnsi="宋体" w:eastAsia="宋体" w:cs="楷体_GB2312"/>
                <w:bCs/>
                <w:szCs w:val="21"/>
              </w:rPr>
              <w:t>按收入性质分：7</w:t>
            </w:r>
            <w:r>
              <w:rPr>
                <w:rFonts w:ascii="宋体" w:hAnsi="宋体" w:eastAsia="宋体" w:cs="楷体_GB2312"/>
                <w:bCs/>
                <w:szCs w:val="21"/>
              </w:rPr>
              <w:t>81.06</w:t>
            </w:r>
          </w:p>
        </w:tc>
        <w:tc>
          <w:tcPr>
            <w:tcW w:w="3683" w:type="dxa"/>
            <w:gridSpan w:val="5"/>
            <w:tcBorders>
              <w:tl2br w:val="nil"/>
              <w:tr2bl w:val="nil"/>
            </w:tcBorders>
            <w:vAlign w:val="center"/>
          </w:tcPr>
          <w:p>
            <w:pPr>
              <w:widowControl/>
              <w:spacing w:line="360" w:lineRule="exact"/>
              <w:jc w:val="left"/>
              <w:rPr>
                <w:rFonts w:ascii="宋体" w:hAnsi="宋体" w:eastAsia="宋体" w:cs="楷体_GB2312"/>
                <w:bCs/>
                <w:szCs w:val="21"/>
              </w:rPr>
            </w:pPr>
            <w:r>
              <w:rPr>
                <w:rFonts w:hint="eastAsia" w:ascii="宋体" w:hAnsi="宋体" w:eastAsia="宋体" w:cs="楷体_GB2312"/>
                <w:bCs/>
                <w:szCs w:val="21"/>
              </w:rPr>
              <w:t>按支出性质分：7</w:t>
            </w:r>
            <w:r>
              <w:rPr>
                <w:rFonts w:ascii="宋体" w:hAnsi="宋体" w:eastAsia="宋体" w:cs="楷体_GB2312"/>
                <w:bCs/>
                <w:szCs w:val="21"/>
              </w:rPr>
              <w:t>81.06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0" w:type="dxa"/>
            <w:gridSpan w:val="2"/>
            <w:vMerge w:val="continue"/>
            <w:tcBorders>
              <w:tl2br w:val="nil"/>
              <w:tr2bl w:val="nil"/>
            </w:tcBorders>
            <w:vAlign w:val="center"/>
          </w:tcPr>
          <w:p>
            <w:pPr>
              <w:widowControl/>
              <w:spacing w:line="360" w:lineRule="exact"/>
              <w:jc w:val="left"/>
              <w:rPr>
                <w:rFonts w:ascii="宋体" w:hAnsi="宋体" w:eastAsia="宋体" w:cs="楷体_GB2312"/>
                <w:bCs/>
                <w:szCs w:val="21"/>
              </w:rPr>
            </w:pPr>
          </w:p>
        </w:tc>
        <w:tc>
          <w:tcPr>
            <w:tcW w:w="4239" w:type="dxa"/>
            <w:gridSpan w:val="5"/>
            <w:tcBorders>
              <w:tl2br w:val="nil"/>
              <w:tr2bl w:val="nil"/>
            </w:tcBorders>
            <w:vAlign w:val="center"/>
          </w:tcPr>
          <w:p>
            <w:pPr>
              <w:widowControl/>
              <w:spacing w:line="360" w:lineRule="exact"/>
              <w:jc w:val="left"/>
              <w:rPr>
                <w:rFonts w:ascii="宋体" w:hAnsi="宋体" w:eastAsia="宋体" w:cs="楷体_GB2312"/>
                <w:bCs/>
                <w:szCs w:val="21"/>
              </w:rPr>
            </w:pPr>
            <w:r>
              <w:rPr>
                <w:rFonts w:hint="eastAsia" w:ascii="宋体" w:hAnsi="宋体" w:eastAsia="宋体" w:cs="楷体_GB2312"/>
                <w:bCs/>
                <w:szCs w:val="21"/>
              </w:rPr>
              <w:t xml:space="preserve">  其中：一般公共预算：6</w:t>
            </w:r>
            <w:r>
              <w:rPr>
                <w:rFonts w:ascii="宋体" w:hAnsi="宋体" w:eastAsia="宋体" w:cs="楷体_GB2312"/>
                <w:bCs/>
                <w:szCs w:val="21"/>
              </w:rPr>
              <w:t>75.92</w:t>
            </w:r>
          </w:p>
        </w:tc>
        <w:tc>
          <w:tcPr>
            <w:tcW w:w="3683" w:type="dxa"/>
            <w:gridSpan w:val="5"/>
            <w:tcBorders>
              <w:tl2br w:val="nil"/>
              <w:tr2bl w:val="nil"/>
            </w:tcBorders>
            <w:vAlign w:val="center"/>
          </w:tcPr>
          <w:p>
            <w:pPr>
              <w:widowControl/>
              <w:spacing w:line="360" w:lineRule="exact"/>
              <w:ind w:firstLine="210" w:firstLineChars="100"/>
              <w:jc w:val="left"/>
              <w:rPr>
                <w:rFonts w:ascii="宋体" w:hAnsi="宋体" w:eastAsia="宋体" w:cs="楷体_GB2312"/>
                <w:bCs/>
                <w:szCs w:val="21"/>
              </w:rPr>
            </w:pPr>
            <w:r>
              <w:rPr>
                <w:rFonts w:hint="eastAsia" w:ascii="宋体" w:hAnsi="宋体" w:eastAsia="宋体" w:cs="楷体_GB2312"/>
                <w:bCs/>
                <w:szCs w:val="21"/>
              </w:rPr>
              <w:t>其中：基本支出：4</w:t>
            </w:r>
            <w:r>
              <w:rPr>
                <w:rFonts w:ascii="宋体" w:hAnsi="宋体" w:eastAsia="宋体" w:cs="楷体_GB2312"/>
                <w:bCs/>
                <w:szCs w:val="21"/>
              </w:rPr>
              <w:t>83.19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0" w:type="dxa"/>
            <w:gridSpan w:val="2"/>
            <w:vMerge w:val="continue"/>
            <w:tcBorders>
              <w:tl2br w:val="nil"/>
              <w:tr2bl w:val="nil"/>
            </w:tcBorders>
            <w:vAlign w:val="center"/>
          </w:tcPr>
          <w:p>
            <w:pPr>
              <w:widowControl/>
              <w:spacing w:line="360" w:lineRule="exact"/>
              <w:jc w:val="left"/>
              <w:rPr>
                <w:rFonts w:ascii="宋体" w:hAnsi="宋体" w:eastAsia="宋体" w:cs="楷体_GB2312"/>
                <w:bCs/>
                <w:szCs w:val="21"/>
              </w:rPr>
            </w:pPr>
          </w:p>
        </w:tc>
        <w:tc>
          <w:tcPr>
            <w:tcW w:w="4239" w:type="dxa"/>
            <w:gridSpan w:val="5"/>
            <w:tcBorders>
              <w:tl2br w:val="nil"/>
              <w:tr2bl w:val="nil"/>
            </w:tcBorders>
            <w:vAlign w:val="center"/>
          </w:tcPr>
          <w:p>
            <w:pPr>
              <w:widowControl/>
              <w:spacing w:line="360" w:lineRule="exact"/>
              <w:jc w:val="left"/>
              <w:rPr>
                <w:rFonts w:ascii="宋体" w:hAnsi="宋体" w:eastAsia="宋体" w:cs="楷体_GB2312"/>
                <w:bCs/>
                <w:szCs w:val="21"/>
              </w:rPr>
            </w:pPr>
            <w:r>
              <w:rPr>
                <w:rFonts w:hint="eastAsia" w:ascii="宋体" w:hAnsi="宋体" w:eastAsia="宋体" w:cs="楷体_GB2312"/>
                <w:bCs/>
                <w:szCs w:val="21"/>
              </w:rPr>
              <w:t>政府性基金拨款：1</w:t>
            </w:r>
            <w:r>
              <w:rPr>
                <w:rFonts w:ascii="宋体" w:hAnsi="宋体" w:eastAsia="宋体" w:cs="楷体_GB2312"/>
                <w:bCs/>
                <w:szCs w:val="21"/>
              </w:rPr>
              <w:t>04.81</w:t>
            </w:r>
          </w:p>
        </w:tc>
        <w:tc>
          <w:tcPr>
            <w:tcW w:w="3683" w:type="dxa"/>
            <w:gridSpan w:val="5"/>
            <w:tcBorders>
              <w:tl2br w:val="nil"/>
              <w:tr2bl w:val="nil"/>
            </w:tcBorders>
            <w:vAlign w:val="center"/>
          </w:tcPr>
          <w:p>
            <w:pPr>
              <w:widowControl/>
              <w:spacing w:line="360" w:lineRule="exact"/>
              <w:jc w:val="left"/>
              <w:rPr>
                <w:rFonts w:ascii="宋体" w:hAnsi="宋体" w:eastAsia="宋体" w:cs="楷体_GB2312"/>
                <w:bCs/>
                <w:szCs w:val="21"/>
              </w:rPr>
            </w:pPr>
            <w:r>
              <w:rPr>
                <w:rFonts w:hint="eastAsia" w:ascii="宋体" w:hAnsi="宋体" w:eastAsia="宋体" w:cs="楷体_GB2312"/>
                <w:bCs/>
                <w:szCs w:val="21"/>
              </w:rPr>
              <w:t>项目支出：2</w:t>
            </w:r>
            <w:r>
              <w:rPr>
                <w:rFonts w:ascii="宋体" w:hAnsi="宋体" w:eastAsia="宋体" w:cs="楷体_GB2312"/>
                <w:bCs/>
                <w:szCs w:val="21"/>
              </w:rPr>
              <w:t>97.87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0" w:type="dxa"/>
            <w:gridSpan w:val="2"/>
            <w:vMerge w:val="continue"/>
            <w:tcBorders>
              <w:tl2br w:val="nil"/>
              <w:tr2bl w:val="nil"/>
            </w:tcBorders>
            <w:vAlign w:val="center"/>
          </w:tcPr>
          <w:p>
            <w:pPr>
              <w:widowControl/>
              <w:spacing w:line="360" w:lineRule="exact"/>
              <w:jc w:val="left"/>
              <w:rPr>
                <w:rFonts w:ascii="宋体" w:hAnsi="宋体" w:eastAsia="宋体" w:cs="楷体_GB2312"/>
                <w:bCs/>
                <w:szCs w:val="21"/>
              </w:rPr>
            </w:pPr>
          </w:p>
        </w:tc>
        <w:tc>
          <w:tcPr>
            <w:tcW w:w="4239" w:type="dxa"/>
            <w:gridSpan w:val="5"/>
            <w:tcBorders>
              <w:tl2br w:val="nil"/>
              <w:tr2bl w:val="nil"/>
            </w:tcBorders>
            <w:vAlign w:val="center"/>
          </w:tcPr>
          <w:p>
            <w:pPr>
              <w:widowControl/>
              <w:spacing w:line="360" w:lineRule="exact"/>
              <w:jc w:val="left"/>
              <w:rPr>
                <w:rFonts w:ascii="宋体" w:hAnsi="宋体" w:eastAsia="宋体" w:cs="楷体_GB2312"/>
                <w:bCs/>
                <w:szCs w:val="21"/>
              </w:rPr>
            </w:pPr>
            <w:r>
              <w:rPr>
                <w:rFonts w:hint="eastAsia" w:ascii="宋体" w:hAnsi="宋体" w:eastAsia="宋体" w:cs="楷体_GB2312"/>
                <w:bCs/>
                <w:szCs w:val="21"/>
              </w:rPr>
              <w:t>纳入专户管理的非税收入拨款：</w:t>
            </w:r>
          </w:p>
        </w:tc>
        <w:tc>
          <w:tcPr>
            <w:tcW w:w="3683" w:type="dxa"/>
            <w:gridSpan w:val="5"/>
            <w:tcBorders>
              <w:tl2br w:val="nil"/>
              <w:tr2bl w:val="nil"/>
            </w:tcBorders>
            <w:vAlign w:val="center"/>
          </w:tcPr>
          <w:p>
            <w:pPr>
              <w:widowControl/>
              <w:spacing w:line="360" w:lineRule="exact"/>
              <w:jc w:val="left"/>
              <w:rPr>
                <w:rFonts w:ascii="宋体" w:hAnsi="宋体" w:eastAsia="宋体" w:cs="楷体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40" w:type="dxa"/>
            <w:gridSpan w:val="2"/>
            <w:vMerge w:val="continue"/>
            <w:tcBorders>
              <w:tl2br w:val="nil"/>
              <w:tr2bl w:val="nil"/>
            </w:tcBorders>
            <w:vAlign w:val="center"/>
          </w:tcPr>
          <w:p>
            <w:pPr>
              <w:widowControl/>
              <w:spacing w:line="360" w:lineRule="exact"/>
              <w:jc w:val="left"/>
              <w:rPr>
                <w:rFonts w:ascii="宋体" w:hAnsi="宋体" w:eastAsia="宋体" w:cs="楷体_GB2312"/>
                <w:bCs/>
                <w:szCs w:val="21"/>
              </w:rPr>
            </w:pPr>
          </w:p>
        </w:tc>
        <w:tc>
          <w:tcPr>
            <w:tcW w:w="4239" w:type="dxa"/>
            <w:gridSpan w:val="5"/>
            <w:tcBorders>
              <w:tl2br w:val="nil"/>
              <w:tr2bl w:val="nil"/>
            </w:tcBorders>
            <w:vAlign w:val="center"/>
          </w:tcPr>
          <w:p>
            <w:pPr>
              <w:widowControl/>
              <w:spacing w:line="360" w:lineRule="exact"/>
              <w:jc w:val="left"/>
              <w:rPr>
                <w:rFonts w:ascii="宋体" w:hAnsi="宋体" w:eastAsia="宋体" w:cs="楷体_GB2312"/>
                <w:bCs/>
                <w:szCs w:val="21"/>
              </w:rPr>
            </w:pPr>
            <w:r>
              <w:rPr>
                <w:rFonts w:hint="eastAsia" w:ascii="宋体" w:hAnsi="宋体" w:eastAsia="宋体" w:cs="楷体_GB2312"/>
                <w:bCs/>
                <w:szCs w:val="21"/>
              </w:rPr>
              <w:t>其他资金：</w:t>
            </w:r>
            <w:r>
              <w:rPr>
                <w:rFonts w:ascii="宋体" w:hAnsi="宋体" w:eastAsia="宋体" w:cs="楷体_GB2312"/>
                <w:bCs/>
                <w:szCs w:val="21"/>
              </w:rPr>
              <w:t>0.33</w:t>
            </w:r>
          </w:p>
        </w:tc>
        <w:tc>
          <w:tcPr>
            <w:tcW w:w="3683" w:type="dxa"/>
            <w:gridSpan w:val="5"/>
            <w:tcBorders>
              <w:tl2br w:val="nil"/>
              <w:tr2bl w:val="nil"/>
            </w:tcBorders>
            <w:vAlign w:val="center"/>
          </w:tcPr>
          <w:p>
            <w:pPr>
              <w:widowControl/>
              <w:spacing w:line="360" w:lineRule="exact"/>
              <w:jc w:val="left"/>
              <w:rPr>
                <w:rFonts w:ascii="宋体" w:hAnsi="宋体" w:eastAsia="宋体" w:cs="楷体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0" w:type="dxa"/>
            <w:gridSpan w:val="2"/>
            <w:vMerge w:val="restart"/>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年度总体目标</w:t>
            </w:r>
          </w:p>
        </w:tc>
        <w:tc>
          <w:tcPr>
            <w:tcW w:w="4239" w:type="dxa"/>
            <w:gridSpan w:val="5"/>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预期目标</w:t>
            </w:r>
          </w:p>
        </w:tc>
        <w:tc>
          <w:tcPr>
            <w:tcW w:w="3683" w:type="dxa"/>
            <w:gridSpan w:val="5"/>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实际完成情况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340" w:type="dxa"/>
            <w:gridSpan w:val="2"/>
            <w:vMerge w:val="continue"/>
            <w:tcBorders>
              <w:tl2br w:val="nil"/>
              <w:tr2bl w:val="nil"/>
            </w:tcBorders>
            <w:vAlign w:val="center"/>
          </w:tcPr>
          <w:p>
            <w:pPr>
              <w:widowControl/>
              <w:spacing w:line="360" w:lineRule="exact"/>
              <w:jc w:val="left"/>
              <w:rPr>
                <w:rFonts w:ascii="宋体" w:hAnsi="宋体" w:eastAsia="宋体" w:cs="楷体_GB2312"/>
                <w:bCs/>
                <w:szCs w:val="21"/>
              </w:rPr>
            </w:pPr>
          </w:p>
        </w:tc>
        <w:tc>
          <w:tcPr>
            <w:tcW w:w="4239" w:type="dxa"/>
            <w:gridSpan w:val="5"/>
            <w:tcBorders>
              <w:tl2br w:val="nil"/>
              <w:tr2bl w:val="nil"/>
            </w:tcBorders>
            <w:vAlign w:val="center"/>
          </w:tcPr>
          <w:p>
            <w:pPr>
              <w:widowControl/>
              <w:spacing w:line="360" w:lineRule="exact"/>
              <w:rPr>
                <w:rFonts w:ascii="宋体" w:hAnsi="宋体" w:eastAsia="宋体" w:cs="楷体_GB2312"/>
                <w:bCs/>
                <w:kern w:val="0"/>
                <w:szCs w:val="21"/>
              </w:rPr>
            </w:pPr>
            <w:r>
              <w:rPr>
                <w:rFonts w:hint="eastAsia" w:ascii="宋体" w:hAnsi="宋体" w:eastAsia="宋体" w:cs="楷体_GB2312"/>
                <w:bCs/>
                <w:szCs w:val="21"/>
              </w:rPr>
              <w:t>1、招投标事务:（1）继续加强对招投标全过程的监督管理，尤其是标后履约监督管理，会同专治办、发改等部门对中标人履约情况通过“双随机一公开”模式进行检查，严厉打击招投标违法违规行为，加大惩处力度。（2）深入推进建设工程招投标领域信用体系建设水平。进一步加强全市建设工程招标代理企业信用评价管理，以招标代理机构规范化考评和工程建设主体红黑名单为抓手，对问题反映较多、经营行为异常的市场主体进行重点关注，发现违法违规行为的严厉查处；持续推行招投标代理企业、投标企业招标投标公开承诺制，接受各方监督，规范从业行为。（3）进一步完善有效评标办法,重点研究分析经评审的最低投标价法利弊，从项目评审、标后实施等方面加以完善，同时针对不同的项目特点，充分考虑项目技术要求、复杂程度和招投标市场管理的综合目标，具体问题具体分析，在尊重业主选择的同时做好业务指导和引导，强化招标文件的科学性和可操作性。2、燃气事务:（1）强化督促指导。（2）强化监管整治。（3）紧跟怀化市国土空间规划及时完成怀化市城区城镇燃气发展专项规划的修编及评审工作。（4）根据"气化湖南”省气指的要求，督促协调大湘西项目公司麻阳一怀化鹤城段、新奥天然气管道支干线项目（怀化段）加快建设，实现长输管线点火通气，继续推进各县市区长输管线建设。3、造价事务（1）按照工程造价管理改革工作方案要求，做好向数字造价站转型相关工作。（2）做好2020《湖南省建设工程消耗量标准及计价办法》实施过程中意见及建议的收集整理工作。（3）完善工程计价依据发布机制，建立数据库，加强工程造价数据信息积累。（4）严格施工监理合同履约管理。（5）做好建设工程安全防护、文明施工措施费的核查工作。（6）开展2023年度工程造价咨询企业及注册造价工程师监督、检查工作。</w:t>
            </w:r>
          </w:p>
          <w:p>
            <w:pPr>
              <w:widowControl/>
              <w:spacing w:line="360" w:lineRule="exact"/>
              <w:rPr>
                <w:rFonts w:ascii="宋体" w:hAnsi="宋体" w:eastAsia="宋体" w:cs="楷体_GB2312"/>
                <w:bCs/>
                <w:szCs w:val="21"/>
              </w:rPr>
            </w:pPr>
          </w:p>
        </w:tc>
        <w:tc>
          <w:tcPr>
            <w:tcW w:w="3683" w:type="dxa"/>
            <w:gridSpan w:val="5"/>
            <w:tcBorders>
              <w:tl2br w:val="nil"/>
              <w:tr2bl w:val="nil"/>
            </w:tcBorders>
            <w:vAlign w:val="center"/>
          </w:tcPr>
          <w:p>
            <w:pPr>
              <w:widowControl/>
              <w:spacing w:line="360" w:lineRule="exact"/>
              <w:rPr>
                <w:rFonts w:ascii="宋体" w:hAnsi="宋体" w:eastAsia="宋体" w:cs="仿宋_GB2312"/>
                <w:bCs/>
                <w:color w:val="000000"/>
                <w:spacing w:val="-6"/>
                <w:szCs w:val="21"/>
              </w:rPr>
            </w:pPr>
            <w:r>
              <w:rPr>
                <w:rFonts w:hint="eastAsia" w:ascii="宋体" w:hAnsi="宋体" w:eastAsia="宋体" w:cs="楷体_GB2312"/>
                <w:bCs/>
                <w:szCs w:val="21"/>
              </w:rPr>
              <w:t>（一）党的建设全面加强。一是贯彻落实新时代党的建设总要求，坚持和加强党的全面领导，坚定不移全面从严治党。以党的政治建设统领党的各方面建设，加强中心班子建设，认真履行基层党建工作“一岗双责”，严格落实“三会一课”、组织生活、谈心谈话等制度，狠抓制度落实。二是结合主题学习教育，常态化开展党纪规矩学习、警示教育学习，培树高尚的人生观、价值观，树牢法纪观念、清廉思想，从思想深处培树廉洁从政的自觉追求，做实中心内部监督和提醒。三是2023</w:t>
            </w:r>
            <w:r>
              <w:rPr>
                <w:rFonts w:hint="eastAsia" w:ascii="宋体" w:hAnsi="宋体" w:eastAsia="宋体" w:cs="仿宋_GB2312"/>
                <w:bCs/>
                <w:color w:val="000000"/>
                <w:spacing w:val="-6"/>
                <w:szCs w:val="21"/>
              </w:rPr>
              <w:t>年组织党员集中学习7 次，党支部会议12次、干部职工廉政教育6次，支部书记上党课5次，对口联系领导上党课 2次，将党建工作与业务工作统筹推进。</w:t>
            </w:r>
          </w:p>
          <w:p>
            <w:pPr>
              <w:widowControl/>
              <w:spacing w:line="360" w:lineRule="exact"/>
              <w:rPr>
                <w:rFonts w:ascii="宋体" w:hAnsi="宋体" w:eastAsia="宋体" w:cs="楷体_GB2312"/>
                <w:bCs/>
                <w:szCs w:val="21"/>
              </w:rPr>
            </w:pPr>
            <w:r>
              <w:rPr>
                <w:rFonts w:hint="eastAsia" w:ascii="宋体" w:hAnsi="宋体" w:eastAsia="宋体" w:cs="楷体_GB2312"/>
                <w:bCs/>
                <w:szCs w:val="21"/>
              </w:rPr>
              <w:t>（二）筑牢意识形态阵地。中心党支部始终将意识形态工作纳入党员学习的重要内容，及时传达学习党中央和上级党委关于意识形态工作的决策部署及指示精神，强化阵地管理，引领正确导向，广泛宣传社会主义核心价值观、公民道德基本规范，大力弘扬优秀传统美德，把意识形态工作落实到每一位干部职工身上。</w:t>
            </w:r>
          </w:p>
          <w:p>
            <w:pPr>
              <w:widowControl/>
              <w:spacing w:line="360" w:lineRule="exact"/>
              <w:rPr>
                <w:rFonts w:ascii="宋体" w:hAnsi="宋体" w:eastAsia="宋体" w:cs="楷体_GB2312"/>
                <w:bCs/>
                <w:szCs w:val="21"/>
              </w:rPr>
            </w:pPr>
            <w:r>
              <w:rPr>
                <w:rFonts w:hint="eastAsia" w:ascii="宋体" w:hAnsi="宋体" w:eastAsia="宋体" w:cs="楷体_GB2312"/>
                <w:bCs/>
                <w:szCs w:val="21"/>
              </w:rPr>
              <w:t>（三）全面部署狠抓落实。招投标专项整治：制定《关于开展2023年度全市房屋建筑和市政基础设施工程标后稽查工作的通知》、《怀化市2023年住建领域招投标突出问题专项整治工作方案》等，持续推动招投标专项整治向纵深发展，成立招投标突出问题专项整治工作领导小组，承担专项整治工作方案中各项任务的综合协调、跟踪督办、监督检查、政策起草等专项整治工作。造价计价依据宣贯：于2023年3月9-10日，举办“2022年计价依据”宣贯交底培训，组织市县住建、财评、审计、施工、造价咨询机构等相关单位的120余名造价从业人员参加培训。燃气安全专项整治：制定了《怀化市城镇燃气安全专项整治工作方案》《怀化市城镇燃气用户橡胶软管等更换实施方案》等，成立了怀化市城镇燃气安全专项整治工作专班。全年完成41.66万户燃气入户安检，22.54万户燃气橡胶软管更换，9712户燃气餐饮企业检查，1.06万户城镇燃气平台的信息入录。燃气管道涉铁安全隐患整治：进过一年的努力牵头负责的全市燃气管道涉铁隐患20处，已全部完成整改，鹤城全市涉铁隐患剩余1处因地质原因正在抓紧进场施工。太平溪流域整改：为做好省委巡视交办的太平溪污染老大难问题整改，根据市政府安排，结合《太平溪流域水环境治理工作方案》和工作实际，牵头起草《太平溪流域水环境问题巡视整改工作方案》。该方案涉及16个部门（单位）18条具体整改措施，实行一月一调度，各项工作正按序时推进。</w:t>
            </w:r>
          </w:p>
          <w:p>
            <w:pPr>
              <w:widowControl/>
              <w:spacing w:line="360" w:lineRule="exact"/>
              <w:rPr>
                <w:rFonts w:ascii="宋体" w:hAnsi="宋体" w:eastAsia="宋体" w:cs="楷体_GB2312"/>
                <w:bCs/>
                <w:szCs w:val="21"/>
              </w:rPr>
            </w:pPr>
            <w:r>
              <w:rPr>
                <w:rFonts w:hint="eastAsia" w:ascii="宋体" w:hAnsi="宋体" w:eastAsia="宋体" w:cs="楷体_GB2312"/>
                <w:bCs/>
                <w:szCs w:val="21"/>
              </w:rPr>
              <w:t>（四）业务工作稳步推进。招标投监督管理：全面实行不见面开标、评标，坚持招标文件“应核尽核”，事后常态化开展标后稽查，落实标后承诺制度，强化相关主体责任，切实加强对工程项目招投标的监督管理。造价材料价格信息：全年调查、发布12期全市建筑材料价格信息，印发《怀化市工程造价》6期。污水整治：配合生态环境部门积极做好入河排污口排查整治工作，对直接负责整改的15个排口和维护范围内的舞水河东岸及太平溪和三条支流（潭口溪、岩堰溪、坨垸溪）塌陷和渗漏严重地段的污水管网进行了全面摸排，计划2024年1月底完成财评和服务单位选定工作，2月中旬如期开工。燃气排查整治：宁夏6.21燃气爆炸事故发生后，市委、市政府高度重视，当晚在副市长向秀亮带队下对全市燃气领域迅速开展地毯式安全隐患排查，共排查燃气餐饮（重点检查夜市摊店）工商用户5730处，发现隐患2640个，已全部整改到位。</w:t>
            </w:r>
          </w:p>
          <w:p>
            <w:pPr>
              <w:widowControl/>
              <w:spacing w:line="360" w:lineRule="exact"/>
              <w:rPr>
                <w:rFonts w:ascii="宋体" w:hAnsi="宋体" w:eastAsia="宋体" w:cs="楷体_GB2312"/>
                <w:bCs/>
                <w:szCs w:val="21"/>
              </w:rPr>
            </w:pPr>
            <w:r>
              <w:rPr>
                <w:rFonts w:hint="eastAsia" w:ascii="宋体" w:hAnsi="宋体" w:eastAsia="宋体" w:cs="楷体_GB2312"/>
                <w:bCs/>
                <w:szCs w:val="21"/>
              </w:rPr>
              <w:t>（五）压紧压实主体责任。招投标方面：强化招标代理机构管理，严格核查招标代理机构专职人员信息，通过监管平台对招标代理机构实行“一项目一考评”，同时加强招标代理机构监管，2023年连续4个季度通过湖南省招标代理机构监管平台对140余名招标代理人员信息进行核查。燃气方面：落实城镇燃气安全管理“六化”工作。强化城镇燃气“全链条、全过程、全要素”安全管理，防范燃气安全事故发生，消除燃气市场安全隐患。全市15个县市区按照“街巷定界、规模适度”的原则，完成网络化划分工作64个，划分燃气输配系统网格419个，明确“三员”的网络数量419个。全市共制定应急预案70个，开展应急演练72次。污水方面：督促指导怀化市全城污水处理有限公司建设好怀化市污水处理厂改扩建工程，该工程已于9月15日通水调试，11月5日运行，市本级污水处理能力提升到21万立方米/日。加强对污水主干管网维护单位的日常监管，督促指导维护单位建立应急预案，完善应急管理机制，实行每天巡查打卡，建立巡查问题整改台账，对维护单位实行每月考核评分。造价方面：开展全市工程造价咨询企业及注册造价工程师监督检查，同时鼓励支持工程造价咨询企业参与建设工程全过程工程咨询服务，推进工程造价咨询企业诚信服务创建精神为文明示范工作。</w:t>
            </w:r>
          </w:p>
          <w:p>
            <w:pPr>
              <w:widowControl/>
              <w:spacing w:line="360" w:lineRule="exact"/>
              <w:rPr>
                <w:rFonts w:ascii="宋体" w:hAnsi="宋体" w:eastAsia="宋体" w:cs="楷体_GB2312"/>
                <w:bCs/>
                <w:szCs w:val="21"/>
              </w:rPr>
            </w:pPr>
            <w:r>
              <w:rPr>
                <w:rFonts w:hint="eastAsia" w:ascii="宋体" w:hAnsi="宋体" w:eastAsia="宋体" w:cs="楷体_GB2312"/>
                <w:bCs/>
                <w:szCs w:val="21"/>
              </w:rPr>
              <w:t>（六）民生事业长足发展。黑臭水体整治：茅谷冲溪黑臭水体整治初见成效。9月11日，住建部到我市调研黑臭水体治理情况，对茅谷冲溪水质进行采样检测，检测结果为无黑臭。城市污水管网：2023年全市县以上城市完成污水管网新建改造共96.18公里（新建32.95公里、改造63.23公里），省厅任务50公里。造价审查：积极配合省厅和市局完成恒大、处遗、保交楼、市政工程等项目的造价审查工作，助力房地产市场平稳过渡。城镇燃气老旧管网改造：全年完成燃气老旧管网更新改造约125公里（其中：市政管道11.343公里、庭院管道29.7586公里、燃气立管84.689公里），完成燃气户内设施改造35020户。</w:t>
            </w:r>
          </w:p>
          <w:p>
            <w:pPr>
              <w:widowControl/>
              <w:spacing w:line="360" w:lineRule="exact"/>
              <w:rPr>
                <w:rFonts w:ascii="宋体" w:hAnsi="宋体" w:eastAsia="宋体" w:cs="楷体_GB2312"/>
                <w:bCs/>
                <w:szCs w:val="21"/>
              </w:rPr>
            </w:pPr>
            <w:r>
              <w:rPr>
                <w:rFonts w:hint="eastAsia" w:ascii="宋体" w:hAnsi="宋体" w:eastAsia="宋体" w:cs="楷体_GB2312"/>
                <w:bCs/>
                <w:szCs w:val="21"/>
              </w:rPr>
              <w:t>（七）强化执法有力震慑。燃气方面：持续开展燃气市场打非治违工作，相继联合公安、交通行政执法、城市管理行政执法等开展联合行动11次，打掉销售瓶装燃气“黑窝点”22个，行政拘留2人，刑事拘留4人，依法查扣车辆11台,查扣燃气钢瓶1150个，开展执法检查249次，进行执法处罚50次，罚款46.134万元。招投标方面：加强工程建设招投标领域违法违规行为查处和标后稽查工作，常态化开展工程建设招投标领域违法违规行为的查处和标后稽查,重点查处出借挂靠资质、转包违法分包问题。全年市县区累计对87个项目进行标后履约情况检查，查处15个违法违规行为项目，个人罚款1.41万元，企业罚款30.77万元，对2家代理机构进行不规范行为考评，4名评标专家考评为基本称职，1名专家考评为称职。下发整改通知书43份，上报3人不良行为，约谈相关责任人58人。查处工程建设招投标领域违法违规行为19件，罚款43.5万元，通报批评评标专家6人，上报8人不良行为。对9名专家考评认定为基本称职，取消其半年评标资格，对1名专家考评认定为不称职，取消其一年评标资格。4家招标代理机构在项目考评中被记不规范行为并予以扣分。</w:t>
            </w:r>
          </w:p>
          <w:p>
            <w:pPr>
              <w:widowControl/>
              <w:spacing w:line="360" w:lineRule="exact"/>
              <w:rPr>
                <w:rFonts w:ascii="宋体" w:hAnsi="宋体" w:eastAsia="宋体" w:cs="楷体_GB2312"/>
                <w:bCs/>
                <w:szCs w:val="21"/>
              </w:rPr>
            </w:pPr>
            <w:r>
              <w:rPr>
                <w:rFonts w:hint="eastAsia" w:ascii="宋体" w:hAnsi="宋体" w:eastAsia="宋体" w:cs="楷体_GB2312"/>
                <w:bCs/>
                <w:szCs w:val="21"/>
              </w:rPr>
              <w:t>（八）宣传引导营造氛围。组织燃气企业负责人集中学习新《安全生产法》和相关业务知识，提高他们的依法经营水平。对全市燃气管理部门工作人员、部分乡镇、街道、社区安检员进行燃气安全专题培训。发放宣传册5万多份，发送燃气安全短信10万余条，向学校学生赠送燃气安全使用书本2万余本。充分利用电视、报刊和为民热线等媒体媒介，多渠道、全方位的宣传活动，推进“清廉工程”建设和燃气安全工作，让广大群众直观了解工作情况，营造出人人关注、人人参与、人人监督的舆论氛围和社会环境。</w:t>
            </w:r>
            <w:r>
              <w:rPr>
                <w:rFonts w:ascii="宋体" w:hAnsi="宋体" w:eastAsia="宋体" w:cs="楷体_GB2312"/>
                <w:bCs/>
                <w:szCs w:val="21"/>
              </w:rPr>
              <w:t>招标投监督管理：全面实行不见面开标、评标，坚持招标文件“应核尽核”，事后常态化开展标后稽查，落实标后承诺制度，强化相关主体责任，切实加强对工程项目招投标的监督管理。造价材料价格信息：全年调查、发布12期全市建筑材料价格信息，印发《怀化市工程造价》6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043"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绩效指标</w:t>
            </w:r>
          </w:p>
        </w:tc>
        <w:tc>
          <w:tcPr>
            <w:tcW w:w="1219"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一级指标</w:t>
            </w:r>
          </w:p>
        </w:tc>
        <w:tc>
          <w:tcPr>
            <w:tcW w:w="1073"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二级指标</w:t>
            </w:r>
          </w:p>
        </w:tc>
        <w:tc>
          <w:tcPr>
            <w:tcW w:w="1072"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三级指标</w:t>
            </w:r>
          </w:p>
        </w:tc>
        <w:tc>
          <w:tcPr>
            <w:tcW w:w="1172"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年度</w:t>
            </w:r>
          </w:p>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指标值</w:t>
            </w:r>
          </w:p>
        </w:tc>
        <w:tc>
          <w:tcPr>
            <w:tcW w:w="1030"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实际完</w:t>
            </w:r>
          </w:p>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成值</w:t>
            </w:r>
          </w:p>
        </w:tc>
        <w:tc>
          <w:tcPr>
            <w:tcW w:w="774"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分值</w:t>
            </w:r>
          </w:p>
        </w:tc>
        <w:tc>
          <w:tcPr>
            <w:tcW w:w="644"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得分</w:t>
            </w:r>
          </w:p>
        </w:tc>
        <w:tc>
          <w:tcPr>
            <w:tcW w:w="1235" w:type="dxa"/>
            <w:gridSpan w:val="2"/>
            <w:tcBorders>
              <w:tl2br w:val="nil"/>
              <w:tr2bl w:val="nil"/>
            </w:tcBorders>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偏差原因</w:t>
            </w:r>
          </w:p>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分析及</w:t>
            </w:r>
          </w:p>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改进措施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3" w:type="dxa"/>
            <w:tcBorders>
              <w:tl2br w:val="nil"/>
              <w:tr2bl w:val="nil"/>
            </w:tcBorders>
            <w:vAlign w:val="center"/>
          </w:tcPr>
          <w:p>
            <w:pPr>
              <w:widowControl/>
              <w:spacing w:line="360" w:lineRule="exact"/>
              <w:jc w:val="center"/>
              <w:rPr>
                <w:rFonts w:ascii="宋体" w:hAnsi="宋体" w:eastAsia="宋体" w:cs="楷体_GB2312"/>
                <w:bCs/>
                <w:szCs w:val="21"/>
              </w:rPr>
            </w:pPr>
          </w:p>
        </w:tc>
        <w:tc>
          <w:tcPr>
            <w:tcW w:w="1219"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产出指标</w:t>
            </w:r>
          </w:p>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（50分)</w:t>
            </w:r>
          </w:p>
        </w:tc>
        <w:tc>
          <w:tcPr>
            <w:tcW w:w="1073"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数量</w:t>
            </w:r>
          </w:p>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指标</w:t>
            </w:r>
          </w:p>
        </w:tc>
        <w:tc>
          <w:tcPr>
            <w:tcW w:w="1072"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重点工作完成数</w:t>
            </w:r>
          </w:p>
        </w:tc>
        <w:tc>
          <w:tcPr>
            <w:tcW w:w="1172"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2</w:t>
            </w:r>
            <w:r>
              <w:rPr>
                <w:rFonts w:ascii="宋体" w:hAnsi="宋体" w:eastAsia="宋体" w:cs="楷体_GB2312"/>
                <w:bCs/>
                <w:szCs w:val="21"/>
              </w:rPr>
              <w:t>次</w:t>
            </w:r>
          </w:p>
        </w:tc>
        <w:tc>
          <w:tcPr>
            <w:tcW w:w="1030" w:type="dxa"/>
            <w:tcBorders>
              <w:tl2br w:val="nil"/>
              <w:tr2bl w:val="nil"/>
            </w:tcBorders>
            <w:vAlign w:val="center"/>
          </w:tcPr>
          <w:p>
            <w:pPr>
              <w:widowControl/>
              <w:spacing w:line="360" w:lineRule="exact"/>
              <w:jc w:val="center"/>
              <w:rPr>
                <w:rFonts w:ascii="宋体" w:hAnsi="宋体" w:eastAsia="宋体" w:cs="楷体_GB2312"/>
                <w:bCs/>
                <w:szCs w:val="21"/>
              </w:rPr>
            </w:pPr>
            <w:r>
              <w:rPr>
                <w:rFonts w:ascii="宋体" w:hAnsi="宋体" w:eastAsia="宋体" w:cs="楷体_GB2312"/>
                <w:bCs/>
                <w:szCs w:val="21"/>
              </w:rPr>
              <w:t>4次</w:t>
            </w:r>
          </w:p>
        </w:tc>
        <w:tc>
          <w:tcPr>
            <w:tcW w:w="774" w:type="dxa"/>
            <w:tcBorders>
              <w:tl2br w:val="nil"/>
              <w:tr2bl w:val="nil"/>
            </w:tcBorders>
            <w:vAlign w:val="center"/>
          </w:tcPr>
          <w:p>
            <w:pPr>
              <w:widowControl/>
              <w:spacing w:line="360" w:lineRule="exact"/>
              <w:jc w:val="center"/>
              <w:rPr>
                <w:rFonts w:ascii="宋体" w:hAnsi="宋体" w:eastAsia="宋体" w:cs="楷体_GB2312"/>
                <w:bCs/>
                <w:szCs w:val="21"/>
              </w:rPr>
            </w:pPr>
            <w:r>
              <w:rPr>
                <w:rFonts w:ascii="宋体" w:hAnsi="宋体" w:eastAsia="宋体" w:cs="楷体_GB2312"/>
                <w:bCs/>
                <w:szCs w:val="21"/>
              </w:rPr>
              <w:t>20</w:t>
            </w:r>
          </w:p>
        </w:tc>
        <w:tc>
          <w:tcPr>
            <w:tcW w:w="644"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2</w:t>
            </w:r>
            <w:r>
              <w:rPr>
                <w:rFonts w:ascii="宋体" w:hAnsi="宋体" w:eastAsia="宋体" w:cs="楷体_GB2312"/>
                <w:bCs/>
                <w:szCs w:val="21"/>
              </w:rPr>
              <w:t>0</w:t>
            </w:r>
          </w:p>
        </w:tc>
        <w:tc>
          <w:tcPr>
            <w:tcW w:w="1235" w:type="dxa"/>
            <w:gridSpan w:val="2"/>
            <w:tcBorders>
              <w:tl2br w:val="nil"/>
              <w:tr2bl w:val="nil"/>
            </w:tcBorders>
            <w:vAlign w:val="center"/>
          </w:tcPr>
          <w:p>
            <w:pPr>
              <w:widowControl/>
              <w:spacing w:line="360" w:lineRule="exact"/>
              <w:jc w:val="center"/>
              <w:rPr>
                <w:rFonts w:ascii="宋体" w:hAnsi="宋体" w:eastAsia="宋体" w:cs="楷体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3" w:type="dxa"/>
            <w:vMerge w:val="restart"/>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绩效</w:t>
            </w:r>
          </w:p>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指标</w:t>
            </w:r>
          </w:p>
        </w:tc>
        <w:tc>
          <w:tcPr>
            <w:tcW w:w="1219" w:type="dxa"/>
            <w:gridSpan w:val="2"/>
            <w:vMerge w:val="restart"/>
            <w:tcBorders>
              <w:tl2br w:val="nil"/>
              <w:tr2bl w:val="nil"/>
            </w:tcBorders>
            <w:vAlign w:val="center"/>
          </w:tcPr>
          <w:p>
            <w:pPr>
              <w:widowControl/>
              <w:spacing w:line="360" w:lineRule="exact"/>
              <w:jc w:val="center"/>
              <w:rPr>
                <w:rFonts w:ascii="宋体" w:hAnsi="宋体" w:eastAsia="宋体" w:cs="楷体_GB2312"/>
                <w:bCs/>
                <w:szCs w:val="21"/>
              </w:rPr>
            </w:pPr>
          </w:p>
        </w:tc>
        <w:tc>
          <w:tcPr>
            <w:tcW w:w="1073"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质量</w:t>
            </w:r>
          </w:p>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指标</w:t>
            </w:r>
          </w:p>
        </w:tc>
        <w:tc>
          <w:tcPr>
            <w:tcW w:w="1072"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达标完成率</w:t>
            </w:r>
          </w:p>
        </w:tc>
        <w:tc>
          <w:tcPr>
            <w:tcW w:w="1172"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1</w:t>
            </w:r>
            <w:r>
              <w:rPr>
                <w:rFonts w:ascii="宋体" w:hAnsi="宋体" w:eastAsia="宋体" w:cs="楷体_GB2312"/>
                <w:bCs/>
                <w:szCs w:val="21"/>
              </w:rPr>
              <w:t>00%</w:t>
            </w:r>
          </w:p>
        </w:tc>
        <w:tc>
          <w:tcPr>
            <w:tcW w:w="1030"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1</w:t>
            </w:r>
            <w:r>
              <w:rPr>
                <w:rFonts w:ascii="宋体" w:hAnsi="宋体" w:eastAsia="宋体" w:cs="楷体_GB2312"/>
                <w:bCs/>
                <w:szCs w:val="21"/>
              </w:rPr>
              <w:t>00%</w:t>
            </w:r>
          </w:p>
        </w:tc>
        <w:tc>
          <w:tcPr>
            <w:tcW w:w="774"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1</w:t>
            </w:r>
            <w:r>
              <w:rPr>
                <w:rFonts w:ascii="宋体" w:hAnsi="宋体" w:eastAsia="宋体" w:cs="楷体_GB2312"/>
                <w:bCs/>
                <w:szCs w:val="21"/>
              </w:rPr>
              <w:t>0</w:t>
            </w:r>
          </w:p>
        </w:tc>
        <w:tc>
          <w:tcPr>
            <w:tcW w:w="644"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1</w:t>
            </w:r>
            <w:r>
              <w:rPr>
                <w:rFonts w:ascii="宋体" w:hAnsi="宋体" w:eastAsia="宋体" w:cs="楷体_GB2312"/>
                <w:bCs/>
                <w:szCs w:val="21"/>
              </w:rPr>
              <w:t>0</w:t>
            </w:r>
          </w:p>
        </w:tc>
        <w:tc>
          <w:tcPr>
            <w:tcW w:w="1235" w:type="dxa"/>
            <w:gridSpan w:val="2"/>
            <w:tcBorders>
              <w:tl2br w:val="nil"/>
              <w:tr2bl w:val="nil"/>
            </w:tcBorders>
            <w:vAlign w:val="center"/>
          </w:tcPr>
          <w:p>
            <w:pPr>
              <w:widowControl/>
              <w:spacing w:line="360" w:lineRule="exact"/>
              <w:jc w:val="center"/>
              <w:rPr>
                <w:rFonts w:ascii="宋体" w:hAnsi="宋体" w:eastAsia="宋体" w:cs="楷体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3" w:type="dxa"/>
            <w:vMerge w:val="continue"/>
            <w:tcBorders>
              <w:tl2br w:val="nil"/>
              <w:tr2bl w:val="nil"/>
            </w:tcBorders>
            <w:vAlign w:val="center"/>
          </w:tcPr>
          <w:p>
            <w:pPr>
              <w:widowControl/>
              <w:spacing w:line="360" w:lineRule="exact"/>
              <w:jc w:val="center"/>
              <w:rPr>
                <w:rFonts w:ascii="宋体" w:hAnsi="宋体" w:eastAsia="宋体" w:cs="楷体_GB2312"/>
                <w:bCs/>
                <w:szCs w:val="21"/>
              </w:rPr>
            </w:pPr>
          </w:p>
        </w:tc>
        <w:tc>
          <w:tcPr>
            <w:tcW w:w="1219" w:type="dxa"/>
            <w:gridSpan w:val="2"/>
            <w:vMerge w:val="continue"/>
            <w:tcBorders>
              <w:tl2br w:val="nil"/>
              <w:tr2bl w:val="nil"/>
            </w:tcBorders>
            <w:vAlign w:val="center"/>
          </w:tcPr>
          <w:p>
            <w:pPr>
              <w:widowControl/>
              <w:spacing w:line="360" w:lineRule="exact"/>
              <w:jc w:val="center"/>
              <w:rPr>
                <w:rFonts w:ascii="宋体" w:hAnsi="宋体" w:eastAsia="宋体" w:cs="楷体_GB2312"/>
                <w:bCs/>
                <w:szCs w:val="21"/>
              </w:rPr>
            </w:pPr>
          </w:p>
        </w:tc>
        <w:tc>
          <w:tcPr>
            <w:tcW w:w="1073"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时效</w:t>
            </w:r>
          </w:p>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指标</w:t>
            </w:r>
          </w:p>
        </w:tc>
        <w:tc>
          <w:tcPr>
            <w:tcW w:w="1072"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及时完成情况</w:t>
            </w:r>
          </w:p>
          <w:p>
            <w:pPr>
              <w:widowControl/>
              <w:spacing w:line="360" w:lineRule="exact"/>
              <w:jc w:val="center"/>
              <w:rPr>
                <w:rFonts w:ascii="宋体" w:hAnsi="宋体" w:eastAsia="宋体" w:cs="楷体_GB2312"/>
                <w:bCs/>
                <w:szCs w:val="21"/>
              </w:rPr>
            </w:pPr>
          </w:p>
        </w:tc>
        <w:tc>
          <w:tcPr>
            <w:tcW w:w="1172"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2</w:t>
            </w:r>
            <w:r>
              <w:rPr>
                <w:rFonts w:ascii="宋体" w:hAnsi="宋体" w:eastAsia="宋体" w:cs="楷体_GB2312"/>
                <w:bCs/>
                <w:szCs w:val="21"/>
              </w:rPr>
              <w:t>023</w:t>
            </w:r>
            <w:r>
              <w:rPr>
                <w:rFonts w:hint="eastAsia" w:ascii="宋体" w:hAnsi="宋体" w:eastAsia="宋体" w:cs="楷体_GB2312"/>
                <w:bCs/>
                <w:szCs w:val="21"/>
              </w:rPr>
              <w:t>年1</w:t>
            </w:r>
            <w:r>
              <w:rPr>
                <w:rFonts w:ascii="宋体" w:hAnsi="宋体" w:eastAsia="宋体" w:cs="楷体_GB2312"/>
                <w:bCs/>
                <w:szCs w:val="21"/>
              </w:rPr>
              <w:t>2</w:t>
            </w:r>
            <w:r>
              <w:rPr>
                <w:rFonts w:hint="eastAsia" w:ascii="宋体" w:hAnsi="宋体" w:eastAsia="宋体" w:cs="楷体_GB2312"/>
                <w:bCs/>
                <w:szCs w:val="21"/>
              </w:rPr>
              <w:t>月3</w:t>
            </w:r>
            <w:r>
              <w:rPr>
                <w:rFonts w:ascii="宋体" w:hAnsi="宋体" w:eastAsia="宋体" w:cs="楷体_GB2312"/>
                <w:bCs/>
                <w:szCs w:val="21"/>
              </w:rPr>
              <w:t>1</w:t>
            </w:r>
            <w:r>
              <w:rPr>
                <w:rFonts w:hint="eastAsia" w:ascii="宋体" w:hAnsi="宋体" w:eastAsia="宋体" w:cs="楷体_GB2312"/>
                <w:bCs/>
                <w:szCs w:val="21"/>
              </w:rPr>
              <w:t>日前</w:t>
            </w:r>
          </w:p>
        </w:tc>
        <w:tc>
          <w:tcPr>
            <w:tcW w:w="1030"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在规定时间内完成</w:t>
            </w:r>
          </w:p>
        </w:tc>
        <w:tc>
          <w:tcPr>
            <w:tcW w:w="774"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1</w:t>
            </w:r>
            <w:r>
              <w:rPr>
                <w:rFonts w:ascii="宋体" w:hAnsi="宋体" w:eastAsia="宋体" w:cs="楷体_GB2312"/>
                <w:bCs/>
                <w:szCs w:val="21"/>
              </w:rPr>
              <w:t>0</w:t>
            </w:r>
          </w:p>
        </w:tc>
        <w:tc>
          <w:tcPr>
            <w:tcW w:w="644"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1</w:t>
            </w:r>
            <w:r>
              <w:rPr>
                <w:rFonts w:ascii="宋体" w:hAnsi="宋体" w:eastAsia="宋体" w:cs="楷体_GB2312"/>
                <w:bCs/>
                <w:szCs w:val="21"/>
              </w:rPr>
              <w:t>0</w:t>
            </w:r>
          </w:p>
        </w:tc>
        <w:tc>
          <w:tcPr>
            <w:tcW w:w="1235" w:type="dxa"/>
            <w:gridSpan w:val="2"/>
            <w:tcBorders>
              <w:tl2br w:val="nil"/>
              <w:tr2bl w:val="nil"/>
            </w:tcBorders>
            <w:vAlign w:val="center"/>
          </w:tcPr>
          <w:p>
            <w:pPr>
              <w:widowControl/>
              <w:spacing w:line="360" w:lineRule="exact"/>
              <w:jc w:val="center"/>
              <w:rPr>
                <w:rFonts w:ascii="宋体" w:hAnsi="宋体" w:eastAsia="宋体" w:cs="楷体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43" w:type="dxa"/>
            <w:vMerge w:val="continue"/>
            <w:tcBorders>
              <w:tl2br w:val="nil"/>
              <w:tr2bl w:val="nil"/>
            </w:tcBorders>
            <w:vAlign w:val="center"/>
          </w:tcPr>
          <w:p>
            <w:pPr>
              <w:widowControl/>
              <w:spacing w:line="360" w:lineRule="exact"/>
              <w:jc w:val="center"/>
              <w:rPr>
                <w:rFonts w:ascii="宋体" w:hAnsi="宋体" w:eastAsia="宋体" w:cs="楷体_GB2312"/>
                <w:bCs/>
                <w:szCs w:val="21"/>
              </w:rPr>
            </w:pPr>
          </w:p>
        </w:tc>
        <w:tc>
          <w:tcPr>
            <w:tcW w:w="1219" w:type="dxa"/>
            <w:gridSpan w:val="2"/>
            <w:vMerge w:val="continue"/>
            <w:tcBorders>
              <w:tl2br w:val="nil"/>
              <w:tr2bl w:val="nil"/>
            </w:tcBorders>
            <w:vAlign w:val="center"/>
          </w:tcPr>
          <w:p>
            <w:pPr>
              <w:widowControl/>
              <w:spacing w:line="360" w:lineRule="exact"/>
              <w:jc w:val="center"/>
              <w:rPr>
                <w:rFonts w:ascii="宋体" w:hAnsi="宋体" w:eastAsia="宋体" w:cs="楷体_GB2312"/>
                <w:bCs/>
                <w:szCs w:val="21"/>
              </w:rPr>
            </w:pPr>
          </w:p>
        </w:tc>
        <w:tc>
          <w:tcPr>
            <w:tcW w:w="1073"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成本</w:t>
            </w:r>
          </w:p>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指标</w:t>
            </w:r>
          </w:p>
        </w:tc>
        <w:tc>
          <w:tcPr>
            <w:tcW w:w="1072"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ascii="宋体" w:hAnsi="宋体" w:eastAsia="宋体" w:cs="楷体_GB2312"/>
                <w:bCs/>
                <w:szCs w:val="21"/>
              </w:rPr>
              <w:t>三公经费控制率</w:t>
            </w:r>
          </w:p>
        </w:tc>
        <w:tc>
          <w:tcPr>
            <w:tcW w:w="1172"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≤财政预算指标控制数</w:t>
            </w:r>
          </w:p>
        </w:tc>
        <w:tc>
          <w:tcPr>
            <w:tcW w:w="1030"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实际控制在预算指标内</w:t>
            </w:r>
          </w:p>
        </w:tc>
        <w:tc>
          <w:tcPr>
            <w:tcW w:w="774" w:type="dxa"/>
            <w:tcBorders>
              <w:tl2br w:val="nil"/>
              <w:tr2bl w:val="nil"/>
            </w:tcBorders>
            <w:vAlign w:val="center"/>
          </w:tcPr>
          <w:p>
            <w:pPr>
              <w:widowControl/>
              <w:spacing w:line="360" w:lineRule="exact"/>
              <w:jc w:val="center"/>
              <w:rPr>
                <w:rFonts w:ascii="宋体" w:hAnsi="宋体" w:eastAsia="宋体" w:cs="楷体_GB2312"/>
                <w:bCs/>
                <w:szCs w:val="21"/>
              </w:rPr>
            </w:pPr>
            <w:r>
              <w:rPr>
                <w:rFonts w:ascii="宋体" w:hAnsi="宋体" w:eastAsia="宋体" w:cs="楷体_GB2312"/>
                <w:bCs/>
                <w:szCs w:val="21"/>
              </w:rPr>
              <w:t>10</w:t>
            </w:r>
          </w:p>
        </w:tc>
        <w:tc>
          <w:tcPr>
            <w:tcW w:w="644"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1</w:t>
            </w:r>
            <w:r>
              <w:rPr>
                <w:rFonts w:ascii="宋体" w:hAnsi="宋体" w:eastAsia="宋体" w:cs="楷体_GB2312"/>
                <w:bCs/>
                <w:szCs w:val="21"/>
              </w:rPr>
              <w:t>0</w:t>
            </w:r>
          </w:p>
        </w:tc>
        <w:tc>
          <w:tcPr>
            <w:tcW w:w="1235" w:type="dxa"/>
            <w:gridSpan w:val="2"/>
            <w:tcBorders>
              <w:tl2br w:val="nil"/>
              <w:tr2bl w:val="nil"/>
            </w:tcBorders>
            <w:vAlign w:val="center"/>
          </w:tcPr>
          <w:p>
            <w:pPr>
              <w:widowControl/>
              <w:spacing w:line="360" w:lineRule="exact"/>
              <w:jc w:val="center"/>
              <w:rPr>
                <w:rFonts w:ascii="宋体" w:hAnsi="宋体" w:eastAsia="宋体" w:cs="楷体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3" w:type="dxa"/>
            <w:vMerge w:val="continue"/>
            <w:tcBorders>
              <w:tl2br w:val="nil"/>
              <w:tr2bl w:val="nil"/>
            </w:tcBorders>
            <w:vAlign w:val="center"/>
          </w:tcPr>
          <w:p>
            <w:pPr>
              <w:widowControl/>
              <w:spacing w:line="360" w:lineRule="exact"/>
              <w:jc w:val="center"/>
              <w:rPr>
                <w:rFonts w:ascii="宋体" w:hAnsi="宋体" w:eastAsia="宋体" w:cs="楷体_GB2312"/>
                <w:bCs/>
                <w:szCs w:val="21"/>
              </w:rPr>
            </w:pPr>
          </w:p>
        </w:tc>
        <w:tc>
          <w:tcPr>
            <w:tcW w:w="1219" w:type="dxa"/>
            <w:gridSpan w:val="2"/>
            <w:vMerge w:val="restart"/>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效益指标</w:t>
            </w:r>
          </w:p>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（30分）</w:t>
            </w:r>
          </w:p>
        </w:tc>
        <w:tc>
          <w:tcPr>
            <w:tcW w:w="1073"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经济效</w:t>
            </w:r>
          </w:p>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益指标</w:t>
            </w:r>
          </w:p>
        </w:tc>
        <w:tc>
          <w:tcPr>
            <w:tcW w:w="1072"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无</w:t>
            </w:r>
          </w:p>
        </w:tc>
        <w:tc>
          <w:tcPr>
            <w:tcW w:w="1172" w:type="dxa"/>
            <w:tcBorders>
              <w:tl2br w:val="nil"/>
              <w:tr2bl w:val="nil"/>
            </w:tcBorders>
            <w:vAlign w:val="center"/>
          </w:tcPr>
          <w:p>
            <w:pPr>
              <w:widowControl/>
              <w:spacing w:line="360" w:lineRule="exact"/>
              <w:jc w:val="center"/>
              <w:rPr>
                <w:rFonts w:ascii="宋体" w:hAnsi="宋体" w:eastAsia="宋体" w:cs="楷体_GB2312"/>
                <w:bCs/>
                <w:szCs w:val="21"/>
              </w:rPr>
            </w:pPr>
            <w:r>
              <w:rPr>
                <w:rFonts w:ascii="宋体" w:hAnsi="宋体" w:eastAsia="宋体" w:cs="楷体_GB2312"/>
                <w:bCs/>
                <w:szCs w:val="21"/>
              </w:rPr>
              <w:t>效果明显</w:t>
            </w:r>
          </w:p>
        </w:tc>
        <w:tc>
          <w:tcPr>
            <w:tcW w:w="1030" w:type="dxa"/>
            <w:tcBorders>
              <w:tl2br w:val="nil"/>
              <w:tr2bl w:val="nil"/>
            </w:tcBorders>
            <w:vAlign w:val="center"/>
          </w:tcPr>
          <w:p>
            <w:pPr>
              <w:widowControl/>
              <w:spacing w:line="360" w:lineRule="exact"/>
              <w:jc w:val="center"/>
              <w:rPr>
                <w:rFonts w:ascii="宋体" w:hAnsi="宋体" w:eastAsia="宋体" w:cs="楷体_GB2312"/>
                <w:bCs/>
                <w:szCs w:val="21"/>
              </w:rPr>
            </w:pPr>
            <w:r>
              <w:rPr>
                <w:rFonts w:ascii="宋体" w:hAnsi="宋体" w:eastAsia="宋体" w:cs="楷体_GB2312"/>
                <w:bCs/>
                <w:szCs w:val="21"/>
              </w:rPr>
              <w:t>效果明显</w:t>
            </w:r>
          </w:p>
        </w:tc>
        <w:tc>
          <w:tcPr>
            <w:tcW w:w="774" w:type="dxa"/>
            <w:tcBorders>
              <w:tl2br w:val="nil"/>
              <w:tr2bl w:val="nil"/>
            </w:tcBorders>
            <w:vAlign w:val="center"/>
          </w:tcPr>
          <w:p>
            <w:pPr>
              <w:widowControl/>
              <w:spacing w:line="360" w:lineRule="exact"/>
              <w:jc w:val="center"/>
              <w:rPr>
                <w:rFonts w:hint="default" w:ascii="宋体" w:hAnsi="宋体" w:eastAsia="宋体" w:cs="楷体_GB2312"/>
                <w:bCs/>
                <w:szCs w:val="21"/>
                <w:lang w:val="en-US" w:eastAsia="zh-CN"/>
              </w:rPr>
            </w:pPr>
            <w:r>
              <w:rPr>
                <w:rFonts w:hint="eastAsia" w:ascii="宋体" w:hAnsi="宋体" w:eastAsia="宋体" w:cs="楷体_GB2312"/>
                <w:bCs/>
                <w:szCs w:val="21"/>
                <w:lang w:val="en-US" w:eastAsia="zh-CN"/>
              </w:rPr>
              <w:t>0</w:t>
            </w:r>
          </w:p>
        </w:tc>
        <w:tc>
          <w:tcPr>
            <w:tcW w:w="644" w:type="dxa"/>
            <w:tcBorders>
              <w:tl2br w:val="nil"/>
              <w:tr2bl w:val="nil"/>
            </w:tcBorders>
            <w:vAlign w:val="center"/>
          </w:tcPr>
          <w:p>
            <w:pPr>
              <w:widowControl/>
              <w:spacing w:line="360" w:lineRule="exact"/>
              <w:jc w:val="center"/>
              <w:rPr>
                <w:rFonts w:hint="default" w:ascii="宋体" w:hAnsi="宋体" w:eastAsia="宋体" w:cs="楷体_GB2312"/>
                <w:bCs/>
                <w:szCs w:val="21"/>
                <w:lang w:val="en-US" w:eastAsia="zh-CN"/>
              </w:rPr>
            </w:pPr>
            <w:r>
              <w:rPr>
                <w:rFonts w:hint="eastAsia" w:ascii="宋体" w:hAnsi="宋体" w:eastAsia="宋体" w:cs="楷体_GB2312"/>
                <w:bCs/>
                <w:szCs w:val="21"/>
                <w:lang w:val="en-US" w:eastAsia="zh-CN"/>
              </w:rPr>
              <w:t>0</w:t>
            </w:r>
            <w:bookmarkStart w:id="1" w:name="_GoBack"/>
            <w:bookmarkEnd w:id="1"/>
          </w:p>
        </w:tc>
        <w:tc>
          <w:tcPr>
            <w:tcW w:w="1235" w:type="dxa"/>
            <w:gridSpan w:val="2"/>
            <w:tcBorders>
              <w:tl2br w:val="nil"/>
              <w:tr2bl w:val="nil"/>
            </w:tcBorders>
            <w:vAlign w:val="center"/>
          </w:tcPr>
          <w:p>
            <w:pPr>
              <w:widowControl/>
              <w:spacing w:line="360" w:lineRule="exact"/>
              <w:jc w:val="center"/>
              <w:rPr>
                <w:rFonts w:ascii="宋体" w:hAnsi="宋体" w:eastAsia="宋体" w:cs="楷体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043" w:type="dxa"/>
            <w:vMerge w:val="continue"/>
            <w:tcBorders>
              <w:tl2br w:val="nil"/>
              <w:tr2bl w:val="nil"/>
            </w:tcBorders>
            <w:vAlign w:val="center"/>
          </w:tcPr>
          <w:p>
            <w:pPr>
              <w:widowControl/>
              <w:spacing w:line="360" w:lineRule="exact"/>
              <w:jc w:val="center"/>
              <w:rPr>
                <w:rFonts w:ascii="宋体" w:hAnsi="宋体" w:eastAsia="宋体" w:cs="楷体_GB2312"/>
                <w:bCs/>
                <w:szCs w:val="21"/>
              </w:rPr>
            </w:pPr>
          </w:p>
        </w:tc>
        <w:tc>
          <w:tcPr>
            <w:tcW w:w="1219" w:type="dxa"/>
            <w:gridSpan w:val="2"/>
            <w:vMerge w:val="continue"/>
            <w:tcBorders>
              <w:tl2br w:val="nil"/>
              <w:tr2bl w:val="nil"/>
            </w:tcBorders>
            <w:vAlign w:val="center"/>
          </w:tcPr>
          <w:p>
            <w:pPr>
              <w:widowControl/>
              <w:spacing w:line="360" w:lineRule="exact"/>
              <w:jc w:val="center"/>
              <w:rPr>
                <w:rFonts w:ascii="宋体" w:hAnsi="宋体" w:eastAsia="宋体" w:cs="楷体_GB2312"/>
                <w:bCs/>
                <w:szCs w:val="21"/>
              </w:rPr>
            </w:pPr>
          </w:p>
        </w:tc>
        <w:tc>
          <w:tcPr>
            <w:tcW w:w="1073"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社会效</w:t>
            </w:r>
          </w:p>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益指标</w:t>
            </w:r>
          </w:p>
        </w:tc>
        <w:tc>
          <w:tcPr>
            <w:tcW w:w="1072"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及时调解，妥善化解纠纷</w:t>
            </w:r>
          </w:p>
        </w:tc>
        <w:tc>
          <w:tcPr>
            <w:tcW w:w="1172"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效果明显</w:t>
            </w:r>
          </w:p>
        </w:tc>
        <w:tc>
          <w:tcPr>
            <w:tcW w:w="1030"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效果明显</w:t>
            </w:r>
          </w:p>
        </w:tc>
        <w:tc>
          <w:tcPr>
            <w:tcW w:w="774" w:type="dxa"/>
            <w:tcBorders>
              <w:tl2br w:val="nil"/>
              <w:tr2bl w:val="nil"/>
            </w:tcBorders>
            <w:vAlign w:val="center"/>
          </w:tcPr>
          <w:p>
            <w:pPr>
              <w:widowControl/>
              <w:spacing w:line="360" w:lineRule="exact"/>
              <w:jc w:val="center"/>
              <w:rPr>
                <w:rFonts w:ascii="宋体" w:hAnsi="宋体" w:eastAsia="宋体" w:cs="楷体_GB2312"/>
                <w:bCs/>
                <w:szCs w:val="21"/>
              </w:rPr>
            </w:pPr>
            <w:r>
              <w:rPr>
                <w:rFonts w:ascii="宋体" w:hAnsi="宋体" w:eastAsia="宋体" w:cs="楷体_GB2312"/>
                <w:bCs/>
                <w:szCs w:val="21"/>
              </w:rPr>
              <w:t>15</w:t>
            </w:r>
          </w:p>
        </w:tc>
        <w:tc>
          <w:tcPr>
            <w:tcW w:w="644" w:type="dxa"/>
            <w:tcBorders>
              <w:tl2br w:val="nil"/>
              <w:tr2bl w:val="nil"/>
            </w:tcBorders>
            <w:vAlign w:val="center"/>
          </w:tcPr>
          <w:p>
            <w:pPr>
              <w:widowControl/>
              <w:spacing w:line="360" w:lineRule="exact"/>
              <w:jc w:val="center"/>
              <w:rPr>
                <w:rFonts w:ascii="宋体" w:hAnsi="宋体" w:eastAsia="宋体" w:cs="楷体_GB2312"/>
                <w:bCs/>
                <w:szCs w:val="21"/>
              </w:rPr>
            </w:pPr>
            <w:r>
              <w:rPr>
                <w:rFonts w:ascii="宋体" w:hAnsi="宋体" w:eastAsia="宋体" w:cs="楷体_GB2312"/>
                <w:bCs/>
                <w:szCs w:val="21"/>
              </w:rPr>
              <w:t>13</w:t>
            </w:r>
          </w:p>
        </w:tc>
        <w:tc>
          <w:tcPr>
            <w:tcW w:w="1235" w:type="dxa"/>
            <w:gridSpan w:val="2"/>
            <w:tcBorders>
              <w:tl2br w:val="nil"/>
              <w:tr2bl w:val="nil"/>
            </w:tcBorders>
            <w:vAlign w:val="center"/>
          </w:tcPr>
          <w:p>
            <w:pPr>
              <w:widowControl/>
              <w:spacing w:line="360" w:lineRule="exact"/>
              <w:jc w:val="center"/>
              <w:rPr>
                <w:rFonts w:ascii="宋体" w:hAnsi="宋体" w:eastAsia="宋体" w:cs="楷体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3" w:type="dxa"/>
            <w:vMerge w:val="continue"/>
            <w:tcBorders>
              <w:tl2br w:val="nil"/>
              <w:tr2bl w:val="nil"/>
            </w:tcBorders>
            <w:vAlign w:val="center"/>
          </w:tcPr>
          <w:p>
            <w:pPr>
              <w:widowControl/>
              <w:spacing w:line="360" w:lineRule="exact"/>
              <w:jc w:val="center"/>
              <w:rPr>
                <w:rFonts w:ascii="宋体" w:hAnsi="宋体" w:eastAsia="宋体" w:cs="楷体_GB2312"/>
                <w:bCs/>
                <w:szCs w:val="21"/>
              </w:rPr>
            </w:pPr>
          </w:p>
        </w:tc>
        <w:tc>
          <w:tcPr>
            <w:tcW w:w="1219" w:type="dxa"/>
            <w:gridSpan w:val="2"/>
            <w:vMerge w:val="continue"/>
            <w:tcBorders>
              <w:tl2br w:val="nil"/>
              <w:tr2bl w:val="nil"/>
            </w:tcBorders>
            <w:vAlign w:val="center"/>
          </w:tcPr>
          <w:p>
            <w:pPr>
              <w:widowControl/>
              <w:spacing w:line="360" w:lineRule="exact"/>
              <w:jc w:val="center"/>
              <w:rPr>
                <w:rFonts w:ascii="宋体" w:hAnsi="宋体" w:eastAsia="宋体" w:cs="楷体_GB2312"/>
                <w:bCs/>
                <w:szCs w:val="21"/>
              </w:rPr>
            </w:pPr>
          </w:p>
        </w:tc>
        <w:tc>
          <w:tcPr>
            <w:tcW w:w="1073"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生态效</w:t>
            </w:r>
          </w:p>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益指标</w:t>
            </w:r>
          </w:p>
        </w:tc>
        <w:tc>
          <w:tcPr>
            <w:tcW w:w="1072"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无</w:t>
            </w:r>
          </w:p>
        </w:tc>
        <w:tc>
          <w:tcPr>
            <w:tcW w:w="1172"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无</w:t>
            </w:r>
          </w:p>
        </w:tc>
        <w:tc>
          <w:tcPr>
            <w:tcW w:w="1030"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无</w:t>
            </w:r>
          </w:p>
        </w:tc>
        <w:tc>
          <w:tcPr>
            <w:tcW w:w="774" w:type="dxa"/>
            <w:tcBorders>
              <w:tl2br w:val="nil"/>
              <w:tr2bl w:val="nil"/>
            </w:tcBorders>
            <w:vAlign w:val="center"/>
          </w:tcPr>
          <w:p>
            <w:pPr>
              <w:widowControl/>
              <w:spacing w:line="360" w:lineRule="exact"/>
              <w:jc w:val="center"/>
              <w:rPr>
                <w:rFonts w:ascii="宋体" w:hAnsi="宋体" w:eastAsia="宋体" w:cs="楷体_GB2312"/>
                <w:bCs/>
                <w:szCs w:val="21"/>
              </w:rPr>
            </w:pPr>
          </w:p>
        </w:tc>
        <w:tc>
          <w:tcPr>
            <w:tcW w:w="644" w:type="dxa"/>
            <w:tcBorders>
              <w:tl2br w:val="nil"/>
              <w:tr2bl w:val="nil"/>
            </w:tcBorders>
            <w:vAlign w:val="center"/>
          </w:tcPr>
          <w:p>
            <w:pPr>
              <w:widowControl/>
              <w:spacing w:line="360" w:lineRule="exact"/>
              <w:jc w:val="center"/>
              <w:rPr>
                <w:rFonts w:ascii="宋体" w:hAnsi="宋体" w:eastAsia="宋体" w:cs="楷体_GB2312"/>
                <w:bCs/>
                <w:szCs w:val="21"/>
              </w:rPr>
            </w:pPr>
          </w:p>
        </w:tc>
        <w:tc>
          <w:tcPr>
            <w:tcW w:w="1235" w:type="dxa"/>
            <w:gridSpan w:val="2"/>
            <w:tcBorders>
              <w:tl2br w:val="nil"/>
              <w:tr2bl w:val="nil"/>
            </w:tcBorders>
            <w:vAlign w:val="center"/>
          </w:tcPr>
          <w:p>
            <w:pPr>
              <w:widowControl/>
              <w:spacing w:line="360" w:lineRule="exact"/>
              <w:jc w:val="center"/>
              <w:rPr>
                <w:rFonts w:ascii="宋体" w:hAnsi="宋体" w:eastAsia="宋体" w:cs="楷体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3" w:type="dxa"/>
            <w:vMerge w:val="continue"/>
            <w:tcBorders>
              <w:tl2br w:val="nil"/>
              <w:tr2bl w:val="nil"/>
            </w:tcBorders>
            <w:vAlign w:val="center"/>
          </w:tcPr>
          <w:p>
            <w:pPr>
              <w:widowControl/>
              <w:spacing w:line="360" w:lineRule="exact"/>
              <w:jc w:val="center"/>
              <w:rPr>
                <w:rFonts w:ascii="宋体" w:hAnsi="宋体" w:eastAsia="宋体" w:cs="楷体_GB2312"/>
                <w:bCs/>
                <w:szCs w:val="21"/>
              </w:rPr>
            </w:pPr>
          </w:p>
        </w:tc>
        <w:tc>
          <w:tcPr>
            <w:tcW w:w="1219" w:type="dxa"/>
            <w:gridSpan w:val="2"/>
            <w:vMerge w:val="continue"/>
            <w:tcBorders>
              <w:tl2br w:val="nil"/>
              <w:tr2bl w:val="nil"/>
            </w:tcBorders>
            <w:vAlign w:val="center"/>
          </w:tcPr>
          <w:p>
            <w:pPr>
              <w:widowControl/>
              <w:spacing w:line="360" w:lineRule="exact"/>
              <w:jc w:val="center"/>
              <w:rPr>
                <w:rFonts w:ascii="宋体" w:hAnsi="宋体" w:eastAsia="宋体" w:cs="楷体_GB2312"/>
                <w:bCs/>
                <w:szCs w:val="21"/>
              </w:rPr>
            </w:pPr>
          </w:p>
        </w:tc>
        <w:tc>
          <w:tcPr>
            <w:tcW w:w="1073"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可持续影响指标</w:t>
            </w:r>
          </w:p>
        </w:tc>
        <w:tc>
          <w:tcPr>
            <w:tcW w:w="1072"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ascii="宋体" w:hAnsi="宋体" w:eastAsia="宋体" w:cs="楷体_GB2312"/>
                <w:bCs/>
                <w:szCs w:val="21"/>
              </w:rPr>
              <w:t>统一技术标准，加强过程管控，客观公正、实事求地做好工程造价服务及协调工作。</w:t>
            </w:r>
          </w:p>
        </w:tc>
        <w:tc>
          <w:tcPr>
            <w:tcW w:w="1172"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效果明显</w:t>
            </w:r>
          </w:p>
        </w:tc>
        <w:tc>
          <w:tcPr>
            <w:tcW w:w="1030"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效果明显</w:t>
            </w:r>
          </w:p>
        </w:tc>
        <w:tc>
          <w:tcPr>
            <w:tcW w:w="774"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1</w:t>
            </w:r>
            <w:r>
              <w:rPr>
                <w:rFonts w:ascii="宋体" w:hAnsi="宋体" w:eastAsia="宋体" w:cs="楷体_GB2312"/>
                <w:bCs/>
                <w:szCs w:val="21"/>
              </w:rPr>
              <w:t>5</w:t>
            </w:r>
          </w:p>
        </w:tc>
        <w:tc>
          <w:tcPr>
            <w:tcW w:w="644"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1</w:t>
            </w:r>
            <w:r>
              <w:rPr>
                <w:rFonts w:ascii="宋体" w:hAnsi="宋体" w:eastAsia="宋体" w:cs="楷体_GB2312"/>
                <w:bCs/>
                <w:szCs w:val="21"/>
              </w:rPr>
              <w:t>5</w:t>
            </w:r>
          </w:p>
        </w:tc>
        <w:tc>
          <w:tcPr>
            <w:tcW w:w="1235" w:type="dxa"/>
            <w:gridSpan w:val="2"/>
            <w:tcBorders>
              <w:tl2br w:val="nil"/>
              <w:tr2bl w:val="nil"/>
            </w:tcBorders>
            <w:vAlign w:val="center"/>
          </w:tcPr>
          <w:p>
            <w:pPr>
              <w:widowControl/>
              <w:spacing w:line="360" w:lineRule="exact"/>
              <w:jc w:val="center"/>
              <w:rPr>
                <w:rFonts w:ascii="宋体" w:hAnsi="宋体" w:eastAsia="宋体" w:cs="楷体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3" w:type="dxa"/>
            <w:vMerge w:val="continue"/>
            <w:tcBorders>
              <w:tl2br w:val="nil"/>
              <w:tr2bl w:val="nil"/>
            </w:tcBorders>
            <w:vAlign w:val="center"/>
          </w:tcPr>
          <w:p>
            <w:pPr>
              <w:widowControl/>
              <w:spacing w:line="360" w:lineRule="exact"/>
              <w:jc w:val="center"/>
              <w:rPr>
                <w:rFonts w:ascii="宋体" w:hAnsi="宋体" w:eastAsia="宋体" w:cs="楷体_GB2312"/>
                <w:bCs/>
                <w:szCs w:val="21"/>
              </w:rPr>
            </w:pPr>
          </w:p>
        </w:tc>
        <w:tc>
          <w:tcPr>
            <w:tcW w:w="1219"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满意度</w:t>
            </w:r>
          </w:p>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指标</w:t>
            </w:r>
          </w:p>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（10分）</w:t>
            </w:r>
          </w:p>
        </w:tc>
        <w:tc>
          <w:tcPr>
            <w:tcW w:w="1073"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服务对象满意度指标</w:t>
            </w:r>
          </w:p>
        </w:tc>
        <w:tc>
          <w:tcPr>
            <w:tcW w:w="1072" w:type="dxa"/>
            <w:gridSpan w:val="2"/>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社会公众满意度</w:t>
            </w:r>
          </w:p>
        </w:tc>
        <w:tc>
          <w:tcPr>
            <w:tcW w:w="1172"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≥9</w:t>
            </w:r>
            <w:r>
              <w:rPr>
                <w:rFonts w:ascii="宋体" w:hAnsi="宋体" w:eastAsia="宋体" w:cs="楷体_GB2312"/>
                <w:bCs/>
                <w:szCs w:val="21"/>
              </w:rPr>
              <w:t>0%</w:t>
            </w:r>
          </w:p>
        </w:tc>
        <w:tc>
          <w:tcPr>
            <w:tcW w:w="1030"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9</w:t>
            </w:r>
            <w:r>
              <w:rPr>
                <w:rFonts w:ascii="宋体" w:hAnsi="宋体" w:eastAsia="宋体" w:cs="楷体_GB2312"/>
                <w:bCs/>
                <w:szCs w:val="21"/>
              </w:rPr>
              <w:t>5%</w:t>
            </w:r>
          </w:p>
        </w:tc>
        <w:tc>
          <w:tcPr>
            <w:tcW w:w="774"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1</w:t>
            </w:r>
            <w:r>
              <w:rPr>
                <w:rFonts w:ascii="宋体" w:hAnsi="宋体" w:eastAsia="宋体" w:cs="楷体_GB2312"/>
                <w:bCs/>
                <w:szCs w:val="21"/>
              </w:rPr>
              <w:t>0</w:t>
            </w:r>
          </w:p>
        </w:tc>
        <w:tc>
          <w:tcPr>
            <w:tcW w:w="644"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1</w:t>
            </w:r>
            <w:r>
              <w:rPr>
                <w:rFonts w:ascii="宋体" w:hAnsi="宋体" w:eastAsia="宋体" w:cs="楷体_GB2312"/>
                <w:bCs/>
                <w:szCs w:val="21"/>
              </w:rPr>
              <w:t>0</w:t>
            </w:r>
          </w:p>
        </w:tc>
        <w:tc>
          <w:tcPr>
            <w:tcW w:w="1235" w:type="dxa"/>
            <w:gridSpan w:val="2"/>
            <w:tcBorders>
              <w:tl2br w:val="nil"/>
              <w:tr2bl w:val="nil"/>
            </w:tcBorders>
            <w:vAlign w:val="center"/>
          </w:tcPr>
          <w:p>
            <w:pPr>
              <w:widowControl/>
              <w:spacing w:line="360" w:lineRule="exact"/>
              <w:jc w:val="center"/>
              <w:rPr>
                <w:rFonts w:ascii="宋体" w:hAnsi="宋体" w:eastAsia="宋体" w:cs="楷体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9" w:type="dxa"/>
            <w:gridSpan w:val="8"/>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总分</w:t>
            </w:r>
          </w:p>
        </w:tc>
        <w:tc>
          <w:tcPr>
            <w:tcW w:w="774"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100</w:t>
            </w:r>
          </w:p>
        </w:tc>
        <w:tc>
          <w:tcPr>
            <w:tcW w:w="644" w:type="dxa"/>
            <w:tcBorders>
              <w:tl2br w:val="nil"/>
              <w:tr2bl w:val="nil"/>
            </w:tcBorders>
            <w:vAlign w:val="center"/>
          </w:tcPr>
          <w:p>
            <w:pPr>
              <w:widowControl/>
              <w:spacing w:line="360" w:lineRule="exact"/>
              <w:jc w:val="center"/>
              <w:rPr>
                <w:rFonts w:ascii="宋体" w:hAnsi="宋体" w:eastAsia="宋体" w:cs="楷体_GB2312"/>
                <w:bCs/>
                <w:szCs w:val="21"/>
              </w:rPr>
            </w:pPr>
            <w:r>
              <w:rPr>
                <w:rFonts w:hint="eastAsia" w:ascii="宋体" w:hAnsi="宋体" w:eastAsia="宋体" w:cs="楷体_GB2312"/>
                <w:bCs/>
                <w:szCs w:val="21"/>
              </w:rPr>
              <w:t>9</w:t>
            </w:r>
            <w:r>
              <w:rPr>
                <w:rFonts w:ascii="宋体" w:hAnsi="宋体" w:eastAsia="宋体" w:cs="楷体_GB2312"/>
                <w:bCs/>
                <w:szCs w:val="21"/>
              </w:rPr>
              <w:t>8</w:t>
            </w:r>
          </w:p>
        </w:tc>
        <w:tc>
          <w:tcPr>
            <w:tcW w:w="1235" w:type="dxa"/>
            <w:gridSpan w:val="2"/>
            <w:tcBorders>
              <w:tl2br w:val="nil"/>
              <w:tr2bl w:val="nil"/>
            </w:tcBorders>
            <w:vAlign w:val="center"/>
          </w:tcPr>
          <w:p>
            <w:pPr>
              <w:widowControl/>
              <w:spacing w:line="360" w:lineRule="exact"/>
              <w:jc w:val="center"/>
              <w:rPr>
                <w:rFonts w:ascii="宋体" w:hAnsi="宋体" w:eastAsia="宋体" w:cs="楷体_GB2312"/>
                <w:bCs/>
                <w:szCs w:val="21"/>
              </w:rPr>
            </w:pPr>
          </w:p>
        </w:tc>
      </w:tr>
    </w:tbl>
    <w:p>
      <w:pPr>
        <w:widowControl/>
        <w:spacing w:line="360" w:lineRule="exact"/>
        <w:jc w:val="left"/>
        <w:rPr>
          <w:rFonts w:ascii="宋体" w:hAnsi="宋体" w:eastAsia="宋体" w:cs="楷体_GB2312"/>
          <w:bCs/>
          <w:szCs w:val="21"/>
        </w:rPr>
      </w:pPr>
      <w:r>
        <w:rPr>
          <w:rFonts w:ascii="宋体" w:hAnsi="宋体" w:eastAsia="宋体" w:cs="楷体_GB2312"/>
          <w:bCs/>
          <w:szCs w:val="21"/>
        </w:rPr>
        <w:t>填表人：</w:t>
      </w:r>
      <w:r>
        <w:rPr>
          <w:rFonts w:hint="eastAsia" w:ascii="宋体" w:hAnsi="宋体" w:eastAsia="宋体" w:cs="楷体_GB2312"/>
          <w:bCs/>
          <w:szCs w:val="21"/>
        </w:rPr>
        <w:t xml:space="preserve">陈丽娟    </w:t>
      </w:r>
      <w:r>
        <w:rPr>
          <w:rFonts w:ascii="宋体" w:hAnsi="宋体" w:eastAsia="宋体" w:cs="楷体_GB2312"/>
          <w:bCs/>
          <w:szCs w:val="21"/>
        </w:rPr>
        <w:t xml:space="preserve">    填报日期：</w:t>
      </w:r>
      <w:r>
        <w:rPr>
          <w:rFonts w:hint="eastAsia" w:ascii="宋体" w:hAnsi="宋体" w:eastAsia="宋体" w:cs="楷体_GB2312"/>
          <w:bCs/>
          <w:szCs w:val="21"/>
        </w:rPr>
        <w:t xml:space="preserve"> </w:t>
      </w:r>
      <w:r>
        <w:rPr>
          <w:rFonts w:ascii="宋体" w:hAnsi="宋体" w:eastAsia="宋体" w:cs="楷体_GB2312"/>
          <w:bCs/>
          <w:szCs w:val="21"/>
        </w:rPr>
        <w:t>2024</w:t>
      </w:r>
      <w:r>
        <w:rPr>
          <w:rFonts w:hint="eastAsia" w:ascii="宋体" w:hAnsi="宋体" w:eastAsia="宋体" w:cs="楷体_GB2312"/>
          <w:bCs/>
          <w:szCs w:val="21"/>
        </w:rPr>
        <w:t xml:space="preserve">年6月6日    </w:t>
      </w:r>
      <w:r>
        <w:rPr>
          <w:rFonts w:ascii="宋体" w:hAnsi="宋体" w:eastAsia="宋体" w:cs="楷体_GB2312"/>
          <w:bCs/>
          <w:szCs w:val="21"/>
        </w:rPr>
        <w:t xml:space="preserve">   联系电话：</w:t>
      </w:r>
      <w:r>
        <w:rPr>
          <w:rFonts w:hint="eastAsia" w:ascii="宋体" w:hAnsi="宋体" w:eastAsia="宋体" w:cs="楷体_GB2312"/>
          <w:bCs/>
          <w:szCs w:val="21"/>
        </w:rPr>
        <w:t xml:space="preserve"> </w:t>
      </w:r>
      <w:r>
        <w:rPr>
          <w:rFonts w:ascii="宋体" w:hAnsi="宋体" w:eastAsia="宋体" w:cs="楷体_GB2312"/>
          <w:bCs/>
          <w:szCs w:val="21"/>
        </w:rPr>
        <w:t>19974589993</w:t>
      </w:r>
    </w:p>
    <w:p>
      <w:pPr>
        <w:widowControl/>
        <w:jc w:val="left"/>
        <w:rPr>
          <w:rFonts w:ascii="仿宋GB2312" w:hAnsi="仿宋" w:eastAsia="仿宋GB2312" w:cs="楷体_GB2312"/>
          <w:bCs/>
          <w:sz w:val="18"/>
          <w:szCs w:val="1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GB2312">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DLF-3-0-1061508550+ZLTFEy-360">
    <w:altName w:val="Cambria"/>
    <w:panose1 w:val="00000000000000000000"/>
    <w:charset w:val="00"/>
    <w:family w:val="roman"/>
    <w:pitch w:val="default"/>
    <w:sig w:usb0="00000000" w:usb1="00000000" w:usb2="00000000" w:usb3="00000000" w:csb0="0000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5771975"/>
      <w:docPartObj>
        <w:docPartGallery w:val="autotext"/>
      </w:docPartObj>
    </w:sdtPr>
    <w:sdtEndPr>
      <w:rPr>
        <w:rFonts w:ascii="Times New Roman" w:hAnsi="Times New Roman" w:cs="Times New Roman"/>
      </w:rPr>
    </w:sdtEndPr>
    <w:sdtContent>
      <w:p>
        <w:pPr>
          <w:pStyle w:val="1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bordersDoNotSurroundHeader w:val="1"/>
  <w:bordersDoNotSurroundFooter w:val="1"/>
  <w:hideSpellingErrors/>
  <w:documentProtection w:enforcement="0"/>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D6"/>
    <w:rsid w:val="000000E6"/>
    <w:rsid w:val="000001A6"/>
    <w:rsid w:val="00000F4E"/>
    <w:rsid w:val="00000F50"/>
    <w:rsid w:val="0000100A"/>
    <w:rsid w:val="00001614"/>
    <w:rsid w:val="00002995"/>
    <w:rsid w:val="00002FB6"/>
    <w:rsid w:val="000034F0"/>
    <w:rsid w:val="00003F09"/>
    <w:rsid w:val="0000532B"/>
    <w:rsid w:val="000058D0"/>
    <w:rsid w:val="00007088"/>
    <w:rsid w:val="000075AE"/>
    <w:rsid w:val="00007666"/>
    <w:rsid w:val="00007E74"/>
    <w:rsid w:val="00010441"/>
    <w:rsid w:val="00010AAF"/>
    <w:rsid w:val="00011C8D"/>
    <w:rsid w:val="0001239D"/>
    <w:rsid w:val="0001251D"/>
    <w:rsid w:val="00012F21"/>
    <w:rsid w:val="00012F55"/>
    <w:rsid w:val="00013E69"/>
    <w:rsid w:val="00013F83"/>
    <w:rsid w:val="000143A5"/>
    <w:rsid w:val="0001514A"/>
    <w:rsid w:val="000155A4"/>
    <w:rsid w:val="00015DB2"/>
    <w:rsid w:val="00016BD1"/>
    <w:rsid w:val="0001726E"/>
    <w:rsid w:val="0001749E"/>
    <w:rsid w:val="00017A67"/>
    <w:rsid w:val="00017F83"/>
    <w:rsid w:val="00020E17"/>
    <w:rsid w:val="00021524"/>
    <w:rsid w:val="0002380D"/>
    <w:rsid w:val="00024953"/>
    <w:rsid w:val="00024C19"/>
    <w:rsid w:val="00024E55"/>
    <w:rsid w:val="00024EC5"/>
    <w:rsid w:val="00025855"/>
    <w:rsid w:val="000264B2"/>
    <w:rsid w:val="00027B50"/>
    <w:rsid w:val="00027CBD"/>
    <w:rsid w:val="00030439"/>
    <w:rsid w:val="000312DC"/>
    <w:rsid w:val="000315E9"/>
    <w:rsid w:val="00033C09"/>
    <w:rsid w:val="00033E5A"/>
    <w:rsid w:val="0003508D"/>
    <w:rsid w:val="00036493"/>
    <w:rsid w:val="0003652E"/>
    <w:rsid w:val="00036B19"/>
    <w:rsid w:val="0003700A"/>
    <w:rsid w:val="00037DFC"/>
    <w:rsid w:val="00040116"/>
    <w:rsid w:val="00040735"/>
    <w:rsid w:val="000407E6"/>
    <w:rsid w:val="0004274C"/>
    <w:rsid w:val="0004296C"/>
    <w:rsid w:val="00042A57"/>
    <w:rsid w:val="00042DD6"/>
    <w:rsid w:val="00042EEC"/>
    <w:rsid w:val="000431EA"/>
    <w:rsid w:val="000444D6"/>
    <w:rsid w:val="0004489F"/>
    <w:rsid w:val="0004577C"/>
    <w:rsid w:val="000460D1"/>
    <w:rsid w:val="000468A2"/>
    <w:rsid w:val="00046D79"/>
    <w:rsid w:val="00047101"/>
    <w:rsid w:val="00047C8C"/>
    <w:rsid w:val="000514EB"/>
    <w:rsid w:val="0005291D"/>
    <w:rsid w:val="0005304D"/>
    <w:rsid w:val="00053356"/>
    <w:rsid w:val="0005424B"/>
    <w:rsid w:val="00054851"/>
    <w:rsid w:val="00054986"/>
    <w:rsid w:val="00054F46"/>
    <w:rsid w:val="000551D4"/>
    <w:rsid w:val="000555FB"/>
    <w:rsid w:val="00056C5D"/>
    <w:rsid w:val="00056D19"/>
    <w:rsid w:val="000612C8"/>
    <w:rsid w:val="0006133F"/>
    <w:rsid w:val="00062A8B"/>
    <w:rsid w:val="00063605"/>
    <w:rsid w:val="0006410F"/>
    <w:rsid w:val="00064155"/>
    <w:rsid w:val="00064793"/>
    <w:rsid w:val="00066433"/>
    <w:rsid w:val="00066F3E"/>
    <w:rsid w:val="00071096"/>
    <w:rsid w:val="00071305"/>
    <w:rsid w:val="00071F30"/>
    <w:rsid w:val="00073086"/>
    <w:rsid w:val="0007369A"/>
    <w:rsid w:val="00074188"/>
    <w:rsid w:val="000747B6"/>
    <w:rsid w:val="00074C51"/>
    <w:rsid w:val="000754AB"/>
    <w:rsid w:val="00075684"/>
    <w:rsid w:val="00075EE1"/>
    <w:rsid w:val="00076D96"/>
    <w:rsid w:val="0007700F"/>
    <w:rsid w:val="00077F3E"/>
    <w:rsid w:val="00082EF3"/>
    <w:rsid w:val="00083EBE"/>
    <w:rsid w:val="00083F5F"/>
    <w:rsid w:val="00085062"/>
    <w:rsid w:val="00085D3C"/>
    <w:rsid w:val="0008638C"/>
    <w:rsid w:val="00087092"/>
    <w:rsid w:val="000879C0"/>
    <w:rsid w:val="0009003E"/>
    <w:rsid w:val="00090534"/>
    <w:rsid w:val="00091055"/>
    <w:rsid w:val="00091300"/>
    <w:rsid w:val="0009233A"/>
    <w:rsid w:val="0009251B"/>
    <w:rsid w:val="00092654"/>
    <w:rsid w:val="000932B5"/>
    <w:rsid w:val="00093504"/>
    <w:rsid w:val="00093D91"/>
    <w:rsid w:val="00095B80"/>
    <w:rsid w:val="00095B8E"/>
    <w:rsid w:val="00095BBB"/>
    <w:rsid w:val="000962E2"/>
    <w:rsid w:val="00097CA7"/>
    <w:rsid w:val="00097F54"/>
    <w:rsid w:val="000A066E"/>
    <w:rsid w:val="000A1902"/>
    <w:rsid w:val="000A2743"/>
    <w:rsid w:val="000A2FAF"/>
    <w:rsid w:val="000A3C2A"/>
    <w:rsid w:val="000A4F87"/>
    <w:rsid w:val="000A52A8"/>
    <w:rsid w:val="000A546B"/>
    <w:rsid w:val="000A5482"/>
    <w:rsid w:val="000A596F"/>
    <w:rsid w:val="000A6B24"/>
    <w:rsid w:val="000A7EBA"/>
    <w:rsid w:val="000B3CE4"/>
    <w:rsid w:val="000B4DD5"/>
    <w:rsid w:val="000B4FC4"/>
    <w:rsid w:val="000B52E9"/>
    <w:rsid w:val="000B5520"/>
    <w:rsid w:val="000B64C1"/>
    <w:rsid w:val="000B72E5"/>
    <w:rsid w:val="000C072F"/>
    <w:rsid w:val="000C10BE"/>
    <w:rsid w:val="000C207E"/>
    <w:rsid w:val="000C21D1"/>
    <w:rsid w:val="000C3997"/>
    <w:rsid w:val="000C5778"/>
    <w:rsid w:val="000C6BA2"/>
    <w:rsid w:val="000C6CAA"/>
    <w:rsid w:val="000C7142"/>
    <w:rsid w:val="000C79A2"/>
    <w:rsid w:val="000C79D5"/>
    <w:rsid w:val="000C7D5A"/>
    <w:rsid w:val="000D0985"/>
    <w:rsid w:val="000D0B9D"/>
    <w:rsid w:val="000D2F37"/>
    <w:rsid w:val="000D3F8E"/>
    <w:rsid w:val="000D425B"/>
    <w:rsid w:val="000D4C92"/>
    <w:rsid w:val="000D5CBA"/>
    <w:rsid w:val="000D5DD9"/>
    <w:rsid w:val="000D67E9"/>
    <w:rsid w:val="000D6BBF"/>
    <w:rsid w:val="000D6C30"/>
    <w:rsid w:val="000E0641"/>
    <w:rsid w:val="000E0669"/>
    <w:rsid w:val="000E08B9"/>
    <w:rsid w:val="000E2136"/>
    <w:rsid w:val="000E2A0C"/>
    <w:rsid w:val="000E3EE0"/>
    <w:rsid w:val="000E4436"/>
    <w:rsid w:val="000E764F"/>
    <w:rsid w:val="000F03D5"/>
    <w:rsid w:val="000F0503"/>
    <w:rsid w:val="000F0B1D"/>
    <w:rsid w:val="000F1BF7"/>
    <w:rsid w:val="000F1CF8"/>
    <w:rsid w:val="000F2211"/>
    <w:rsid w:val="000F35D2"/>
    <w:rsid w:val="000F3768"/>
    <w:rsid w:val="000F440C"/>
    <w:rsid w:val="000F44D6"/>
    <w:rsid w:val="000F45C6"/>
    <w:rsid w:val="000F5156"/>
    <w:rsid w:val="000F53EA"/>
    <w:rsid w:val="000F554E"/>
    <w:rsid w:val="000F5645"/>
    <w:rsid w:val="000F665E"/>
    <w:rsid w:val="000F7A3D"/>
    <w:rsid w:val="000F7F10"/>
    <w:rsid w:val="00100088"/>
    <w:rsid w:val="001029D1"/>
    <w:rsid w:val="00103FE0"/>
    <w:rsid w:val="0010449F"/>
    <w:rsid w:val="001058EB"/>
    <w:rsid w:val="00105D9F"/>
    <w:rsid w:val="00106CD6"/>
    <w:rsid w:val="00110134"/>
    <w:rsid w:val="001109CA"/>
    <w:rsid w:val="00110F68"/>
    <w:rsid w:val="001120B4"/>
    <w:rsid w:val="0011252C"/>
    <w:rsid w:val="00112646"/>
    <w:rsid w:val="001129C8"/>
    <w:rsid w:val="00112FDC"/>
    <w:rsid w:val="001139B7"/>
    <w:rsid w:val="00113C14"/>
    <w:rsid w:val="00114994"/>
    <w:rsid w:val="00114ACE"/>
    <w:rsid w:val="00114E44"/>
    <w:rsid w:val="00115FD8"/>
    <w:rsid w:val="001161C1"/>
    <w:rsid w:val="001169E8"/>
    <w:rsid w:val="00117336"/>
    <w:rsid w:val="001209B7"/>
    <w:rsid w:val="00120EAF"/>
    <w:rsid w:val="001229C2"/>
    <w:rsid w:val="00123CA7"/>
    <w:rsid w:val="001248D7"/>
    <w:rsid w:val="001274C3"/>
    <w:rsid w:val="00127AEB"/>
    <w:rsid w:val="001302DA"/>
    <w:rsid w:val="00131040"/>
    <w:rsid w:val="00131842"/>
    <w:rsid w:val="001321CD"/>
    <w:rsid w:val="001333B7"/>
    <w:rsid w:val="00133B95"/>
    <w:rsid w:val="00135631"/>
    <w:rsid w:val="0013598D"/>
    <w:rsid w:val="00135E31"/>
    <w:rsid w:val="00135F75"/>
    <w:rsid w:val="00136B16"/>
    <w:rsid w:val="001371A9"/>
    <w:rsid w:val="00137F18"/>
    <w:rsid w:val="0014027C"/>
    <w:rsid w:val="001411A7"/>
    <w:rsid w:val="001415F5"/>
    <w:rsid w:val="00141D9B"/>
    <w:rsid w:val="001432A4"/>
    <w:rsid w:val="00143907"/>
    <w:rsid w:val="00146A8B"/>
    <w:rsid w:val="00147E2F"/>
    <w:rsid w:val="00151CE1"/>
    <w:rsid w:val="00151F19"/>
    <w:rsid w:val="001526C7"/>
    <w:rsid w:val="00152CD9"/>
    <w:rsid w:val="00152F4D"/>
    <w:rsid w:val="001543D6"/>
    <w:rsid w:val="00154CB1"/>
    <w:rsid w:val="00155094"/>
    <w:rsid w:val="0015732A"/>
    <w:rsid w:val="0015761C"/>
    <w:rsid w:val="00160F1C"/>
    <w:rsid w:val="00163065"/>
    <w:rsid w:val="00163272"/>
    <w:rsid w:val="00163709"/>
    <w:rsid w:val="00165FB4"/>
    <w:rsid w:val="001665B3"/>
    <w:rsid w:val="001679EF"/>
    <w:rsid w:val="00167B59"/>
    <w:rsid w:val="00167D27"/>
    <w:rsid w:val="00170145"/>
    <w:rsid w:val="00170D85"/>
    <w:rsid w:val="0017186F"/>
    <w:rsid w:val="00172561"/>
    <w:rsid w:val="001727DF"/>
    <w:rsid w:val="00173411"/>
    <w:rsid w:val="00173683"/>
    <w:rsid w:val="00173FED"/>
    <w:rsid w:val="00174B83"/>
    <w:rsid w:val="001758B8"/>
    <w:rsid w:val="00176781"/>
    <w:rsid w:val="0017683E"/>
    <w:rsid w:val="001769A5"/>
    <w:rsid w:val="0017752D"/>
    <w:rsid w:val="0018032C"/>
    <w:rsid w:val="0018096A"/>
    <w:rsid w:val="00180ED3"/>
    <w:rsid w:val="00182D9C"/>
    <w:rsid w:val="00183BBB"/>
    <w:rsid w:val="00185D78"/>
    <w:rsid w:val="00186404"/>
    <w:rsid w:val="00186652"/>
    <w:rsid w:val="00186ADC"/>
    <w:rsid w:val="00186C7B"/>
    <w:rsid w:val="00186F5C"/>
    <w:rsid w:val="001872DD"/>
    <w:rsid w:val="0019012F"/>
    <w:rsid w:val="00190E7F"/>
    <w:rsid w:val="001913E6"/>
    <w:rsid w:val="00191989"/>
    <w:rsid w:val="001935AC"/>
    <w:rsid w:val="00194362"/>
    <w:rsid w:val="001A0069"/>
    <w:rsid w:val="001A0F77"/>
    <w:rsid w:val="001A107D"/>
    <w:rsid w:val="001A170C"/>
    <w:rsid w:val="001A187C"/>
    <w:rsid w:val="001A2F7B"/>
    <w:rsid w:val="001A3E4D"/>
    <w:rsid w:val="001A5B4F"/>
    <w:rsid w:val="001A674F"/>
    <w:rsid w:val="001A6CAE"/>
    <w:rsid w:val="001A7274"/>
    <w:rsid w:val="001A78AA"/>
    <w:rsid w:val="001B00D0"/>
    <w:rsid w:val="001B00FB"/>
    <w:rsid w:val="001B097A"/>
    <w:rsid w:val="001B1897"/>
    <w:rsid w:val="001B1E19"/>
    <w:rsid w:val="001B1E96"/>
    <w:rsid w:val="001B2E5D"/>
    <w:rsid w:val="001B4209"/>
    <w:rsid w:val="001B6215"/>
    <w:rsid w:val="001B70C5"/>
    <w:rsid w:val="001B727B"/>
    <w:rsid w:val="001C079B"/>
    <w:rsid w:val="001C0ADD"/>
    <w:rsid w:val="001C0B99"/>
    <w:rsid w:val="001C1CD5"/>
    <w:rsid w:val="001C2B46"/>
    <w:rsid w:val="001C3B31"/>
    <w:rsid w:val="001C4BD0"/>
    <w:rsid w:val="001C4F02"/>
    <w:rsid w:val="001C51AD"/>
    <w:rsid w:val="001C5A48"/>
    <w:rsid w:val="001C666A"/>
    <w:rsid w:val="001C6C61"/>
    <w:rsid w:val="001C78BA"/>
    <w:rsid w:val="001D0529"/>
    <w:rsid w:val="001D0F5D"/>
    <w:rsid w:val="001D1872"/>
    <w:rsid w:val="001D19CB"/>
    <w:rsid w:val="001D2819"/>
    <w:rsid w:val="001D2EE0"/>
    <w:rsid w:val="001D3E88"/>
    <w:rsid w:val="001D6A7A"/>
    <w:rsid w:val="001E0230"/>
    <w:rsid w:val="001E07BF"/>
    <w:rsid w:val="001E1930"/>
    <w:rsid w:val="001E2ADE"/>
    <w:rsid w:val="001E39DD"/>
    <w:rsid w:val="001E3EF1"/>
    <w:rsid w:val="001E45D3"/>
    <w:rsid w:val="001E477E"/>
    <w:rsid w:val="001E4D56"/>
    <w:rsid w:val="001E5EB9"/>
    <w:rsid w:val="001E6391"/>
    <w:rsid w:val="001F04FF"/>
    <w:rsid w:val="001F2737"/>
    <w:rsid w:val="001F27D2"/>
    <w:rsid w:val="001F293C"/>
    <w:rsid w:val="001F3CEC"/>
    <w:rsid w:val="001F567D"/>
    <w:rsid w:val="001F5D4B"/>
    <w:rsid w:val="001F7480"/>
    <w:rsid w:val="001F7686"/>
    <w:rsid w:val="001F7B4E"/>
    <w:rsid w:val="001F7CC6"/>
    <w:rsid w:val="00200607"/>
    <w:rsid w:val="002011E0"/>
    <w:rsid w:val="0020218D"/>
    <w:rsid w:val="00202F81"/>
    <w:rsid w:val="00204284"/>
    <w:rsid w:val="00206099"/>
    <w:rsid w:val="0020740C"/>
    <w:rsid w:val="0021069B"/>
    <w:rsid w:val="00210A6A"/>
    <w:rsid w:val="00210EA2"/>
    <w:rsid w:val="002112AF"/>
    <w:rsid w:val="00212E6F"/>
    <w:rsid w:val="00214015"/>
    <w:rsid w:val="0021402B"/>
    <w:rsid w:val="002145E7"/>
    <w:rsid w:val="00215BE3"/>
    <w:rsid w:val="00220429"/>
    <w:rsid w:val="00220638"/>
    <w:rsid w:val="00221165"/>
    <w:rsid w:val="002211B7"/>
    <w:rsid w:val="002218FB"/>
    <w:rsid w:val="00221E72"/>
    <w:rsid w:val="002226ED"/>
    <w:rsid w:val="00222E8B"/>
    <w:rsid w:val="00222FD4"/>
    <w:rsid w:val="00223256"/>
    <w:rsid w:val="00223547"/>
    <w:rsid w:val="002243C7"/>
    <w:rsid w:val="002243FA"/>
    <w:rsid w:val="00225DA0"/>
    <w:rsid w:val="00225F14"/>
    <w:rsid w:val="00226167"/>
    <w:rsid w:val="00226177"/>
    <w:rsid w:val="00226B6D"/>
    <w:rsid w:val="002300E3"/>
    <w:rsid w:val="00231E5E"/>
    <w:rsid w:val="0023229C"/>
    <w:rsid w:val="0023321A"/>
    <w:rsid w:val="00234435"/>
    <w:rsid w:val="00234816"/>
    <w:rsid w:val="002366C2"/>
    <w:rsid w:val="00240F25"/>
    <w:rsid w:val="00241D95"/>
    <w:rsid w:val="002423A1"/>
    <w:rsid w:val="00244353"/>
    <w:rsid w:val="00244B4C"/>
    <w:rsid w:val="00244C03"/>
    <w:rsid w:val="00244D2F"/>
    <w:rsid w:val="002454FB"/>
    <w:rsid w:val="00246D7D"/>
    <w:rsid w:val="00247507"/>
    <w:rsid w:val="00247AB3"/>
    <w:rsid w:val="00247B2F"/>
    <w:rsid w:val="0025027C"/>
    <w:rsid w:val="0025046B"/>
    <w:rsid w:val="00250FA4"/>
    <w:rsid w:val="002512B4"/>
    <w:rsid w:val="00253055"/>
    <w:rsid w:val="00253776"/>
    <w:rsid w:val="00253D3D"/>
    <w:rsid w:val="00254A1F"/>
    <w:rsid w:val="00254F58"/>
    <w:rsid w:val="0025550F"/>
    <w:rsid w:val="00256801"/>
    <w:rsid w:val="00257200"/>
    <w:rsid w:val="0025728F"/>
    <w:rsid w:val="00257F37"/>
    <w:rsid w:val="00260CF7"/>
    <w:rsid w:val="00260DFB"/>
    <w:rsid w:val="002612BC"/>
    <w:rsid w:val="002633D9"/>
    <w:rsid w:val="0026430E"/>
    <w:rsid w:val="00264B00"/>
    <w:rsid w:val="00266083"/>
    <w:rsid w:val="002668B6"/>
    <w:rsid w:val="00266AD9"/>
    <w:rsid w:val="00267851"/>
    <w:rsid w:val="0026798B"/>
    <w:rsid w:val="00267FBD"/>
    <w:rsid w:val="00270206"/>
    <w:rsid w:val="0027072C"/>
    <w:rsid w:val="00271B1B"/>
    <w:rsid w:val="00271B3D"/>
    <w:rsid w:val="002724D4"/>
    <w:rsid w:val="00272B70"/>
    <w:rsid w:val="002730C7"/>
    <w:rsid w:val="00274265"/>
    <w:rsid w:val="00275405"/>
    <w:rsid w:val="0027713B"/>
    <w:rsid w:val="00281777"/>
    <w:rsid w:val="00281818"/>
    <w:rsid w:val="00283BE3"/>
    <w:rsid w:val="0028525A"/>
    <w:rsid w:val="002860BC"/>
    <w:rsid w:val="00286685"/>
    <w:rsid w:val="002869C7"/>
    <w:rsid w:val="0028788A"/>
    <w:rsid w:val="00287920"/>
    <w:rsid w:val="002916B8"/>
    <w:rsid w:val="002919DA"/>
    <w:rsid w:val="0029247E"/>
    <w:rsid w:val="00293E3D"/>
    <w:rsid w:val="002942B2"/>
    <w:rsid w:val="0029471A"/>
    <w:rsid w:val="00295BB9"/>
    <w:rsid w:val="002963E6"/>
    <w:rsid w:val="00296FC0"/>
    <w:rsid w:val="002A15DA"/>
    <w:rsid w:val="002A2130"/>
    <w:rsid w:val="002A2E26"/>
    <w:rsid w:val="002A4BF9"/>
    <w:rsid w:val="002A5165"/>
    <w:rsid w:val="002A5C09"/>
    <w:rsid w:val="002B0961"/>
    <w:rsid w:val="002B2BBA"/>
    <w:rsid w:val="002B45E8"/>
    <w:rsid w:val="002B5ADF"/>
    <w:rsid w:val="002B5F28"/>
    <w:rsid w:val="002B67D4"/>
    <w:rsid w:val="002B6891"/>
    <w:rsid w:val="002B6BA2"/>
    <w:rsid w:val="002B77F4"/>
    <w:rsid w:val="002B798F"/>
    <w:rsid w:val="002C189A"/>
    <w:rsid w:val="002C3A5B"/>
    <w:rsid w:val="002C4531"/>
    <w:rsid w:val="002C4D56"/>
    <w:rsid w:val="002C543D"/>
    <w:rsid w:val="002C6060"/>
    <w:rsid w:val="002C6359"/>
    <w:rsid w:val="002C6D69"/>
    <w:rsid w:val="002C7019"/>
    <w:rsid w:val="002C775A"/>
    <w:rsid w:val="002D08FB"/>
    <w:rsid w:val="002D0A5A"/>
    <w:rsid w:val="002D0D87"/>
    <w:rsid w:val="002D0DBA"/>
    <w:rsid w:val="002D265E"/>
    <w:rsid w:val="002D288A"/>
    <w:rsid w:val="002D3552"/>
    <w:rsid w:val="002D39D5"/>
    <w:rsid w:val="002D42BE"/>
    <w:rsid w:val="002D438A"/>
    <w:rsid w:val="002D560D"/>
    <w:rsid w:val="002D5B46"/>
    <w:rsid w:val="002D6FF6"/>
    <w:rsid w:val="002D77A9"/>
    <w:rsid w:val="002E1770"/>
    <w:rsid w:val="002E44ED"/>
    <w:rsid w:val="002E6CBC"/>
    <w:rsid w:val="002E730F"/>
    <w:rsid w:val="002E77FA"/>
    <w:rsid w:val="002E7E1F"/>
    <w:rsid w:val="002F1699"/>
    <w:rsid w:val="002F1BDA"/>
    <w:rsid w:val="002F2190"/>
    <w:rsid w:val="002F2745"/>
    <w:rsid w:val="002F2B8E"/>
    <w:rsid w:val="002F3764"/>
    <w:rsid w:val="002F41A8"/>
    <w:rsid w:val="002F58C7"/>
    <w:rsid w:val="002F5D8A"/>
    <w:rsid w:val="002F666D"/>
    <w:rsid w:val="002F7372"/>
    <w:rsid w:val="00300832"/>
    <w:rsid w:val="00301A72"/>
    <w:rsid w:val="003042D9"/>
    <w:rsid w:val="00304DB3"/>
    <w:rsid w:val="003057CA"/>
    <w:rsid w:val="00306561"/>
    <w:rsid w:val="00307647"/>
    <w:rsid w:val="00307F5D"/>
    <w:rsid w:val="00310688"/>
    <w:rsid w:val="003127C8"/>
    <w:rsid w:val="00312A57"/>
    <w:rsid w:val="00314821"/>
    <w:rsid w:val="00315044"/>
    <w:rsid w:val="003163C3"/>
    <w:rsid w:val="0031715B"/>
    <w:rsid w:val="00320703"/>
    <w:rsid w:val="00320FC5"/>
    <w:rsid w:val="003213E5"/>
    <w:rsid w:val="00321CFF"/>
    <w:rsid w:val="0032254D"/>
    <w:rsid w:val="00322942"/>
    <w:rsid w:val="00323B83"/>
    <w:rsid w:val="003244AC"/>
    <w:rsid w:val="003251DF"/>
    <w:rsid w:val="00325318"/>
    <w:rsid w:val="0032532C"/>
    <w:rsid w:val="00325486"/>
    <w:rsid w:val="00326C57"/>
    <w:rsid w:val="00326CD5"/>
    <w:rsid w:val="003271E6"/>
    <w:rsid w:val="00327F9F"/>
    <w:rsid w:val="0033060E"/>
    <w:rsid w:val="00330794"/>
    <w:rsid w:val="00332341"/>
    <w:rsid w:val="0033249D"/>
    <w:rsid w:val="00333CEC"/>
    <w:rsid w:val="00333E4C"/>
    <w:rsid w:val="00334344"/>
    <w:rsid w:val="00334F83"/>
    <w:rsid w:val="00336057"/>
    <w:rsid w:val="003364D1"/>
    <w:rsid w:val="003365A8"/>
    <w:rsid w:val="00337244"/>
    <w:rsid w:val="003373E4"/>
    <w:rsid w:val="00337743"/>
    <w:rsid w:val="003378F7"/>
    <w:rsid w:val="00337B18"/>
    <w:rsid w:val="00340C55"/>
    <w:rsid w:val="00341C02"/>
    <w:rsid w:val="00344339"/>
    <w:rsid w:val="0034475D"/>
    <w:rsid w:val="00344D9C"/>
    <w:rsid w:val="003455F5"/>
    <w:rsid w:val="003456D8"/>
    <w:rsid w:val="003469EC"/>
    <w:rsid w:val="003472D4"/>
    <w:rsid w:val="00347466"/>
    <w:rsid w:val="00347BE5"/>
    <w:rsid w:val="003503E8"/>
    <w:rsid w:val="003510C7"/>
    <w:rsid w:val="00351CEC"/>
    <w:rsid w:val="00352131"/>
    <w:rsid w:val="003524FD"/>
    <w:rsid w:val="003558E5"/>
    <w:rsid w:val="00355F99"/>
    <w:rsid w:val="00356514"/>
    <w:rsid w:val="003565E7"/>
    <w:rsid w:val="003565F6"/>
    <w:rsid w:val="003573C2"/>
    <w:rsid w:val="003578F2"/>
    <w:rsid w:val="00360FF1"/>
    <w:rsid w:val="00361EDE"/>
    <w:rsid w:val="00361F97"/>
    <w:rsid w:val="00362BE2"/>
    <w:rsid w:val="00363D81"/>
    <w:rsid w:val="00363F37"/>
    <w:rsid w:val="0036408D"/>
    <w:rsid w:val="00364EE3"/>
    <w:rsid w:val="00365086"/>
    <w:rsid w:val="003666D4"/>
    <w:rsid w:val="00367ABA"/>
    <w:rsid w:val="00371F82"/>
    <w:rsid w:val="00372394"/>
    <w:rsid w:val="003729BF"/>
    <w:rsid w:val="003748AD"/>
    <w:rsid w:val="00374BAC"/>
    <w:rsid w:val="00375894"/>
    <w:rsid w:val="003768A3"/>
    <w:rsid w:val="003768A4"/>
    <w:rsid w:val="0037691C"/>
    <w:rsid w:val="00377D74"/>
    <w:rsid w:val="00377F15"/>
    <w:rsid w:val="0038187E"/>
    <w:rsid w:val="00383851"/>
    <w:rsid w:val="00384300"/>
    <w:rsid w:val="00384F71"/>
    <w:rsid w:val="00385F04"/>
    <w:rsid w:val="00385F43"/>
    <w:rsid w:val="00386007"/>
    <w:rsid w:val="00386F1E"/>
    <w:rsid w:val="00387F74"/>
    <w:rsid w:val="003906C3"/>
    <w:rsid w:val="00391704"/>
    <w:rsid w:val="00391785"/>
    <w:rsid w:val="00391C3B"/>
    <w:rsid w:val="0039249E"/>
    <w:rsid w:val="00392CE6"/>
    <w:rsid w:val="003936E0"/>
    <w:rsid w:val="00394957"/>
    <w:rsid w:val="0039605F"/>
    <w:rsid w:val="0039612F"/>
    <w:rsid w:val="003967C4"/>
    <w:rsid w:val="00397E29"/>
    <w:rsid w:val="003A033D"/>
    <w:rsid w:val="003A0852"/>
    <w:rsid w:val="003A0B2C"/>
    <w:rsid w:val="003A0D3B"/>
    <w:rsid w:val="003A1E8D"/>
    <w:rsid w:val="003A2D9B"/>
    <w:rsid w:val="003A2E02"/>
    <w:rsid w:val="003A3033"/>
    <w:rsid w:val="003A4AFD"/>
    <w:rsid w:val="003A575C"/>
    <w:rsid w:val="003A73BF"/>
    <w:rsid w:val="003A7C3E"/>
    <w:rsid w:val="003B0298"/>
    <w:rsid w:val="003B08A9"/>
    <w:rsid w:val="003B0CA9"/>
    <w:rsid w:val="003B13C2"/>
    <w:rsid w:val="003B1740"/>
    <w:rsid w:val="003B1862"/>
    <w:rsid w:val="003B1C73"/>
    <w:rsid w:val="003B1F60"/>
    <w:rsid w:val="003B2827"/>
    <w:rsid w:val="003B40F2"/>
    <w:rsid w:val="003B458E"/>
    <w:rsid w:val="003B4BF0"/>
    <w:rsid w:val="003B4D36"/>
    <w:rsid w:val="003B5696"/>
    <w:rsid w:val="003B56A6"/>
    <w:rsid w:val="003B5EA9"/>
    <w:rsid w:val="003B6C28"/>
    <w:rsid w:val="003B7BBE"/>
    <w:rsid w:val="003B7C0D"/>
    <w:rsid w:val="003C0D62"/>
    <w:rsid w:val="003C1187"/>
    <w:rsid w:val="003C2AFE"/>
    <w:rsid w:val="003C2B67"/>
    <w:rsid w:val="003C702A"/>
    <w:rsid w:val="003C73EC"/>
    <w:rsid w:val="003D098B"/>
    <w:rsid w:val="003D1399"/>
    <w:rsid w:val="003D1478"/>
    <w:rsid w:val="003D16D2"/>
    <w:rsid w:val="003D1F5F"/>
    <w:rsid w:val="003D2A6D"/>
    <w:rsid w:val="003D2F64"/>
    <w:rsid w:val="003D304D"/>
    <w:rsid w:val="003D3439"/>
    <w:rsid w:val="003D43AE"/>
    <w:rsid w:val="003D4CD2"/>
    <w:rsid w:val="003D6A74"/>
    <w:rsid w:val="003D78FF"/>
    <w:rsid w:val="003E25DE"/>
    <w:rsid w:val="003E2AE0"/>
    <w:rsid w:val="003E308E"/>
    <w:rsid w:val="003E3E73"/>
    <w:rsid w:val="003E3F16"/>
    <w:rsid w:val="003E63A9"/>
    <w:rsid w:val="003E6653"/>
    <w:rsid w:val="003E6799"/>
    <w:rsid w:val="003E75A6"/>
    <w:rsid w:val="003E794D"/>
    <w:rsid w:val="003F1653"/>
    <w:rsid w:val="003F16E2"/>
    <w:rsid w:val="003F4D22"/>
    <w:rsid w:val="003F5A82"/>
    <w:rsid w:val="003F6A58"/>
    <w:rsid w:val="003F6D08"/>
    <w:rsid w:val="003F7B15"/>
    <w:rsid w:val="003F7F76"/>
    <w:rsid w:val="00400AA3"/>
    <w:rsid w:val="00401AAE"/>
    <w:rsid w:val="00401D78"/>
    <w:rsid w:val="00402D91"/>
    <w:rsid w:val="004030C8"/>
    <w:rsid w:val="00403EDD"/>
    <w:rsid w:val="004048DB"/>
    <w:rsid w:val="00404CDD"/>
    <w:rsid w:val="00404E3E"/>
    <w:rsid w:val="00405D13"/>
    <w:rsid w:val="00405D34"/>
    <w:rsid w:val="00406875"/>
    <w:rsid w:val="00406BB0"/>
    <w:rsid w:val="00407BD1"/>
    <w:rsid w:val="00407C6F"/>
    <w:rsid w:val="00407CD8"/>
    <w:rsid w:val="00407FE3"/>
    <w:rsid w:val="00410180"/>
    <w:rsid w:val="00411CDD"/>
    <w:rsid w:val="00412EA4"/>
    <w:rsid w:val="00412EE4"/>
    <w:rsid w:val="00413261"/>
    <w:rsid w:val="004138C9"/>
    <w:rsid w:val="00415769"/>
    <w:rsid w:val="00417FF5"/>
    <w:rsid w:val="0042045A"/>
    <w:rsid w:val="00420755"/>
    <w:rsid w:val="00420DAB"/>
    <w:rsid w:val="00421883"/>
    <w:rsid w:val="00421B64"/>
    <w:rsid w:val="004232FA"/>
    <w:rsid w:val="0042356D"/>
    <w:rsid w:val="004238AB"/>
    <w:rsid w:val="00423BC7"/>
    <w:rsid w:val="00425C33"/>
    <w:rsid w:val="004266AF"/>
    <w:rsid w:val="00426A74"/>
    <w:rsid w:val="00426DE0"/>
    <w:rsid w:val="00427401"/>
    <w:rsid w:val="00430BB3"/>
    <w:rsid w:val="00430ED4"/>
    <w:rsid w:val="00431DC4"/>
    <w:rsid w:val="00432202"/>
    <w:rsid w:val="00432DDE"/>
    <w:rsid w:val="00432F9F"/>
    <w:rsid w:val="00433A98"/>
    <w:rsid w:val="004341C1"/>
    <w:rsid w:val="0043439F"/>
    <w:rsid w:val="00434B1C"/>
    <w:rsid w:val="00434B52"/>
    <w:rsid w:val="00435423"/>
    <w:rsid w:val="0043546C"/>
    <w:rsid w:val="00435552"/>
    <w:rsid w:val="00435970"/>
    <w:rsid w:val="00435F46"/>
    <w:rsid w:val="004362B0"/>
    <w:rsid w:val="00437AB9"/>
    <w:rsid w:val="00437D0F"/>
    <w:rsid w:val="00440BAE"/>
    <w:rsid w:val="00440E56"/>
    <w:rsid w:val="004413A3"/>
    <w:rsid w:val="0044181F"/>
    <w:rsid w:val="0044183D"/>
    <w:rsid w:val="0044254B"/>
    <w:rsid w:val="0044255F"/>
    <w:rsid w:val="00443A93"/>
    <w:rsid w:val="00444EFC"/>
    <w:rsid w:val="00444FFC"/>
    <w:rsid w:val="00446429"/>
    <w:rsid w:val="00447260"/>
    <w:rsid w:val="004473BA"/>
    <w:rsid w:val="004516C0"/>
    <w:rsid w:val="00452312"/>
    <w:rsid w:val="00453EB3"/>
    <w:rsid w:val="004567F4"/>
    <w:rsid w:val="00456AA2"/>
    <w:rsid w:val="004602E2"/>
    <w:rsid w:val="004606C2"/>
    <w:rsid w:val="004615A3"/>
    <w:rsid w:val="004615B4"/>
    <w:rsid w:val="004621EE"/>
    <w:rsid w:val="00463C0A"/>
    <w:rsid w:val="00464B29"/>
    <w:rsid w:val="00464D7E"/>
    <w:rsid w:val="00465F37"/>
    <w:rsid w:val="004663F2"/>
    <w:rsid w:val="00466676"/>
    <w:rsid w:val="00466D58"/>
    <w:rsid w:val="00467558"/>
    <w:rsid w:val="004675CC"/>
    <w:rsid w:val="00467A2D"/>
    <w:rsid w:val="004710C2"/>
    <w:rsid w:val="00471709"/>
    <w:rsid w:val="00471D7C"/>
    <w:rsid w:val="00472064"/>
    <w:rsid w:val="0047218F"/>
    <w:rsid w:val="004728BF"/>
    <w:rsid w:val="00472C0A"/>
    <w:rsid w:val="00472EA5"/>
    <w:rsid w:val="00474A65"/>
    <w:rsid w:val="004750D0"/>
    <w:rsid w:val="004758C1"/>
    <w:rsid w:val="00475940"/>
    <w:rsid w:val="00475A18"/>
    <w:rsid w:val="00476381"/>
    <w:rsid w:val="00476485"/>
    <w:rsid w:val="00476C9F"/>
    <w:rsid w:val="00481897"/>
    <w:rsid w:val="00482ACF"/>
    <w:rsid w:val="004833B7"/>
    <w:rsid w:val="00483555"/>
    <w:rsid w:val="00483FF2"/>
    <w:rsid w:val="00485181"/>
    <w:rsid w:val="004916AC"/>
    <w:rsid w:val="0049363B"/>
    <w:rsid w:val="004944B2"/>
    <w:rsid w:val="00494552"/>
    <w:rsid w:val="00495CF6"/>
    <w:rsid w:val="00497343"/>
    <w:rsid w:val="00497762"/>
    <w:rsid w:val="004A0502"/>
    <w:rsid w:val="004A0821"/>
    <w:rsid w:val="004A1214"/>
    <w:rsid w:val="004A1D37"/>
    <w:rsid w:val="004A269D"/>
    <w:rsid w:val="004A3DB1"/>
    <w:rsid w:val="004A3E2F"/>
    <w:rsid w:val="004A3EAA"/>
    <w:rsid w:val="004A450C"/>
    <w:rsid w:val="004A45EC"/>
    <w:rsid w:val="004A4F6E"/>
    <w:rsid w:val="004A6CBC"/>
    <w:rsid w:val="004B312B"/>
    <w:rsid w:val="004B3156"/>
    <w:rsid w:val="004B3A86"/>
    <w:rsid w:val="004B44FD"/>
    <w:rsid w:val="004B4658"/>
    <w:rsid w:val="004B5321"/>
    <w:rsid w:val="004B5CC9"/>
    <w:rsid w:val="004B5F5F"/>
    <w:rsid w:val="004B6F97"/>
    <w:rsid w:val="004C0233"/>
    <w:rsid w:val="004C18DD"/>
    <w:rsid w:val="004C35E3"/>
    <w:rsid w:val="004C3A55"/>
    <w:rsid w:val="004C6123"/>
    <w:rsid w:val="004C69E1"/>
    <w:rsid w:val="004C7A06"/>
    <w:rsid w:val="004D12BD"/>
    <w:rsid w:val="004D1E60"/>
    <w:rsid w:val="004D2796"/>
    <w:rsid w:val="004D2C6F"/>
    <w:rsid w:val="004D2CF2"/>
    <w:rsid w:val="004D454D"/>
    <w:rsid w:val="004D464A"/>
    <w:rsid w:val="004D62AA"/>
    <w:rsid w:val="004D6B61"/>
    <w:rsid w:val="004D76BF"/>
    <w:rsid w:val="004D772B"/>
    <w:rsid w:val="004D7987"/>
    <w:rsid w:val="004D7E2A"/>
    <w:rsid w:val="004E0003"/>
    <w:rsid w:val="004E09C0"/>
    <w:rsid w:val="004E167E"/>
    <w:rsid w:val="004E18BA"/>
    <w:rsid w:val="004E2967"/>
    <w:rsid w:val="004E2E94"/>
    <w:rsid w:val="004E3264"/>
    <w:rsid w:val="004E3C1D"/>
    <w:rsid w:val="004E3C41"/>
    <w:rsid w:val="004E57BD"/>
    <w:rsid w:val="004E5B20"/>
    <w:rsid w:val="004E7B83"/>
    <w:rsid w:val="004F10FC"/>
    <w:rsid w:val="004F1E7B"/>
    <w:rsid w:val="004F4ED1"/>
    <w:rsid w:val="004F50D2"/>
    <w:rsid w:val="004F51B6"/>
    <w:rsid w:val="004F5805"/>
    <w:rsid w:val="004F580A"/>
    <w:rsid w:val="004F6555"/>
    <w:rsid w:val="004F7B63"/>
    <w:rsid w:val="004F7D8E"/>
    <w:rsid w:val="00501236"/>
    <w:rsid w:val="00502A0C"/>
    <w:rsid w:val="00503354"/>
    <w:rsid w:val="00503DA7"/>
    <w:rsid w:val="0050429B"/>
    <w:rsid w:val="005042E0"/>
    <w:rsid w:val="00504E77"/>
    <w:rsid w:val="005065DD"/>
    <w:rsid w:val="00506641"/>
    <w:rsid w:val="00506D07"/>
    <w:rsid w:val="00507E0F"/>
    <w:rsid w:val="005101C1"/>
    <w:rsid w:val="00510FD1"/>
    <w:rsid w:val="005112D7"/>
    <w:rsid w:val="00511B5E"/>
    <w:rsid w:val="005127B2"/>
    <w:rsid w:val="0051280D"/>
    <w:rsid w:val="00512DE4"/>
    <w:rsid w:val="005133D8"/>
    <w:rsid w:val="00513A4F"/>
    <w:rsid w:val="00515D82"/>
    <w:rsid w:val="00516762"/>
    <w:rsid w:val="005170F3"/>
    <w:rsid w:val="00517D19"/>
    <w:rsid w:val="005226FC"/>
    <w:rsid w:val="00522AC9"/>
    <w:rsid w:val="005230CE"/>
    <w:rsid w:val="0052371A"/>
    <w:rsid w:val="005237F8"/>
    <w:rsid w:val="00523C79"/>
    <w:rsid w:val="00524D62"/>
    <w:rsid w:val="005252D5"/>
    <w:rsid w:val="00525E2B"/>
    <w:rsid w:val="00526070"/>
    <w:rsid w:val="00526C42"/>
    <w:rsid w:val="00527486"/>
    <w:rsid w:val="00527683"/>
    <w:rsid w:val="005276AC"/>
    <w:rsid w:val="00527F74"/>
    <w:rsid w:val="0053002A"/>
    <w:rsid w:val="00531327"/>
    <w:rsid w:val="00531E86"/>
    <w:rsid w:val="00532601"/>
    <w:rsid w:val="00532C00"/>
    <w:rsid w:val="00533069"/>
    <w:rsid w:val="00533810"/>
    <w:rsid w:val="00533BB9"/>
    <w:rsid w:val="00534836"/>
    <w:rsid w:val="00535290"/>
    <w:rsid w:val="00535721"/>
    <w:rsid w:val="00535B7F"/>
    <w:rsid w:val="0054056D"/>
    <w:rsid w:val="00540699"/>
    <w:rsid w:val="0054299B"/>
    <w:rsid w:val="00543BBE"/>
    <w:rsid w:val="00544C10"/>
    <w:rsid w:val="00545658"/>
    <w:rsid w:val="00545A63"/>
    <w:rsid w:val="00545F0D"/>
    <w:rsid w:val="00546A9A"/>
    <w:rsid w:val="00546B04"/>
    <w:rsid w:val="005472FD"/>
    <w:rsid w:val="005475F6"/>
    <w:rsid w:val="00547C3D"/>
    <w:rsid w:val="00550190"/>
    <w:rsid w:val="00550D85"/>
    <w:rsid w:val="0055271F"/>
    <w:rsid w:val="00552C65"/>
    <w:rsid w:val="00554476"/>
    <w:rsid w:val="00554481"/>
    <w:rsid w:val="00554DEC"/>
    <w:rsid w:val="005552B0"/>
    <w:rsid w:val="00555833"/>
    <w:rsid w:val="00555B2F"/>
    <w:rsid w:val="00556669"/>
    <w:rsid w:val="0056001B"/>
    <w:rsid w:val="00560AE2"/>
    <w:rsid w:val="00562922"/>
    <w:rsid w:val="00563754"/>
    <w:rsid w:val="00564024"/>
    <w:rsid w:val="0056444C"/>
    <w:rsid w:val="0056452E"/>
    <w:rsid w:val="00564984"/>
    <w:rsid w:val="00564CC8"/>
    <w:rsid w:val="0056615F"/>
    <w:rsid w:val="00567270"/>
    <w:rsid w:val="0056756E"/>
    <w:rsid w:val="00567FAD"/>
    <w:rsid w:val="005735B6"/>
    <w:rsid w:val="00574968"/>
    <w:rsid w:val="00576B8D"/>
    <w:rsid w:val="0057749E"/>
    <w:rsid w:val="005818BC"/>
    <w:rsid w:val="005822E4"/>
    <w:rsid w:val="00582855"/>
    <w:rsid w:val="005843D6"/>
    <w:rsid w:val="00584587"/>
    <w:rsid w:val="00584AEA"/>
    <w:rsid w:val="00584D43"/>
    <w:rsid w:val="005859AE"/>
    <w:rsid w:val="00585BFC"/>
    <w:rsid w:val="0058672E"/>
    <w:rsid w:val="0058678C"/>
    <w:rsid w:val="00586955"/>
    <w:rsid w:val="00586C31"/>
    <w:rsid w:val="0058739C"/>
    <w:rsid w:val="0058750C"/>
    <w:rsid w:val="005875A7"/>
    <w:rsid w:val="005879C8"/>
    <w:rsid w:val="00587BC9"/>
    <w:rsid w:val="005915DA"/>
    <w:rsid w:val="00591E79"/>
    <w:rsid w:val="005926B9"/>
    <w:rsid w:val="0059286B"/>
    <w:rsid w:val="00592FE0"/>
    <w:rsid w:val="00595B51"/>
    <w:rsid w:val="00595FDD"/>
    <w:rsid w:val="005965FD"/>
    <w:rsid w:val="005A2243"/>
    <w:rsid w:val="005A2F5D"/>
    <w:rsid w:val="005A3D7F"/>
    <w:rsid w:val="005A4150"/>
    <w:rsid w:val="005A4477"/>
    <w:rsid w:val="005A56D8"/>
    <w:rsid w:val="005A6538"/>
    <w:rsid w:val="005A70B7"/>
    <w:rsid w:val="005B0AA6"/>
    <w:rsid w:val="005B1363"/>
    <w:rsid w:val="005B1A60"/>
    <w:rsid w:val="005B1B66"/>
    <w:rsid w:val="005B1E23"/>
    <w:rsid w:val="005B329F"/>
    <w:rsid w:val="005B33F1"/>
    <w:rsid w:val="005B4225"/>
    <w:rsid w:val="005B4E80"/>
    <w:rsid w:val="005B6707"/>
    <w:rsid w:val="005B7B13"/>
    <w:rsid w:val="005C016C"/>
    <w:rsid w:val="005C077A"/>
    <w:rsid w:val="005C183A"/>
    <w:rsid w:val="005C264A"/>
    <w:rsid w:val="005C2C9B"/>
    <w:rsid w:val="005C4FDB"/>
    <w:rsid w:val="005C5A34"/>
    <w:rsid w:val="005C74ED"/>
    <w:rsid w:val="005C7849"/>
    <w:rsid w:val="005D07C7"/>
    <w:rsid w:val="005D2776"/>
    <w:rsid w:val="005D4C1A"/>
    <w:rsid w:val="005D521E"/>
    <w:rsid w:val="005D5D48"/>
    <w:rsid w:val="005D6A19"/>
    <w:rsid w:val="005E1002"/>
    <w:rsid w:val="005E31F1"/>
    <w:rsid w:val="005E395C"/>
    <w:rsid w:val="005E3CB5"/>
    <w:rsid w:val="005E3CE0"/>
    <w:rsid w:val="005E41E8"/>
    <w:rsid w:val="005E4B35"/>
    <w:rsid w:val="005E59E5"/>
    <w:rsid w:val="005E5CB8"/>
    <w:rsid w:val="005E7388"/>
    <w:rsid w:val="005E7ABE"/>
    <w:rsid w:val="005F2CB6"/>
    <w:rsid w:val="005F2CD1"/>
    <w:rsid w:val="005F37CD"/>
    <w:rsid w:val="005F3921"/>
    <w:rsid w:val="005F68E3"/>
    <w:rsid w:val="005F7192"/>
    <w:rsid w:val="00600DC2"/>
    <w:rsid w:val="00601152"/>
    <w:rsid w:val="00601A48"/>
    <w:rsid w:val="00601DBA"/>
    <w:rsid w:val="006026E4"/>
    <w:rsid w:val="0060286D"/>
    <w:rsid w:val="00604C86"/>
    <w:rsid w:val="006061A1"/>
    <w:rsid w:val="006071D7"/>
    <w:rsid w:val="0060734C"/>
    <w:rsid w:val="00610B6D"/>
    <w:rsid w:val="00611A61"/>
    <w:rsid w:val="00614227"/>
    <w:rsid w:val="00614675"/>
    <w:rsid w:val="00614680"/>
    <w:rsid w:val="00615C9F"/>
    <w:rsid w:val="00621020"/>
    <w:rsid w:val="00621082"/>
    <w:rsid w:val="0062125D"/>
    <w:rsid w:val="00623694"/>
    <w:rsid w:val="00624295"/>
    <w:rsid w:val="006247DD"/>
    <w:rsid w:val="006251A3"/>
    <w:rsid w:val="0062541E"/>
    <w:rsid w:val="006257D0"/>
    <w:rsid w:val="00626FD1"/>
    <w:rsid w:val="00627C7C"/>
    <w:rsid w:val="00627F53"/>
    <w:rsid w:val="00630A9C"/>
    <w:rsid w:val="00631F6A"/>
    <w:rsid w:val="00632024"/>
    <w:rsid w:val="006328DA"/>
    <w:rsid w:val="00633E7E"/>
    <w:rsid w:val="00634176"/>
    <w:rsid w:val="0063486B"/>
    <w:rsid w:val="00636E20"/>
    <w:rsid w:val="00637463"/>
    <w:rsid w:val="00640792"/>
    <w:rsid w:val="00640B49"/>
    <w:rsid w:val="00641EA0"/>
    <w:rsid w:val="00641FB2"/>
    <w:rsid w:val="00642062"/>
    <w:rsid w:val="006424D4"/>
    <w:rsid w:val="00645393"/>
    <w:rsid w:val="006455D0"/>
    <w:rsid w:val="00646327"/>
    <w:rsid w:val="00647062"/>
    <w:rsid w:val="006473F6"/>
    <w:rsid w:val="00647896"/>
    <w:rsid w:val="0065011A"/>
    <w:rsid w:val="00650D62"/>
    <w:rsid w:val="00651BE7"/>
    <w:rsid w:val="00651D31"/>
    <w:rsid w:val="00651D3A"/>
    <w:rsid w:val="006527C5"/>
    <w:rsid w:val="00653252"/>
    <w:rsid w:val="006538B5"/>
    <w:rsid w:val="0065392C"/>
    <w:rsid w:val="00653DC4"/>
    <w:rsid w:val="00656165"/>
    <w:rsid w:val="00656841"/>
    <w:rsid w:val="00656927"/>
    <w:rsid w:val="006576FD"/>
    <w:rsid w:val="00662DDB"/>
    <w:rsid w:val="00665EBC"/>
    <w:rsid w:val="0066667A"/>
    <w:rsid w:val="00666876"/>
    <w:rsid w:val="006673A8"/>
    <w:rsid w:val="00667682"/>
    <w:rsid w:val="00667796"/>
    <w:rsid w:val="00667D52"/>
    <w:rsid w:val="006703F1"/>
    <w:rsid w:val="00671092"/>
    <w:rsid w:val="0067130D"/>
    <w:rsid w:val="00671C58"/>
    <w:rsid w:val="00671D97"/>
    <w:rsid w:val="00672B6C"/>
    <w:rsid w:val="006744C3"/>
    <w:rsid w:val="00674C23"/>
    <w:rsid w:val="006754AF"/>
    <w:rsid w:val="00677F9F"/>
    <w:rsid w:val="006807FE"/>
    <w:rsid w:val="0068265B"/>
    <w:rsid w:val="00682875"/>
    <w:rsid w:val="00683E6A"/>
    <w:rsid w:val="00685D55"/>
    <w:rsid w:val="006861F9"/>
    <w:rsid w:val="006869AA"/>
    <w:rsid w:val="006874FD"/>
    <w:rsid w:val="00687E86"/>
    <w:rsid w:val="0069139A"/>
    <w:rsid w:val="006913B4"/>
    <w:rsid w:val="00691D24"/>
    <w:rsid w:val="00691DED"/>
    <w:rsid w:val="0069297D"/>
    <w:rsid w:val="006934FF"/>
    <w:rsid w:val="006938C9"/>
    <w:rsid w:val="006941DA"/>
    <w:rsid w:val="00694BB6"/>
    <w:rsid w:val="00695E65"/>
    <w:rsid w:val="00696BB8"/>
    <w:rsid w:val="00696EED"/>
    <w:rsid w:val="006A0277"/>
    <w:rsid w:val="006A0F5F"/>
    <w:rsid w:val="006A18BE"/>
    <w:rsid w:val="006A1D9F"/>
    <w:rsid w:val="006A211B"/>
    <w:rsid w:val="006A2AB7"/>
    <w:rsid w:val="006A2AC5"/>
    <w:rsid w:val="006A3A92"/>
    <w:rsid w:val="006A49BA"/>
    <w:rsid w:val="006A5031"/>
    <w:rsid w:val="006A5164"/>
    <w:rsid w:val="006A59E3"/>
    <w:rsid w:val="006A6598"/>
    <w:rsid w:val="006B0081"/>
    <w:rsid w:val="006B02F7"/>
    <w:rsid w:val="006B0BBB"/>
    <w:rsid w:val="006B1C82"/>
    <w:rsid w:val="006B1DF2"/>
    <w:rsid w:val="006B2392"/>
    <w:rsid w:val="006B3059"/>
    <w:rsid w:val="006B32A3"/>
    <w:rsid w:val="006B39EA"/>
    <w:rsid w:val="006B3D48"/>
    <w:rsid w:val="006B3DF6"/>
    <w:rsid w:val="006B4CB8"/>
    <w:rsid w:val="006B5080"/>
    <w:rsid w:val="006B5E49"/>
    <w:rsid w:val="006B70DA"/>
    <w:rsid w:val="006B7384"/>
    <w:rsid w:val="006C0161"/>
    <w:rsid w:val="006C2E3D"/>
    <w:rsid w:val="006C3D12"/>
    <w:rsid w:val="006C452B"/>
    <w:rsid w:val="006C4AD3"/>
    <w:rsid w:val="006C5153"/>
    <w:rsid w:val="006C529E"/>
    <w:rsid w:val="006C5448"/>
    <w:rsid w:val="006C64C9"/>
    <w:rsid w:val="006C6851"/>
    <w:rsid w:val="006C6C4D"/>
    <w:rsid w:val="006C6D11"/>
    <w:rsid w:val="006C723F"/>
    <w:rsid w:val="006C7A53"/>
    <w:rsid w:val="006D013D"/>
    <w:rsid w:val="006D044A"/>
    <w:rsid w:val="006D1A21"/>
    <w:rsid w:val="006D3278"/>
    <w:rsid w:val="006D366C"/>
    <w:rsid w:val="006D3C25"/>
    <w:rsid w:val="006D4403"/>
    <w:rsid w:val="006D454C"/>
    <w:rsid w:val="006D5398"/>
    <w:rsid w:val="006D5407"/>
    <w:rsid w:val="006D54A9"/>
    <w:rsid w:val="006D56C7"/>
    <w:rsid w:val="006D67B2"/>
    <w:rsid w:val="006D6C32"/>
    <w:rsid w:val="006E03A7"/>
    <w:rsid w:val="006E066B"/>
    <w:rsid w:val="006E2890"/>
    <w:rsid w:val="006E3B9E"/>
    <w:rsid w:val="006E418D"/>
    <w:rsid w:val="006E4930"/>
    <w:rsid w:val="006E4AED"/>
    <w:rsid w:val="006F0E4F"/>
    <w:rsid w:val="006F3034"/>
    <w:rsid w:val="006F50EC"/>
    <w:rsid w:val="006F5DF1"/>
    <w:rsid w:val="006F74FD"/>
    <w:rsid w:val="006F7C1A"/>
    <w:rsid w:val="00700F4E"/>
    <w:rsid w:val="00700FA7"/>
    <w:rsid w:val="00701A81"/>
    <w:rsid w:val="007026B9"/>
    <w:rsid w:val="00703905"/>
    <w:rsid w:val="007051EF"/>
    <w:rsid w:val="00706D66"/>
    <w:rsid w:val="007073BE"/>
    <w:rsid w:val="00707C54"/>
    <w:rsid w:val="00707E26"/>
    <w:rsid w:val="007104AC"/>
    <w:rsid w:val="0071121E"/>
    <w:rsid w:val="00711300"/>
    <w:rsid w:val="007130AF"/>
    <w:rsid w:val="007130D9"/>
    <w:rsid w:val="007130EF"/>
    <w:rsid w:val="007135D3"/>
    <w:rsid w:val="00714918"/>
    <w:rsid w:val="00715EE9"/>
    <w:rsid w:val="0071683F"/>
    <w:rsid w:val="00716E0A"/>
    <w:rsid w:val="007178FB"/>
    <w:rsid w:val="00720293"/>
    <w:rsid w:val="00720FFB"/>
    <w:rsid w:val="00721025"/>
    <w:rsid w:val="00721952"/>
    <w:rsid w:val="00721B22"/>
    <w:rsid w:val="007222AC"/>
    <w:rsid w:val="00722967"/>
    <w:rsid w:val="007229D1"/>
    <w:rsid w:val="00722F25"/>
    <w:rsid w:val="00723B8F"/>
    <w:rsid w:val="00723BD6"/>
    <w:rsid w:val="00724435"/>
    <w:rsid w:val="00724F96"/>
    <w:rsid w:val="00724FE5"/>
    <w:rsid w:val="00725121"/>
    <w:rsid w:val="00725648"/>
    <w:rsid w:val="007256EE"/>
    <w:rsid w:val="00725AA6"/>
    <w:rsid w:val="00727236"/>
    <w:rsid w:val="0072791A"/>
    <w:rsid w:val="007303C9"/>
    <w:rsid w:val="0073087F"/>
    <w:rsid w:val="0073143E"/>
    <w:rsid w:val="00732016"/>
    <w:rsid w:val="0073317C"/>
    <w:rsid w:val="00733381"/>
    <w:rsid w:val="00733892"/>
    <w:rsid w:val="00733ACE"/>
    <w:rsid w:val="00734AE2"/>
    <w:rsid w:val="00734F12"/>
    <w:rsid w:val="00734F6D"/>
    <w:rsid w:val="007352A1"/>
    <w:rsid w:val="00735AC1"/>
    <w:rsid w:val="00735BB2"/>
    <w:rsid w:val="007376E5"/>
    <w:rsid w:val="007409A9"/>
    <w:rsid w:val="00743359"/>
    <w:rsid w:val="00743F7A"/>
    <w:rsid w:val="00744545"/>
    <w:rsid w:val="00744851"/>
    <w:rsid w:val="0074511E"/>
    <w:rsid w:val="00745ECB"/>
    <w:rsid w:val="00745F28"/>
    <w:rsid w:val="007479F8"/>
    <w:rsid w:val="00750018"/>
    <w:rsid w:val="0075076E"/>
    <w:rsid w:val="007508E2"/>
    <w:rsid w:val="007530F4"/>
    <w:rsid w:val="00753580"/>
    <w:rsid w:val="00753CAB"/>
    <w:rsid w:val="007545AE"/>
    <w:rsid w:val="00754A35"/>
    <w:rsid w:val="00754E69"/>
    <w:rsid w:val="00755048"/>
    <w:rsid w:val="00756DAA"/>
    <w:rsid w:val="00757C12"/>
    <w:rsid w:val="00760A07"/>
    <w:rsid w:val="0076145E"/>
    <w:rsid w:val="007616DA"/>
    <w:rsid w:val="00761B06"/>
    <w:rsid w:val="00762016"/>
    <w:rsid w:val="00762442"/>
    <w:rsid w:val="0076298E"/>
    <w:rsid w:val="00763084"/>
    <w:rsid w:val="00763BFE"/>
    <w:rsid w:val="0076455F"/>
    <w:rsid w:val="00765416"/>
    <w:rsid w:val="00765DD7"/>
    <w:rsid w:val="00765EC2"/>
    <w:rsid w:val="00765EDF"/>
    <w:rsid w:val="00766975"/>
    <w:rsid w:val="00767057"/>
    <w:rsid w:val="00770339"/>
    <w:rsid w:val="00771C9D"/>
    <w:rsid w:val="007754EB"/>
    <w:rsid w:val="007762AF"/>
    <w:rsid w:val="00780B1F"/>
    <w:rsid w:val="00781D86"/>
    <w:rsid w:val="007827CC"/>
    <w:rsid w:val="00782813"/>
    <w:rsid w:val="00783061"/>
    <w:rsid w:val="007834EF"/>
    <w:rsid w:val="00783C6C"/>
    <w:rsid w:val="00784EAA"/>
    <w:rsid w:val="007853A4"/>
    <w:rsid w:val="00785B11"/>
    <w:rsid w:val="00785CC9"/>
    <w:rsid w:val="00786B29"/>
    <w:rsid w:val="007871A2"/>
    <w:rsid w:val="00787A71"/>
    <w:rsid w:val="00790479"/>
    <w:rsid w:val="00790CF6"/>
    <w:rsid w:val="0079165F"/>
    <w:rsid w:val="00791862"/>
    <w:rsid w:val="007921E6"/>
    <w:rsid w:val="00792AC2"/>
    <w:rsid w:val="00794398"/>
    <w:rsid w:val="00794BC1"/>
    <w:rsid w:val="0079640B"/>
    <w:rsid w:val="00797831"/>
    <w:rsid w:val="007A0904"/>
    <w:rsid w:val="007A1EBA"/>
    <w:rsid w:val="007A2517"/>
    <w:rsid w:val="007A4862"/>
    <w:rsid w:val="007A59C2"/>
    <w:rsid w:val="007A5A20"/>
    <w:rsid w:val="007A5BC1"/>
    <w:rsid w:val="007A5D8C"/>
    <w:rsid w:val="007A6053"/>
    <w:rsid w:val="007A697D"/>
    <w:rsid w:val="007B0295"/>
    <w:rsid w:val="007B1AB0"/>
    <w:rsid w:val="007B24F7"/>
    <w:rsid w:val="007B31DA"/>
    <w:rsid w:val="007B3432"/>
    <w:rsid w:val="007B3D8C"/>
    <w:rsid w:val="007B3E85"/>
    <w:rsid w:val="007B5EA2"/>
    <w:rsid w:val="007C04AF"/>
    <w:rsid w:val="007C06C2"/>
    <w:rsid w:val="007C10D1"/>
    <w:rsid w:val="007C1F91"/>
    <w:rsid w:val="007C2886"/>
    <w:rsid w:val="007C2F66"/>
    <w:rsid w:val="007C3A77"/>
    <w:rsid w:val="007C6161"/>
    <w:rsid w:val="007C7212"/>
    <w:rsid w:val="007C7BF1"/>
    <w:rsid w:val="007D0C39"/>
    <w:rsid w:val="007D0D16"/>
    <w:rsid w:val="007D1499"/>
    <w:rsid w:val="007D1599"/>
    <w:rsid w:val="007D1D81"/>
    <w:rsid w:val="007D1E58"/>
    <w:rsid w:val="007D2080"/>
    <w:rsid w:val="007D2EB3"/>
    <w:rsid w:val="007D318F"/>
    <w:rsid w:val="007D3381"/>
    <w:rsid w:val="007D4026"/>
    <w:rsid w:val="007D4EDD"/>
    <w:rsid w:val="007D6089"/>
    <w:rsid w:val="007D64F5"/>
    <w:rsid w:val="007D7088"/>
    <w:rsid w:val="007D7D81"/>
    <w:rsid w:val="007E03CD"/>
    <w:rsid w:val="007E2D57"/>
    <w:rsid w:val="007E442D"/>
    <w:rsid w:val="007E634A"/>
    <w:rsid w:val="007E6847"/>
    <w:rsid w:val="007E726C"/>
    <w:rsid w:val="007E7741"/>
    <w:rsid w:val="007F1652"/>
    <w:rsid w:val="007F19EB"/>
    <w:rsid w:val="007F2D13"/>
    <w:rsid w:val="007F48DF"/>
    <w:rsid w:val="007F4A1F"/>
    <w:rsid w:val="007F5E94"/>
    <w:rsid w:val="007F6AB9"/>
    <w:rsid w:val="007F6AE8"/>
    <w:rsid w:val="007F78D6"/>
    <w:rsid w:val="008006E8"/>
    <w:rsid w:val="00800738"/>
    <w:rsid w:val="00801124"/>
    <w:rsid w:val="008038FE"/>
    <w:rsid w:val="0080390F"/>
    <w:rsid w:val="00803F6B"/>
    <w:rsid w:val="0080799E"/>
    <w:rsid w:val="008101E7"/>
    <w:rsid w:val="008112F3"/>
    <w:rsid w:val="00812CFB"/>
    <w:rsid w:val="008137B0"/>
    <w:rsid w:val="00814F0F"/>
    <w:rsid w:val="008155AF"/>
    <w:rsid w:val="00815C83"/>
    <w:rsid w:val="0082171F"/>
    <w:rsid w:val="00821E8B"/>
    <w:rsid w:val="008233FD"/>
    <w:rsid w:val="00823C80"/>
    <w:rsid w:val="00823FE7"/>
    <w:rsid w:val="00824B7F"/>
    <w:rsid w:val="00826C6B"/>
    <w:rsid w:val="00827097"/>
    <w:rsid w:val="008270F8"/>
    <w:rsid w:val="008274EF"/>
    <w:rsid w:val="00827C81"/>
    <w:rsid w:val="00830FB2"/>
    <w:rsid w:val="00832014"/>
    <w:rsid w:val="00832E93"/>
    <w:rsid w:val="008335D3"/>
    <w:rsid w:val="008337CA"/>
    <w:rsid w:val="00833A21"/>
    <w:rsid w:val="00834345"/>
    <w:rsid w:val="00835364"/>
    <w:rsid w:val="0083600C"/>
    <w:rsid w:val="00836601"/>
    <w:rsid w:val="008369D4"/>
    <w:rsid w:val="00837DD3"/>
    <w:rsid w:val="008407DD"/>
    <w:rsid w:val="00841813"/>
    <w:rsid w:val="008423EE"/>
    <w:rsid w:val="00842D86"/>
    <w:rsid w:val="00843153"/>
    <w:rsid w:val="008436A8"/>
    <w:rsid w:val="00846399"/>
    <w:rsid w:val="00847005"/>
    <w:rsid w:val="008470AB"/>
    <w:rsid w:val="00850762"/>
    <w:rsid w:val="0085159E"/>
    <w:rsid w:val="00852558"/>
    <w:rsid w:val="00854482"/>
    <w:rsid w:val="008544EF"/>
    <w:rsid w:val="00855A45"/>
    <w:rsid w:val="00856EBC"/>
    <w:rsid w:val="00857F18"/>
    <w:rsid w:val="0086070F"/>
    <w:rsid w:val="0086097E"/>
    <w:rsid w:val="00861B84"/>
    <w:rsid w:val="008624E1"/>
    <w:rsid w:val="00863F48"/>
    <w:rsid w:val="0086467B"/>
    <w:rsid w:val="0086546A"/>
    <w:rsid w:val="00865FEF"/>
    <w:rsid w:val="00866736"/>
    <w:rsid w:val="00866BE0"/>
    <w:rsid w:val="008671DE"/>
    <w:rsid w:val="00867274"/>
    <w:rsid w:val="008673E7"/>
    <w:rsid w:val="008709C7"/>
    <w:rsid w:val="00871F6B"/>
    <w:rsid w:val="00872B4D"/>
    <w:rsid w:val="008730FA"/>
    <w:rsid w:val="0087393A"/>
    <w:rsid w:val="00875092"/>
    <w:rsid w:val="008759A3"/>
    <w:rsid w:val="00875B69"/>
    <w:rsid w:val="00876B52"/>
    <w:rsid w:val="00877560"/>
    <w:rsid w:val="00877924"/>
    <w:rsid w:val="008805C7"/>
    <w:rsid w:val="00880CAE"/>
    <w:rsid w:val="00881E51"/>
    <w:rsid w:val="00882802"/>
    <w:rsid w:val="00883124"/>
    <w:rsid w:val="00883358"/>
    <w:rsid w:val="008838CC"/>
    <w:rsid w:val="00884DEC"/>
    <w:rsid w:val="00885191"/>
    <w:rsid w:val="0088592F"/>
    <w:rsid w:val="00886AE9"/>
    <w:rsid w:val="00886C69"/>
    <w:rsid w:val="00886F73"/>
    <w:rsid w:val="008872C3"/>
    <w:rsid w:val="0088788F"/>
    <w:rsid w:val="0088794C"/>
    <w:rsid w:val="008879FF"/>
    <w:rsid w:val="00887FFC"/>
    <w:rsid w:val="00890314"/>
    <w:rsid w:val="0089049C"/>
    <w:rsid w:val="00891266"/>
    <w:rsid w:val="00891AEE"/>
    <w:rsid w:val="00892B21"/>
    <w:rsid w:val="0089319D"/>
    <w:rsid w:val="00895788"/>
    <w:rsid w:val="0089618C"/>
    <w:rsid w:val="008961CF"/>
    <w:rsid w:val="008963E4"/>
    <w:rsid w:val="00897531"/>
    <w:rsid w:val="008A05C6"/>
    <w:rsid w:val="008A0A3D"/>
    <w:rsid w:val="008A2ACE"/>
    <w:rsid w:val="008A3BC6"/>
    <w:rsid w:val="008A4990"/>
    <w:rsid w:val="008A4D17"/>
    <w:rsid w:val="008A56C8"/>
    <w:rsid w:val="008A63C3"/>
    <w:rsid w:val="008A7166"/>
    <w:rsid w:val="008A79FF"/>
    <w:rsid w:val="008B0E6E"/>
    <w:rsid w:val="008B104E"/>
    <w:rsid w:val="008B29EB"/>
    <w:rsid w:val="008B3093"/>
    <w:rsid w:val="008B3596"/>
    <w:rsid w:val="008B365D"/>
    <w:rsid w:val="008B41E5"/>
    <w:rsid w:val="008B6A5C"/>
    <w:rsid w:val="008B7824"/>
    <w:rsid w:val="008C04E5"/>
    <w:rsid w:val="008C07EB"/>
    <w:rsid w:val="008C2856"/>
    <w:rsid w:val="008C3CED"/>
    <w:rsid w:val="008C3CF5"/>
    <w:rsid w:val="008C6D7E"/>
    <w:rsid w:val="008C7F83"/>
    <w:rsid w:val="008D06B5"/>
    <w:rsid w:val="008D0850"/>
    <w:rsid w:val="008D2ABF"/>
    <w:rsid w:val="008D2C20"/>
    <w:rsid w:val="008D35AA"/>
    <w:rsid w:val="008D37F8"/>
    <w:rsid w:val="008D4FF7"/>
    <w:rsid w:val="008D55B0"/>
    <w:rsid w:val="008D7343"/>
    <w:rsid w:val="008D73B2"/>
    <w:rsid w:val="008D7E67"/>
    <w:rsid w:val="008D7EC4"/>
    <w:rsid w:val="008E2045"/>
    <w:rsid w:val="008E23A2"/>
    <w:rsid w:val="008E2E30"/>
    <w:rsid w:val="008E464B"/>
    <w:rsid w:val="008E4FFA"/>
    <w:rsid w:val="008E53B8"/>
    <w:rsid w:val="008E6039"/>
    <w:rsid w:val="008E6AC7"/>
    <w:rsid w:val="008E7358"/>
    <w:rsid w:val="008E7807"/>
    <w:rsid w:val="008F06C5"/>
    <w:rsid w:val="008F0AD7"/>
    <w:rsid w:val="008F0D33"/>
    <w:rsid w:val="008F1B61"/>
    <w:rsid w:val="008F3963"/>
    <w:rsid w:val="008F3AD3"/>
    <w:rsid w:val="008F40E8"/>
    <w:rsid w:val="008F6722"/>
    <w:rsid w:val="008F6C20"/>
    <w:rsid w:val="008F73F1"/>
    <w:rsid w:val="008F7984"/>
    <w:rsid w:val="009000FC"/>
    <w:rsid w:val="00900599"/>
    <w:rsid w:val="0090102C"/>
    <w:rsid w:val="00901A36"/>
    <w:rsid w:val="00901A5C"/>
    <w:rsid w:val="00902291"/>
    <w:rsid w:val="0090397A"/>
    <w:rsid w:val="009053CA"/>
    <w:rsid w:val="0090561C"/>
    <w:rsid w:val="0090696F"/>
    <w:rsid w:val="00906A90"/>
    <w:rsid w:val="00906E35"/>
    <w:rsid w:val="00910537"/>
    <w:rsid w:val="00910FAD"/>
    <w:rsid w:val="00911957"/>
    <w:rsid w:val="00911CAD"/>
    <w:rsid w:val="0091405C"/>
    <w:rsid w:val="0091518B"/>
    <w:rsid w:val="0091577D"/>
    <w:rsid w:val="0091618C"/>
    <w:rsid w:val="00916B34"/>
    <w:rsid w:val="009171E6"/>
    <w:rsid w:val="009175BC"/>
    <w:rsid w:val="0092018E"/>
    <w:rsid w:val="00920340"/>
    <w:rsid w:val="009213F6"/>
    <w:rsid w:val="0092184E"/>
    <w:rsid w:val="00921B7E"/>
    <w:rsid w:val="00921BE8"/>
    <w:rsid w:val="0092205B"/>
    <w:rsid w:val="009223BF"/>
    <w:rsid w:val="00922704"/>
    <w:rsid w:val="00923013"/>
    <w:rsid w:val="0092356A"/>
    <w:rsid w:val="009240D6"/>
    <w:rsid w:val="0092491F"/>
    <w:rsid w:val="00924D49"/>
    <w:rsid w:val="009251AF"/>
    <w:rsid w:val="00925B7F"/>
    <w:rsid w:val="00926E51"/>
    <w:rsid w:val="00927BCB"/>
    <w:rsid w:val="00927F9F"/>
    <w:rsid w:val="009302C8"/>
    <w:rsid w:val="0093185B"/>
    <w:rsid w:val="00931B89"/>
    <w:rsid w:val="00931F29"/>
    <w:rsid w:val="009327B4"/>
    <w:rsid w:val="009327DF"/>
    <w:rsid w:val="00932E55"/>
    <w:rsid w:val="0093363A"/>
    <w:rsid w:val="00933684"/>
    <w:rsid w:val="00933B50"/>
    <w:rsid w:val="00934427"/>
    <w:rsid w:val="009348F3"/>
    <w:rsid w:val="00934C06"/>
    <w:rsid w:val="009351CE"/>
    <w:rsid w:val="00935DD9"/>
    <w:rsid w:val="00936552"/>
    <w:rsid w:val="00936745"/>
    <w:rsid w:val="0093782B"/>
    <w:rsid w:val="00940BF5"/>
    <w:rsid w:val="00941474"/>
    <w:rsid w:val="009417E6"/>
    <w:rsid w:val="00941F58"/>
    <w:rsid w:val="00941FF0"/>
    <w:rsid w:val="00942107"/>
    <w:rsid w:val="00942218"/>
    <w:rsid w:val="00942FEF"/>
    <w:rsid w:val="00943DCA"/>
    <w:rsid w:val="00944272"/>
    <w:rsid w:val="0094456B"/>
    <w:rsid w:val="0094612C"/>
    <w:rsid w:val="009466AF"/>
    <w:rsid w:val="00950BEF"/>
    <w:rsid w:val="00951406"/>
    <w:rsid w:val="00952C45"/>
    <w:rsid w:val="009531C5"/>
    <w:rsid w:val="00953BC4"/>
    <w:rsid w:val="00954632"/>
    <w:rsid w:val="009561FF"/>
    <w:rsid w:val="00957F0D"/>
    <w:rsid w:val="00960264"/>
    <w:rsid w:val="0096050E"/>
    <w:rsid w:val="00961824"/>
    <w:rsid w:val="00961C97"/>
    <w:rsid w:val="009629C6"/>
    <w:rsid w:val="00962E30"/>
    <w:rsid w:val="00963468"/>
    <w:rsid w:val="00967086"/>
    <w:rsid w:val="0097043F"/>
    <w:rsid w:val="00970D23"/>
    <w:rsid w:val="0097143E"/>
    <w:rsid w:val="009715F3"/>
    <w:rsid w:val="009728AC"/>
    <w:rsid w:val="009732F3"/>
    <w:rsid w:val="0097484B"/>
    <w:rsid w:val="00974E6C"/>
    <w:rsid w:val="00974EA6"/>
    <w:rsid w:val="009761B1"/>
    <w:rsid w:val="00980673"/>
    <w:rsid w:val="0098098F"/>
    <w:rsid w:val="00980BF5"/>
    <w:rsid w:val="00980DDA"/>
    <w:rsid w:val="00981240"/>
    <w:rsid w:val="009816FD"/>
    <w:rsid w:val="009817BA"/>
    <w:rsid w:val="009838EF"/>
    <w:rsid w:val="00983E10"/>
    <w:rsid w:val="00984443"/>
    <w:rsid w:val="009858A4"/>
    <w:rsid w:val="009864DD"/>
    <w:rsid w:val="009867B0"/>
    <w:rsid w:val="00991204"/>
    <w:rsid w:val="00991A22"/>
    <w:rsid w:val="00991B41"/>
    <w:rsid w:val="00992529"/>
    <w:rsid w:val="00994A78"/>
    <w:rsid w:val="00995525"/>
    <w:rsid w:val="009955B2"/>
    <w:rsid w:val="00996BA2"/>
    <w:rsid w:val="00996ECD"/>
    <w:rsid w:val="00997CE5"/>
    <w:rsid w:val="009A07B9"/>
    <w:rsid w:val="009A255B"/>
    <w:rsid w:val="009A2CCE"/>
    <w:rsid w:val="009A2E8D"/>
    <w:rsid w:val="009A39DC"/>
    <w:rsid w:val="009A3AC5"/>
    <w:rsid w:val="009A3F03"/>
    <w:rsid w:val="009A510F"/>
    <w:rsid w:val="009A556B"/>
    <w:rsid w:val="009A6B8C"/>
    <w:rsid w:val="009A74DC"/>
    <w:rsid w:val="009B12FB"/>
    <w:rsid w:val="009B2002"/>
    <w:rsid w:val="009B3767"/>
    <w:rsid w:val="009B4E3D"/>
    <w:rsid w:val="009B6991"/>
    <w:rsid w:val="009B6B39"/>
    <w:rsid w:val="009B6DEC"/>
    <w:rsid w:val="009C0406"/>
    <w:rsid w:val="009C12CC"/>
    <w:rsid w:val="009C2585"/>
    <w:rsid w:val="009C27B5"/>
    <w:rsid w:val="009C3947"/>
    <w:rsid w:val="009C428A"/>
    <w:rsid w:val="009C5D66"/>
    <w:rsid w:val="009C6804"/>
    <w:rsid w:val="009C6A33"/>
    <w:rsid w:val="009C75AD"/>
    <w:rsid w:val="009C786F"/>
    <w:rsid w:val="009D1628"/>
    <w:rsid w:val="009D1754"/>
    <w:rsid w:val="009D277B"/>
    <w:rsid w:val="009D44B0"/>
    <w:rsid w:val="009D4708"/>
    <w:rsid w:val="009E0AC7"/>
    <w:rsid w:val="009E15E0"/>
    <w:rsid w:val="009E1E7B"/>
    <w:rsid w:val="009E39F1"/>
    <w:rsid w:val="009E43B1"/>
    <w:rsid w:val="009E4A18"/>
    <w:rsid w:val="009E5453"/>
    <w:rsid w:val="009E54D7"/>
    <w:rsid w:val="009E5B5A"/>
    <w:rsid w:val="009E6A50"/>
    <w:rsid w:val="009E6F51"/>
    <w:rsid w:val="009F348B"/>
    <w:rsid w:val="009F3CE9"/>
    <w:rsid w:val="009F4DD0"/>
    <w:rsid w:val="009F58DE"/>
    <w:rsid w:val="009F6358"/>
    <w:rsid w:val="009F6C23"/>
    <w:rsid w:val="009F715B"/>
    <w:rsid w:val="009F743C"/>
    <w:rsid w:val="009F74C8"/>
    <w:rsid w:val="009F79C3"/>
    <w:rsid w:val="009F7C93"/>
    <w:rsid w:val="00A00A07"/>
    <w:rsid w:val="00A00B18"/>
    <w:rsid w:val="00A0115D"/>
    <w:rsid w:val="00A01AE2"/>
    <w:rsid w:val="00A01EB7"/>
    <w:rsid w:val="00A031ED"/>
    <w:rsid w:val="00A0679D"/>
    <w:rsid w:val="00A0725B"/>
    <w:rsid w:val="00A07E58"/>
    <w:rsid w:val="00A11E2A"/>
    <w:rsid w:val="00A12F65"/>
    <w:rsid w:val="00A12FD1"/>
    <w:rsid w:val="00A131B8"/>
    <w:rsid w:val="00A138CA"/>
    <w:rsid w:val="00A144F5"/>
    <w:rsid w:val="00A150D7"/>
    <w:rsid w:val="00A15BF9"/>
    <w:rsid w:val="00A163CA"/>
    <w:rsid w:val="00A164CC"/>
    <w:rsid w:val="00A165F5"/>
    <w:rsid w:val="00A207E9"/>
    <w:rsid w:val="00A21B8D"/>
    <w:rsid w:val="00A21E89"/>
    <w:rsid w:val="00A23138"/>
    <w:rsid w:val="00A2331E"/>
    <w:rsid w:val="00A2351F"/>
    <w:rsid w:val="00A23E04"/>
    <w:rsid w:val="00A256CA"/>
    <w:rsid w:val="00A25AA8"/>
    <w:rsid w:val="00A25E97"/>
    <w:rsid w:val="00A266E1"/>
    <w:rsid w:val="00A26765"/>
    <w:rsid w:val="00A268BF"/>
    <w:rsid w:val="00A27A83"/>
    <w:rsid w:val="00A30A58"/>
    <w:rsid w:val="00A30A7B"/>
    <w:rsid w:val="00A313A9"/>
    <w:rsid w:val="00A32457"/>
    <w:rsid w:val="00A32D5C"/>
    <w:rsid w:val="00A3332C"/>
    <w:rsid w:val="00A33CEA"/>
    <w:rsid w:val="00A34058"/>
    <w:rsid w:val="00A345A6"/>
    <w:rsid w:val="00A34986"/>
    <w:rsid w:val="00A34A79"/>
    <w:rsid w:val="00A34C8D"/>
    <w:rsid w:val="00A356D6"/>
    <w:rsid w:val="00A35E2E"/>
    <w:rsid w:val="00A362D3"/>
    <w:rsid w:val="00A36DB8"/>
    <w:rsid w:val="00A37FE6"/>
    <w:rsid w:val="00A42330"/>
    <w:rsid w:val="00A42B2F"/>
    <w:rsid w:val="00A432F0"/>
    <w:rsid w:val="00A43B88"/>
    <w:rsid w:val="00A43D69"/>
    <w:rsid w:val="00A4459B"/>
    <w:rsid w:val="00A45244"/>
    <w:rsid w:val="00A45A05"/>
    <w:rsid w:val="00A45A12"/>
    <w:rsid w:val="00A45CB2"/>
    <w:rsid w:val="00A45EB4"/>
    <w:rsid w:val="00A463CD"/>
    <w:rsid w:val="00A46BC6"/>
    <w:rsid w:val="00A474B2"/>
    <w:rsid w:val="00A47B37"/>
    <w:rsid w:val="00A512B0"/>
    <w:rsid w:val="00A513EB"/>
    <w:rsid w:val="00A51C82"/>
    <w:rsid w:val="00A522A9"/>
    <w:rsid w:val="00A53076"/>
    <w:rsid w:val="00A53821"/>
    <w:rsid w:val="00A53952"/>
    <w:rsid w:val="00A53A90"/>
    <w:rsid w:val="00A5418F"/>
    <w:rsid w:val="00A5443C"/>
    <w:rsid w:val="00A54E35"/>
    <w:rsid w:val="00A54F0D"/>
    <w:rsid w:val="00A55306"/>
    <w:rsid w:val="00A574B9"/>
    <w:rsid w:val="00A576EC"/>
    <w:rsid w:val="00A6078B"/>
    <w:rsid w:val="00A60FBE"/>
    <w:rsid w:val="00A611E0"/>
    <w:rsid w:val="00A627E7"/>
    <w:rsid w:val="00A646BA"/>
    <w:rsid w:val="00A672BD"/>
    <w:rsid w:val="00A673F0"/>
    <w:rsid w:val="00A67515"/>
    <w:rsid w:val="00A7015B"/>
    <w:rsid w:val="00A70E7C"/>
    <w:rsid w:val="00A72CB4"/>
    <w:rsid w:val="00A72FAF"/>
    <w:rsid w:val="00A73B0B"/>
    <w:rsid w:val="00A7447E"/>
    <w:rsid w:val="00A74561"/>
    <w:rsid w:val="00A75213"/>
    <w:rsid w:val="00A75698"/>
    <w:rsid w:val="00A75844"/>
    <w:rsid w:val="00A76328"/>
    <w:rsid w:val="00A76D7E"/>
    <w:rsid w:val="00A77409"/>
    <w:rsid w:val="00A775E2"/>
    <w:rsid w:val="00A80594"/>
    <w:rsid w:val="00A80794"/>
    <w:rsid w:val="00A80A9A"/>
    <w:rsid w:val="00A810AE"/>
    <w:rsid w:val="00A81DFB"/>
    <w:rsid w:val="00A825BE"/>
    <w:rsid w:val="00A82D38"/>
    <w:rsid w:val="00A83639"/>
    <w:rsid w:val="00A84475"/>
    <w:rsid w:val="00A861C1"/>
    <w:rsid w:val="00A867AB"/>
    <w:rsid w:val="00A900EF"/>
    <w:rsid w:val="00A901F0"/>
    <w:rsid w:val="00A91350"/>
    <w:rsid w:val="00A91EC3"/>
    <w:rsid w:val="00A926DF"/>
    <w:rsid w:val="00A92A91"/>
    <w:rsid w:val="00A935F2"/>
    <w:rsid w:val="00A93F24"/>
    <w:rsid w:val="00A94210"/>
    <w:rsid w:val="00A94E97"/>
    <w:rsid w:val="00A96A3C"/>
    <w:rsid w:val="00A97905"/>
    <w:rsid w:val="00AA0916"/>
    <w:rsid w:val="00AA0EB2"/>
    <w:rsid w:val="00AA1E76"/>
    <w:rsid w:val="00AA24AD"/>
    <w:rsid w:val="00AA3137"/>
    <w:rsid w:val="00AA34BC"/>
    <w:rsid w:val="00AA3DC7"/>
    <w:rsid w:val="00AA599C"/>
    <w:rsid w:val="00AA67DF"/>
    <w:rsid w:val="00AA6AB3"/>
    <w:rsid w:val="00AA7458"/>
    <w:rsid w:val="00AB070B"/>
    <w:rsid w:val="00AB0A11"/>
    <w:rsid w:val="00AB297D"/>
    <w:rsid w:val="00AB2E90"/>
    <w:rsid w:val="00AB32B3"/>
    <w:rsid w:val="00AB359B"/>
    <w:rsid w:val="00AB428F"/>
    <w:rsid w:val="00AB6CAB"/>
    <w:rsid w:val="00AB77C5"/>
    <w:rsid w:val="00AC0398"/>
    <w:rsid w:val="00AC088D"/>
    <w:rsid w:val="00AC2910"/>
    <w:rsid w:val="00AC4222"/>
    <w:rsid w:val="00AC5164"/>
    <w:rsid w:val="00AC51AA"/>
    <w:rsid w:val="00AC52F7"/>
    <w:rsid w:val="00AC54FA"/>
    <w:rsid w:val="00AD018B"/>
    <w:rsid w:val="00AD0387"/>
    <w:rsid w:val="00AD1340"/>
    <w:rsid w:val="00AD2639"/>
    <w:rsid w:val="00AD2CE5"/>
    <w:rsid w:val="00AD33EC"/>
    <w:rsid w:val="00AD4591"/>
    <w:rsid w:val="00AD5C20"/>
    <w:rsid w:val="00AD5C81"/>
    <w:rsid w:val="00AD6011"/>
    <w:rsid w:val="00AD695D"/>
    <w:rsid w:val="00AD6F03"/>
    <w:rsid w:val="00AD6FFE"/>
    <w:rsid w:val="00AE0616"/>
    <w:rsid w:val="00AE0903"/>
    <w:rsid w:val="00AE1241"/>
    <w:rsid w:val="00AE18D1"/>
    <w:rsid w:val="00AE22F2"/>
    <w:rsid w:val="00AE49FB"/>
    <w:rsid w:val="00AE57C3"/>
    <w:rsid w:val="00AE762D"/>
    <w:rsid w:val="00AE7C51"/>
    <w:rsid w:val="00AF0038"/>
    <w:rsid w:val="00AF0628"/>
    <w:rsid w:val="00AF1229"/>
    <w:rsid w:val="00AF2D52"/>
    <w:rsid w:val="00AF37F7"/>
    <w:rsid w:val="00AF4E4D"/>
    <w:rsid w:val="00AF5695"/>
    <w:rsid w:val="00AF5952"/>
    <w:rsid w:val="00AF5E6E"/>
    <w:rsid w:val="00AF62F1"/>
    <w:rsid w:val="00AF65A8"/>
    <w:rsid w:val="00AF7642"/>
    <w:rsid w:val="00B0059C"/>
    <w:rsid w:val="00B00EEF"/>
    <w:rsid w:val="00B0178A"/>
    <w:rsid w:val="00B01C95"/>
    <w:rsid w:val="00B03F90"/>
    <w:rsid w:val="00B070AC"/>
    <w:rsid w:val="00B11012"/>
    <w:rsid w:val="00B11C52"/>
    <w:rsid w:val="00B12D6C"/>
    <w:rsid w:val="00B13D3A"/>
    <w:rsid w:val="00B15165"/>
    <w:rsid w:val="00B1632F"/>
    <w:rsid w:val="00B168B4"/>
    <w:rsid w:val="00B175F7"/>
    <w:rsid w:val="00B17666"/>
    <w:rsid w:val="00B17705"/>
    <w:rsid w:val="00B2070F"/>
    <w:rsid w:val="00B20A60"/>
    <w:rsid w:val="00B20BB2"/>
    <w:rsid w:val="00B21B10"/>
    <w:rsid w:val="00B23C2C"/>
    <w:rsid w:val="00B24821"/>
    <w:rsid w:val="00B25356"/>
    <w:rsid w:val="00B265B9"/>
    <w:rsid w:val="00B268FF"/>
    <w:rsid w:val="00B26D4A"/>
    <w:rsid w:val="00B307FA"/>
    <w:rsid w:val="00B30E4C"/>
    <w:rsid w:val="00B31554"/>
    <w:rsid w:val="00B322DC"/>
    <w:rsid w:val="00B32C1B"/>
    <w:rsid w:val="00B332C9"/>
    <w:rsid w:val="00B345BF"/>
    <w:rsid w:val="00B35489"/>
    <w:rsid w:val="00B367B0"/>
    <w:rsid w:val="00B36B97"/>
    <w:rsid w:val="00B375BB"/>
    <w:rsid w:val="00B40E82"/>
    <w:rsid w:val="00B418EF"/>
    <w:rsid w:val="00B41928"/>
    <w:rsid w:val="00B421B4"/>
    <w:rsid w:val="00B4354E"/>
    <w:rsid w:val="00B4380C"/>
    <w:rsid w:val="00B46203"/>
    <w:rsid w:val="00B4671D"/>
    <w:rsid w:val="00B50FDF"/>
    <w:rsid w:val="00B51610"/>
    <w:rsid w:val="00B52961"/>
    <w:rsid w:val="00B5360E"/>
    <w:rsid w:val="00B54983"/>
    <w:rsid w:val="00B551AC"/>
    <w:rsid w:val="00B55284"/>
    <w:rsid w:val="00B573CD"/>
    <w:rsid w:val="00B57D74"/>
    <w:rsid w:val="00B634EA"/>
    <w:rsid w:val="00B63FEF"/>
    <w:rsid w:val="00B6418F"/>
    <w:rsid w:val="00B64451"/>
    <w:rsid w:val="00B64FE5"/>
    <w:rsid w:val="00B6625F"/>
    <w:rsid w:val="00B66A98"/>
    <w:rsid w:val="00B67657"/>
    <w:rsid w:val="00B70A43"/>
    <w:rsid w:val="00B70ED1"/>
    <w:rsid w:val="00B711B4"/>
    <w:rsid w:val="00B72615"/>
    <w:rsid w:val="00B72E36"/>
    <w:rsid w:val="00B741A0"/>
    <w:rsid w:val="00B762AC"/>
    <w:rsid w:val="00B76B56"/>
    <w:rsid w:val="00B76DF1"/>
    <w:rsid w:val="00B82024"/>
    <w:rsid w:val="00B82707"/>
    <w:rsid w:val="00B847DE"/>
    <w:rsid w:val="00B84CBB"/>
    <w:rsid w:val="00B85880"/>
    <w:rsid w:val="00B86C55"/>
    <w:rsid w:val="00B877C1"/>
    <w:rsid w:val="00B90253"/>
    <w:rsid w:val="00B9376C"/>
    <w:rsid w:val="00B949FD"/>
    <w:rsid w:val="00B957C3"/>
    <w:rsid w:val="00B968BA"/>
    <w:rsid w:val="00B97491"/>
    <w:rsid w:val="00BA0035"/>
    <w:rsid w:val="00BA0672"/>
    <w:rsid w:val="00BA2027"/>
    <w:rsid w:val="00BA2866"/>
    <w:rsid w:val="00BA39E1"/>
    <w:rsid w:val="00BA3A1F"/>
    <w:rsid w:val="00BA5DCA"/>
    <w:rsid w:val="00BA686B"/>
    <w:rsid w:val="00BA6F06"/>
    <w:rsid w:val="00BA7222"/>
    <w:rsid w:val="00BA7CD0"/>
    <w:rsid w:val="00BB0506"/>
    <w:rsid w:val="00BB1100"/>
    <w:rsid w:val="00BB148A"/>
    <w:rsid w:val="00BB15C2"/>
    <w:rsid w:val="00BB2654"/>
    <w:rsid w:val="00BB33A0"/>
    <w:rsid w:val="00BB38C7"/>
    <w:rsid w:val="00BB515B"/>
    <w:rsid w:val="00BB5C6C"/>
    <w:rsid w:val="00BC0889"/>
    <w:rsid w:val="00BC0CFB"/>
    <w:rsid w:val="00BC1E76"/>
    <w:rsid w:val="00BC218D"/>
    <w:rsid w:val="00BC2C1E"/>
    <w:rsid w:val="00BC41A9"/>
    <w:rsid w:val="00BC4A83"/>
    <w:rsid w:val="00BC4EC3"/>
    <w:rsid w:val="00BC5BA8"/>
    <w:rsid w:val="00BC67E3"/>
    <w:rsid w:val="00BC743F"/>
    <w:rsid w:val="00BC76B9"/>
    <w:rsid w:val="00BC778A"/>
    <w:rsid w:val="00BC7ED2"/>
    <w:rsid w:val="00BC7EF0"/>
    <w:rsid w:val="00BD0BAF"/>
    <w:rsid w:val="00BD3024"/>
    <w:rsid w:val="00BD49A0"/>
    <w:rsid w:val="00BD591E"/>
    <w:rsid w:val="00BD768B"/>
    <w:rsid w:val="00BD7F67"/>
    <w:rsid w:val="00BE1744"/>
    <w:rsid w:val="00BE176E"/>
    <w:rsid w:val="00BE1F11"/>
    <w:rsid w:val="00BE24C2"/>
    <w:rsid w:val="00BE3F13"/>
    <w:rsid w:val="00BE437E"/>
    <w:rsid w:val="00BE59AB"/>
    <w:rsid w:val="00BE5C3B"/>
    <w:rsid w:val="00BE7838"/>
    <w:rsid w:val="00BF01DF"/>
    <w:rsid w:val="00BF0593"/>
    <w:rsid w:val="00BF0C1B"/>
    <w:rsid w:val="00BF0D2E"/>
    <w:rsid w:val="00BF2EC9"/>
    <w:rsid w:val="00BF407D"/>
    <w:rsid w:val="00BF4F5C"/>
    <w:rsid w:val="00BF63D3"/>
    <w:rsid w:val="00BF76DE"/>
    <w:rsid w:val="00BF7897"/>
    <w:rsid w:val="00BF7F9A"/>
    <w:rsid w:val="00C00C08"/>
    <w:rsid w:val="00C02245"/>
    <w:rsid w:val="00C0269A"/>
    <w:rsid w:val="00C03088"/>
    <w:rsid w:val="00C03F3D"/>
    <w:rsid w:val="00C0505B"/>
    <w:rsid w:val="00C05208"/>
    <w:rsid w:val="00C057A9"/>
    <w:rsid w:val="00C058E6"/>
    <w:rsid w:val="00C069AD"/>
    <w:rsid w:val="00C10192"/>
    <w:rsid w:val="00C11EF5"/>
    <w:rsid w:val="00C12C1B"/>
    <w:rsid w:val="00C13493"/>
    <w:rsid w:val="00C13EEA"/>
    <w:rsid w:val="00C1469A"/>
    <w:rsid w:val="00C147EB"/>
    <w:rsid w:val="00C14B2A"/>
    <w:rsid w:val="00C15156"/>
    <w:rsid w:val="00C157B1"/>
    <w:rsid w:val="00C165E2"/>
    <w:rsid w:val="00C175CF"/>
    <w:rsid w:val="00C17B3D"/>
    <w:rsid w:val="00C202BD"/>
    <w:rsid w:val="00C20979"/>
    <w:rsid w:val="00C22EC7"/>
    <w:rsid w:val="00C23E9F"/>
    <w:rsid w:val="00C24301"/>
    <w:rsid w:val="00C244D5"/>
    <w:rsid w:val="00C24D4F"/>
    <w:rsid w:val="00C25433"/>
    <w:rsid w:val="00C254A3"/>
    <w:rsid w:val="00C269D2"/>
    <w:rsid w:val="00C27518"/>
    <w:rsid w:val="00C304A4"/>
    <w:rsid w:val="00C30FA4"/>
    <w:rsid w:val="00C31653"/>
    <w:rsid w:val="00C32A68"/>
    <w:rsid w:val="00C33939"/>
    <w:rsid w:val="00C34A0F"/>
    <w:rsid w:val="00C34C1E"/>
    <w:rsid w:val="00C34DC1"/>
    <w:rsid w:val="00C351B4"/>
    <w:rsid w:val="00C35214"/>
    <w:rsid w:val="00C3543C"/>
    <w:rsid w:val="00C3745A"/>
    <w:rsid w:val="00C37666"/>
    <w:rsid w:val="00C376B0"/>
    <w:rsid w:val="00C4110E"/>
    <w:rsid w:val="00C41C69"/>
    <w:rsid w:val="00C4291E"/>
    <w:rsid w:val="00C42E7B"/>
    <w:rsid w:val="00C4311A"/>
    <w:rsid w:val="00C45A3B"/>
    <w:rsid w:val="00C46296"/>
    <w:rsid w:val="00C472D9"/>
    <w:rsid w:val="00C4789A"/>
    <w:rsid w:val="00C51501"/>
    <w:rsid w:val="00C51666"/>
    <w:rsid w:val="00C5453B"/>
    <w:rsid w:val="00C549B2"/>
    <w:rsid w:val="00C54CB0"/>
    <w:rsid w:val="00C56064"/>
    <w:rsid w:val="00C609A3"/>
    <w:rsid w:val="00C61998"/>
    <w:rsid w:val="00C62C4A"/>
    <w:rsid w:val="00C62E2F"/>
    <w:rsid w:val="00C66082"/>
    <w:rsid w:val="00C67CEF"/>
    <w:rsid w:val="00C729F5"/>
    <w:rsid w:val="00C72C72"/>
    <w:rsid w:val="00C740E2"/>
    <w:rsid w:val="00C74178"/>
    <w:rsid w:val="00C74786"/>
    <w:rsid w:val="00C751FD"/>
    <w:rsid w:val="00C7526D"/>
    <w:rsid w:val="00C80D61"/>
    <w:rsid w:val="00C81311"/>
    <w:rsid w:val="00C81AC2"/>
    <w:rsid w:val="00C81DF0"/>
    <w:rsid w:val="00C83196"/>
    <w:rsid w:val="00C83292"/>
    <w:rsid w:val="00C8336B"/>
    <w:rsid w:val="00C84EF1"/>
    <w:rsid w:val="00C8544E"/>
    <w:rsid w:val="00C85837"/>
    <w:rsid w:val="00C86685"/>
    <w:rsid w:val="00C9095C"/>
    <w:rsid w:val="00C9115F"/>
    <w:rsid w:val="00C91D19"/>
    <w:rsid w:val="00C930C3"/>
    <w:rsid w:val="00C94E9C"/>
    <w:rsid w:val="00C95267"/>
    <w:rsid w:val="00C95C0E"/>
    <w:rsid w:val="00C96DC3"/>
    <w:rsid w:val="00CA013F"/>
    <w:rsid w:val="00CA03D0"/>
    <w:rsid w:val="00CA1647"/>
    <w:rsid w:val="00CA216C"/>
    <w:rsid w:val="00CA3C15"/>
    <w:rsid w:val="00CA4A35"/>
    <w:rsid w:val="00CA58CA"/>
    <w:rsid w:val="00CA5FE2"/>
    <w:rsid w:val="00CA6539"/>
    <w:rsid w:val="00CB0839"/>
    <w:rsid w:val="00CB09E8"/>
    <w:rsid w:val="00CB140F"/>
    <w:rsid w:val="00CB1B23"/>
    <w:rsid w:val="00CB255F"/>
    <w:rsid w:val="00CB3016"/>
    <w:rsid w:val="00CB3424"/>
    <w:rsid w:val="00CB3DBA"/>
    <w:rsid w:val="00CB3EAC"/>
    <w:rsid w:val="00CB40DA"/>
    <w:rsid w:val="00CB4B53"/>
    <w:rsid w:val="00CB517E"/>
    <w:rsid w:val="00CB5B8D"/>
    <w:rsid w:val="00CB7107"/>
    <w:rsid w:val="00CB7134"/>
    <w:rsid w:val="00CB754C"/>
    <w:rsid w:val="00CC0449"/>
    <w:rsid w:val="00CC0C0E"/>
    <w:rsid w:val="00CC0F02"/>
    <w:rsid w:val="00CC13E8"/>
    <w:rsid w:val="00CC167E"/>
    <w:rsid w:val="00CC191B"/>
    <w:rsid w:val="00CC232C"/>
    <w:rsid w:val="00CC32C8"/>
    <w:rsid w:val="00CC4050"/>
    <w:rsid w:val="00CC52AD"/>
    <w:rsid w:val="00CC7E3B"/>
    <w:rsid w:val="00CD0560"/>
    <w:rsid w:val="00CD16AE"/>
    <w:rsid w:val="00CD1B89"/>
    <w:rsid w:val="00CD279D"/>
    <w:rsid w:val="00CD387E"/>
    <w:rsid w:val="00CD38B0"/>
    <w:rsid w:val="00CD3CA4"/>
    <w:rsid w:val="00CD498D"/>
    <w:rsid w:val="00CD6E47"/>
    <w:rsid w:val="00CD7A67"/>
    <w:rsid w:val="00CE05FB"/>
    <w:rsid w:val="00CE0670"/>
    <w:rsid w:val="00CE0F70"/>
    <w:rsid w:val="00CE2A41"/>
    <w:rsid w:val="00CE3404"/>
    <w:rsid w:val="00CE4469"/>
    <w:rsid w:val="00CE7256"/>
    <w:rsid w:val="00CF002F"/>
    <w:rsid w:val="00CF0953"/>
    <w:rsid w:val="00CF0B14"/>
    <w:rsid w:val="00CF0B76"/>
    <w:rsid w:val="00CF14A7"/>
    <w:rsid w:val="00CF2731"/>
    <w:rsid w:val="00CF3C7F"/>
    <w:rsid w:val="00CF6929"/>
    <w:rsid w:val="00CF784D"/>
    <w:rsid w:val="00CF7C47"/>
    <w:rsid w:val="00D01843"/>
    <w:rsid w:val="00D01942"/>
    <w:rsid w:val="00D0240D"/>
    <w:rsid w:val="00D03598"/>
    <w:rsid w:val="00D0425B"/>
    <w:rsid w:val="00D05013"/>
    <w:rsid w:val="00D0560B"/>
    <w:rsid w:val="00D073DB"/>
    <w:rsid w:val="00D1014C"/>
    <w:rsid w:val="00D10B2F"/>
    <w:rsid w:val="00D10CB6"/>
    <w:rsid w:val="00D129DA"/>
    <w:rsid w:val="00D12B9A"/>
    <w:rsid w:val="00D13F78"/>
    <w:rsid w:val="00D15A3A"/>
    <w:rsid w:val="00D16746"/>
    <w:rsid w:val="00D16BF2"/>
    <w:rsid w:val="00D1752F"/>
    <w:rsid w:val="00D1785D"/>
    <w:rsid w:val="00D17ACD"/>
    <w:rsid w:val="00D17B15"/>
    <w:rsid w:val="00D20957"/>
    <w:rsid w:val="00D22EF3"/>
    <w:rsid w:val="00D2303B"/>
    <w:rsid w:val="00D254AA"/>
    <w:rsid w:val="00D25CA8"/>
    <w:rsid w:val="00D269BE"/>
    <w:rsid w:val="00D273A9"/>
    <w:rsid w:val="00D27C77"/>
    <w:rsid w:val="00D30527"/>
    <w:rsid w:val="00D308F3"/>
    <w:rsid w:val="00D31087"/>
    <w:rsid w:val="00D310FA"/>
    <w:rsid w:val="00D31899"/>
    <w:rsid w:val="00D331AB"/>
    <w:rsid w:val="00D3326E"/>
    <w:rsid w:val="00D33745"/>
    <w:rsid w:val="00D351F7"/>
    <w:rsid w:val="00D363E5"/>
    <w:rsid w:val="00D36801"/>
    <w:rsid w:val="00D36D04"/>
    <w:rsid w:val="00D37FFA"/>
    <w:rsid w:val="00D41100"/>
    <w:rsid w:val="00D4127D"/>
    <w:rsid w:val="00D41FCB"/>
    <w:rsid w:val="00D42672"/>
    <w:rsid w:val="00D431D5"/>
    <w:rsid w:val="00D43C90"/>
    <w:rsid w:val="00D448BD"/>
    <w:rsid w:val="00D452FC"/>
    <w:rsid w:val="00D453B4"/>
    <w:rsid w:val="00D4582E"/>
    <w:rsid w:val="00D45B9A"/>
    <w:rsid w:val="00D464ED"/>
    <w:rsid w:val="00D50459"/>
    <w:rsid w:val="00D51738"/>
    <w:rsid w:val="00D51A10"/>
    <w:rsid w:val="00D52375"/>
    <w:rsid w:val="00D52E61"/>
    <w:rsid w:val="00D531BA"/>
    <w:rsid w:val="00D55243"/>
    <w:rsid w:val="00D55869"/>
    <w:rsid w:val="00D56737"/>
    <w:rsid w:val="00D6090F"/>
    <w:rsid w:val="00D60EDF"/>
    <w:rsid w:val="00D615E2"/>
    <w:rsid w:val="00D61E45"/>
    <w:rsid w:val="00D62B1D"/>
    <w:rsid w:val="00D6329D"/>
    <w:rsid w:val="00D633BE"/>
    <w:rsid w:val="00D63DF3"/>
    <w:rsid w:val="00D63FEF"/>
    <w:rsid w:val="00D6458F"/>
    <w:rsid w:val="00D64656"/>
    <w:rsid w:val="00D65264"/>
    <w:rsid w:val="00D65E7A"/>
    <w:rsid w:val="00D67318"/>
    <w:rsid w:val="00D67616"/>
    <w:rsid w:val="00D67AA0"/>
    <w:rsid w:val="00D67D28"/>
    <w:rsid w:val="00D70649"/>
    <w:rsid w:val="00D70AC1"/>
    <w:rsid w:val="00D712A7"/>
    <w:rsid w:val="00D72C70"/>
    <w:rsid w:val="00D7324B"/>
    <w:rsid w:val="00D743ED"/>
    <w:rsid w:val="00D745F2"/>
    <w:rsid w:val="00D7517E"/>
    <w:rsid w:val="00D7574A"/>
    <w:rsid w:val="00D763DA"/>
    <w:rsid w:val="00D77085"/>
    <w:rsid w:val="00D77500"/>
    <w:rsid w:val="00D775A0"/>
    <w:rsid w:val="00D80324"/>
    <w:rsid w:val="00D808B8"/>
    <w:rsid w:val="00D80DBE"/>
    <w:rsid w:val="00D816CD"/>
    <w:rsid w:val="00D8180F"/>
    <w:rsid w:val="00D82ADC"/>
    <w:rsid w:val="00D82C4D"/>
    <w:rsid w:val="00D832E8"/>
    <w:rsid w:val="00D84CC1"/>
    <w:rsid w:val="00D8590F"/>
    <w:rsid w:val="00D8698E"/>
    <w:rsid w:val="00D86E0D"/>
    <w:rsid w:val="00D87738"/>
    <w:rsid w:val="00D879E7"/>
    <w:rsid w:val="00D903BC"/>
    <w:rsid w:val="00D92247"/>
    <w:rsid w:val="00D92D73"/>
    <w:rsid w:val="00D954FA"/>
    <w:rsid w:val="00D9626E"/>
    <w:rsid w:val="00D96662"/>
    <w:rsid w:val="00D96EAB"/>
    <w:rsid w:val="00D973C4"/>
    <w:rsid w:val="00D97E81"/>
    <w:rsid w:val="00DA046A"/>
    <w:rsid w:val="00DA1676"/>
    <w:rsid w:val="00DA35B7"/>
    <w:rsid w:val="00DA4162"/>
    <w:rsid w:val="00DA4269"/>
    <w:rsid w:val="00DA6007"/>
    <w:rsid w:val="00DA6223"/>
    <w:rsid w:val="00DA6EE3"/>
    <w:rsid w:val="00DA707D"/>
    <w:rsid w:val="00DB0F9D"/>
    <w:rsid w:val="00DB1AED"/>
    <w:rsid w:val="00DB36FD"/>
    <w:rsid w:val="00DB39DC"/>
    <w:rsid w:val="00DB3B62"/>
    <w:rsid w:val="00DB3E8D"/>
    <w:rsid w:val="00DC14A4"/>
    <w:rsid w:val="00DC193F"/>
    <w:rsid w:val="00DC1C0E"/>
    <w:rsid w:val="00DC1CB2"/>
    <w:rsid w:val="00DC1FB1"/>
    <w:rsid w:val="00DC36C6"/>
    <w:rsid w:val="00DC3D93"/>
    <w:rsid w:val="00DC3E0B"/>
    <w:rsid w:val="00DC495D"/>
    <w:rsid w:val="00DC61B6"/>
    <w:rsid w:val="00DC70C9"/>
    <w:rsid w:val="00DC710A"/>
    <w:rsid w:val="00DD0512"/>
    <w:rsid w:val="00DD1597"/>
    <w:rsid w:val="00DD1E02"/>
    <w:rsid w:val="00DD2B30"/>
    <w:rsid w:val="00DD3D29"/>
    <w:rsid w:val="00DD3F53"/>
    <w:rsid w:val="00DD4BFC"/>
    <w:rsid w:val="00DD4E56"/>
    <w:rsid w:val="00DD5C3F"/>
    <w:rsid w:val="00DD5F53"/>
    <w:rsid w:val="00DD6A32"/>
    <w:rsid w:val="00DD74AA"/>
    <w:rsid w:val="00DD7923"/>
    <w:rsid w:val="00DE07D5"/>
    <w:rsid w:val="00DE1AF4"/>
    <w:rsid w:val="00DE2964"/>
    <w:rsid w:val="00DE2A26"/>
    <w:rsid w:val="00DE3C2E"/>
    <w:rsid w:val="00DE60C6"/>
    <w:rsid w:val="00DE6191"/>
    <w:rsid w:val="00DE64B7"/>
    <w:rsid w:val="00DE6994"/>
    <w:rsid w:val="00DE7084"/>
    <w:rsid w:val="00DF051B"/>
    <w:rsid w:val="00DF2058"/>
    <w:rsid w:val="00DF2150"/>
    <w:rsid w:val="00DF226C"/>
    <w:rsid w:val="00DF2B5E"/>
    <w:rsid w:val="00DF332F"/>
    <w:rsid w:val="00DF4A87"/>
    <w:rsid w:val="00DF72FA"/>
    <w:rsid w:val="00DF7D37"/>
    <w:rsid w:val="00E004D5"/>
    <w:rsid w:val="00E00DEC"/>
    <w:rsid w:val="00E019F2"/>
    <w:rsid w:val="00E01E49"/>
    <w:rsid w:val="00E024B0"/>
    <w:rsid w:val="00E03AC7"/>
    <w:rsid w:val="00E04E8C"/>
    <w:rsid w:val="00E052E9"/>
    <w:rsid w:val="00E06A0C"/>
    <w:rsid w:val="00E06D00"/>
    <w:rsid w:val="00E07143"/>
    <w:rsid w:val="00E07204"/>
    <w:rsid w:val="00E07431"/>
    <w:rsid w:val="00E07C18"/>
    <w:rsid w:val="00E10739"/>
    <w:rsid w:val="00E13012"/>
    <w:rsid w:val="00E1365B"/>
    <w:rsid w:val="00E14AE7"/>
    <w:rsid w:val="00E14BED"/>
    <w:rsid w:val="00E15B32"/>
    <w:rsid w:val="00E16801"/>
    <w:rsid w:val="00E168B8"/>
    <w:rsid w:val="00E16924"/>
    <w:rsid w:val="00E16E86"/>
    <w:rsid w:val="00E20AAC"/>
    <w:rsid w:val="00E20DF2"/>
    <w:rsid w:val="00E21A78"/>
    <w:rsid w:val="00E21C05"/>
    <w:rsid w:val="00E23641"/>
    <w:rsid w:val="00E23AD2"/>
    <w:rsid w:val="00E23CC5"/>
    <w:rsid w:val="00E23E0C"/>
    <w:rsid w:val="00E270A1"/>
    <w:rsid w:val="00E303AF"/>
    <w:rsid w:val="00E314EC"/>
    <w:rsid w:val="00E3235F"/>
    <w:rsid w:val="00E32634"/>
    <w:rsid w:val="00E33C5B"/>
    <w:rsid w:val="00E348C8"/>
    <w:rsid w:val="00E351F8"/>
    <w:rsid w:val="00E35890"/>
    <w:rsid w:val="00E35DF9"/>
    <w:rsid w:val="00E36422"/>
    <w:rsid w:val="00E37944"/>
    <w:rsid w:val="00E41A02"/>
    <w:rsid w:val="00E437C3"/>
    <w:rsid w:val="00E43ED8"/>
    <w:rsid w:val="00E456EE"/>
    <w:rsid w:val="00E45B3A"/>
    <w:rsid w:val="00E4648C"/>
    <w:rsid w:val="00E46730"/>
    <w:rsid w:val="00E46832"/>
    <w:rsid w:val="00E473FE"/>
    <w:rsid w:val="00E475DD"/>
    <w:rsid w:val="00E519A6"/>
    <w:rsid w:val="00E51C65"/>
    <w:rsid w:val="00E546C6"/>
    <w:rsid w:val="00E5487C"/>
    <w:rsid w:val="00E557FD"/>
    <w:rsid w:val="00E55E3F"/>
    <w:rsid w:val="00E60713"/>
    <w:rsid w:val="00E60A71"/>
    <w:rsid w:val="00E60E27"/>
    <w:rsid w:val="00E61562"/>
    <w:rsid w:val="00E61A06"/>
    <w:rsid w:val="00E624DC"/>
    <w:rsid w:val="00E62666"/>
    <w:rsid w:val="00E62F11"/>
    <w:rsid w:val="00E63476"/>
    <w:rsid w:val="00E63702"/>
    <w:rsid w:val="00E64D88"/>
    <w:rsid w:val="00E651E6"/>
    <w:rsid w:val="00E65D3A"/>
    <w:rsid w:val="00E66B83"/>
    <w:rsid w:val="00E67919"/>
    <w:rsid w:val="00E679A2"/>
    <w:rsid w:val="00E67AEA"/>
    <w:rsid w:val="00E67D7F"/>
    <w:rsid w:val="00E70E2D"/>
    <w:rsid w:val="00E718B1"/>
    <w:rsid w:val="00E719EA"/>
    <w:rsid w:val="00E72439"/>
    <w:rsid w:val="00E739E3"/>
    <w:rsid w:val="00E74E5F"/>
    <w:rsid w:val="00E74F0C"/>
    <w:rsid w:val="00E7666E"/>
    <w:rsid w:val="00E76CE3"/>
    <w:rsid w:val="00E8078A"/>
    <w:rsid w:val="00E80CA1"/>
    <w:rsid w:val="00E8223F"/>
    <w:rsid w:val="00E829C6"/>
    <w:rsid w:val="00E834F8"/>
    <w:rsid w:val="00E848A4"/>
    <w:rsid w:val="00E84CB2"/>
    <w:rsid w:val="00E853AA"/>
    <w:rsid w:val="00E85BF2"/>
    <w:rsid w:val="00E87B2C"/>
    <w:rsid w:val="00E903C7"/>
    <w:rsid w:val="00E90632"/>
    <w:rsid w:val="00E914FA"/>
    <w:rsid w:val="00E91F1F"/>
    <w:rsid w:val="00E9288E"/>
    <w:rsid w:val="00E94A89"/>
    <w:rsid w:val="00E94E22"/>
    <w:rsid w:val="00E96885"/>
    <w:rsid w:val="00E97EE6"/>
    <w:rsid w:val="00EA01A5"/>
    <w:rsid w:val="00EA0F0E"/>
    <w:rsid w:val="00EA4430"/>
    <w:rsid w:val="00EA4C5E"/>
    <w:rsid w:val="00EA4FAF"/>
    <w:rsid w:val="00EA558B"/>
    <w:rsid w:val="00EA6232"/>
    <w:rsid w:val="00EA6619"/>
    <w:rsid w:val="00EB08D1"/>
    <w:rsid w:val="00EB12B4"/>
    <w:rsid w:val="00EB1BFF"/>
    <w:rsid w:val="00EB27AB"/>
    <w:rsid w:val="00EB2BFD"/>
    <w:rsid w:val="00EB3358"/>
    <w:rsid w:val="00EB3606"/>
    <w:rsid w:val="00EB37B3"/>
    <w:rsid w:val="00EB40D2"/>
    <w:rsid w:val="00EB4B28"/>
    <w:rsid w:val="00EB4DEF"/>
    <w:rsid w:val="00EB6460"/>
    <w:rsid w:val="00EB7A2F"/>
    <w:rsid w:val="00EC015B"/>
    <w:rsid w:val="00EC0DF4"/>
    <w:rsid w:val="00EC185B"/>
    <w:rsid w:val="00EC263C"/>
    <w:rsid w:val="00EC32B5"/>
    <w:rsid w:val="00EC3694"/>
    <w:rsid w:val="00EC42E4"/>
    <w:rsid w:val="00EC5863"/>
    <w:rsid w:val="00EC624F"/>
    <w:rsid w:val="00EC686A"/>
    <w:rsid w:val="00EC68DD"/>
    <w:rsid w:val="00EC691F"/>
    <w:rsid w:val="00EC7FF3"/>
    <w:rsid w:val="00ED03B9"/>
    <w:rsid w:val="00ED0760"/>
    <w:rsid w:val="00ED1251"/>
    <w:rsid w:val="00ED2C4F"/>
    <w:rsid w:val="00ED2FE2"/>
    <w:rsid w:val="00ED3CED"/>
    <w:rsid w:val="00ED5416"/>
    <w:rsid w:val="00ED6574"/>
    <w:rsid w:val="00ED7BB2"/>
    <w:rsid w:val="00ED7BDC"/>
    <w:rsid w:val="00EE002E"/>
    <w:rsid w:val="00EE03FA"/>
    <w:rsid w:val="00EE0A03"/>
    <w:rsid w:val="00EE0B61"/>
    <w:rsid w:val="00EE1ED9"/>
    <w:rsid w:val="00EE2BEA"/>
    <w:rsid w:val="00EE32A1"/>
    <w:rsid w:val="00EE34E9"/>
    <w:rsid w:val="00EE35B1"/>
    <w:rsid w:val="00EE43E1"/>
    <w:rsid w:val="00EE4DD8"/>
    <w:rsid w:val="00EE504A"/>
    <w:rsid w:val="00EE50E9"/>
    <w:rsid w:val="00EE6E7B"/>
    <w:rsid w:val="00EE7980"/>
    <w:rsid w:val="00EE7EBC"/>
    <w:rsid w:val="00EF09D1"/>
    <w:rsid w:val="00EF0FD6"/>
    <w:rsid w:val="00EF188C"/>
    <w:rsid w:val="00EF21C4"/>
    <w:rsid w:val="00EF35A4"/>
    <w:rsid w:val="00EF46F9"/>
    <w:rsid w:val="00EF746F"/>
    <w:rsid w:val="00EF7EBD"/>
    <w:rsid w:val="00F00E7A"/>
    <w:rsid w:val="00F00F38"/>
    <w:rsid w:val="00F014C0"/>
    <w:rsid w:val="00F03F51"/>
    <w:rsid w:val="00F045C3"/>
    <w:rsid w:val="00F045CC"/>
    <w:rsid w:val="00F04742"/>
    <w:rsid w:val="00F06298"/>
    <w:rsid w:val="00F06C11"/>
    <w:rsid w:val="00F11864"/>
    <w:rsid w:val="00F119E5"/>
    <w:rsid w:val="00F12046"/>
    <w:rsid w:val="00F1276A"/>
    <w:rsid w:val="00F12C88"/>
    <w:rsid w:val="00F1385D"/>
    <w:rsid w:val="00F140EC"/>
    <w:rsid w:val="00F1571B"/>
    <w:rsid w:val="00F179DD"/>
    <w:rsid w:val="00F22CCC"/>
    <w:rsid w:val="00F23706"/>
    <w:rsid w:val="00F25430"/>
    <w:rsid w:val="00F26036"/>
    <w:rsid w:val="00F268CF"/>
    <w:rsid w:val="00F3121E"/>
    <w:rsid w:val="00F3180B"/>
    <w:rsid w:val="00F338AB"/>
    <w:rsid w:val="00F3555D"/>
    <w:rsid w:val="00F35A2E"/>
    <w:rsid w:val="00F36081"/>
    <w:rsid w:val="00F37695"/>
    <w:rsid w:val="00F37DC1"/>
    <w:rsid w:val="00F40632"/>
    <w:rsid w:val="00F40D05"/>
    <w:rsid w:val="00F40E3E"/>
    <w:rsid w:val="00F41C7A"/>
    <w:rsid w:val="00F42221"/>
    <w:rsid w:val="00F4231D"/>
    <w:rsid w:val="00F42872"/>
    <w:rsid w:val="00F43117"/>
    <w:rsid w:val="00F43C9E"/>
    <w:rsid w:val="00F44410"/>
    <w:rsid w:val="00F45787"/>
    <w:rsid w:val="00F46F2B"/>
    <w:rsid w:val="00F470FF"/>
    <w:rsid w:val="00F503E9"/>
    <w:rsid w:val="00F518F1"/>
    <w:rsid w:val="00F52659"/>
    <w:rsid w:val="00F53828"/>
    <w:rsid w:val="00F549A7"/>
    <w:rsid w:val="00F54FAE"/>
    <w:rsid w:val="00F55709"/>
    <w:rsid w:val="00F576F7"/>
    <w:rsid w:val="00F57ABE"/>
    <w:rsid w:val="00F57C26"/>
    <w:rsid w:val="00F61ED9"/>
    <w:rsid w:val="00F62E09"/>
    <w:rsid w:val="00F64ECE"/>
    <w:rsid w:val="00F6551F"/>
    <w:rsid w:val="00F65A14"/>
    <w:rsid w:val="00F65D00"/>
    <w:rsid w:val="00F66524"/>
    <w:rsid w:val="00F716F1"/>
    <w:rsid w:val="00F71F88"/>
    <w:rsid w:val="00F72CF8"/>
    <w:rsid w:val="00F7417B"/>
    <w:rsid w:val="00F747CD"/>
    <w:rsid w:val="00F765E5"/>
    <w:rsid w:val="00F77C06"/>
    <w:rsid w:val="00F77CC9"/>
    <w:rsid w:val="00F80828"/>
    <w:rsid w:val="00F81132"/>
    <w:rsid w:val="00F816A7"/>
    <w:rsid w:val="00F81E0B"/>
    <w:rsid w:val="00F82836"/>
    <w:rsid w:val="00F82A83"/>
    <w:rsid w:val="00F832FB"/>
    <w:rsid w:val="00F841DE"/>
    <w:rsid w:val="00F84FA4"/>
    <w:rsid w:val="00F87F65"/>
    <w:rsid w:val="00F90DBB"/>
    <w:rsid w:val="00F92169"/>
    <w:rsid w:val="00F92353"/>
    <w:rsid w:val="00F92692"/>
    <w:rsid w:val="00F927DA"/>
    <w:rsid w:val="00F938CB"/>
    <w:rsid w:val="00F93B9B"/>
    <w:rsid w:val="00F960CB"/>
    <w:rsid w:val="00F96AE8"/>
    <w:rsid w:val="00F96C4A"/>
    <w:rsid w:val="00F96F3B"/>
    <w:rsid w:val="00F97A3B"/>
    <w:rsid w:val="00FA0345"/>
    <w:rsid w:val="00FA07DD"/>
    <w:rsid w:val="00FA0DA4"/>
    <w:rsid w:val="00FA0F79"/>
    <w:rsid w:val="00FA1D44"/>
    <w:rsid w:val="00FA25DB"/>
    <w:rsid w:val="00FA3592"/>
    <w:rsid w:val="00FA3C8C"/>
    <w:rsid w:val="00FA4C98"/>
    <w:rsid w:val="00FA4D75"/>
    <w:rsid w:val="00FA51E0"/>
    <w:rsid w:val="00FA55A4"/>
    <w:rsid w:val="00FA708A"/>
    <w:rsid w:val="00FA76E4"/>
    <w:rsid w:val="00FA776C"/>
    <w:rsid w:val="00FB0A91"/>
    <w:rsid w:val="00FB15B6"/>
    <w:rsid w:val="00FB1E7C"/>
    <w:rsid w:val="00FB22C1"/>
    <w:rsid w:val="00FB34C3"/>
    <w:rsid w:val="00FB4AA5"/>
    <w:rsid w:val="00FB521F"/>
    <w:rsid w:val="00FB5773"/>
    <w:rsid w:val="00FB6678"/>
    <w:rsid w:val="00FB6C09"/>
    <w:rsid w:val="00FB7188"/>
    <w:rsid w:val="00FB7770"/>
    <w:rsid w:val="00FC0211"/>
    <w:rsid w:val="00FC0FC7"/>
    <w:rsid w:val="00FC1297"/>
    <w:rsid w:val="00FC1D2C"/>
    <w:rsid w:val="00FC3766"/>
    <w:rsid w:val="00FC588F"/>
    <w:rsid w:val="00FC5B3D"/>
    <w:rsid w:val="00FC7279"/>
    <w:rsid w:val="00FC75FE"/>
    <w:rsid w:val="00FD02D7"/>
    <w:rsid w:val="00FD1E8C"/>
    <w:rsid w:val="00FD1F6B"/>
    <w:rsid w:val="00FD2E2C"/>
    <w:rsid w:val="00FD38C7"/>
    <w:rsid w:val="00FD3DB2"/>
    <w:rsid w:val="00FD408C"/>
    <w:rsid w:val="00FD482B"/>
    <w:rsid w:val="00FD4A1E"/>
    <w:rsid w:val="00FD5859"/>
    <w:rsid w:val="00FD5DFB"/>
    <w:rsid w:val="00FD6762"/>
    <w:rsid w:val="00FD72AB"/>
    <w:rsid w:val="00FD7A28"/>
    <w:rsid w:val="00FD7C7E"/>
    <w:rsid w:val="00FD7DFA"/>
    <w:rsid w:val="00FE11A2"/>
    <w:rsid w:val="00FE3258"/>
    <w:rsid w:val="00FE37AF"/>
    <w:rsid w:val="00FE3DC4"/>
    <w:rsid w:val="00FE4B83"/>
    <w:rsid w:val="00FE566E"/>
    <w:rsid w:val="00FE579F"/>
    <w:rsid w:val="00FE7A3A"/>
    <w:rsid w:val="00FE7AD5"/>
    <w:rsid w:val="00FF00AC"/>
    <w:rsid w:val="00FF13F2"/>
    <w:rsid w:val="00FF187C"/>
    <w:rsid w:val="00FF28B9"/>
    <w:rsid w:val="00FF32D1"/>
    <w:rsid w:val="00FF3552"/>
    <w:rsid w:val="00FF37C4"/>
    <w:rsid w:val="00FF54D0"/>
    <w:rsid w:val="00FF584F"/>
    <w:rsid w:val="00FF5EC8"/>
    <w:rsid w:val="00FF6D6F"/>
    <w:rsid w:val="00FF7129"/>
    <w:rsid w:val="00FF7809"/>
    <w:rsid w:val="2DFE62AD"/>
    <w:rsid w:val="488A3FAF"/>
    <w:rsid w:val="489B54B7"/>
    <w:rsid w:val="4BA56874"/>
    <w:rsid w:val="7387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uiPriority w:val="39"/>
    <w:pPr>
      <w:ind w:left="2520" w:leftChars="1200"/>
    </w:pPr>
  </w:style>
  <w:style w:type="paragraph" w:styleId="5">
    <w:name w:val="table of authorities"/>
    <w:basedOn w:val="1"/>
    <w:next w:val="1"/>
    <w:link w:val="49"/>
    <w:semiHidden/>
    <w:unhideWhenUsed/>
    <w:uiPriority w:val="99"/>
    <w:pPr>
      <w:ind w:left="420" w:leftChars="200"/>
    </w:pPr>
  </w:style>
  <w:style w:type="paragraph" w:styleId="6">
    <w:name w:val="Normal Indent"/>
    <w:basedOn w:val="1"/>
    <w:unhideWhenUsed/>
    <w:qFormat/>
    <w:uiPriority w:val="99"/>
    <w:pPr>
      <w:ind w:firstLine="420" w:firstLineChars="200"/>
    </w:pPr>
  </w:style>
  <w:style w:type="paragraph" w:styleId="7">
    <w:name w:val="annotation text"/>
    <w:basedOn w:val="1"/>
    <w:link w:val="71"/>
    <w:qFormat/>
    <w:uiPriority w:val="0"/>
    <w:pPr>
      <w:widowControl/>
      <w:jc w:val="left"/>
    </w:pPr>
    <w:rPr>
      <w:rFonts w:ascii="仿宋GB2312" w:hAnsi="仿宋" w:eastAsia="仿宋GB2312" w:cs="楷体_GB2312"/>
      <w:bCs/>
      <w:sz w:val="18"/>
      <w:szCs w:val="18"/>
    </w:rPr>
  </w:style>
  <w:style w:type="paragraph" w:styleId="8">
    <w:name w:val="Body Text Indent"/>
    <w:basedOn w:val="1"/>
    <w:link w:val="67"/>
    <w:unhideWhenUsed/>
    <w:qFormat/>
    <w:uiPriority w:val="0"/>
    <w:pPr>
      <w:spacing w:after="120"/>
      <w:ind w:left="420" w:leftChars="200"/>
    </w:pPr>
  </w:style>
  <w:style w:type="paragraph" w:styleId="9">
    <w:name w:val="toc 5"/>
    <w:basedOn w:val="1"/>
    <w:next w:val="1"/>
    <w:unhideWhenUsed/>
    <w:uiPriority w:val="39"/>
    <w:pPr>
      <w:ind w:left="1680" w:leftChars="800"/>
    </w:pPr>
  </w:style>
  <w:style w:type="paragraph" w:styleId="10">
    <w:name w:val="toc 3"/>
    <w:basedOn w:val="11"/>
    <w:next w:val="1"/>
    <w:unhideWhenUsed/>
    <w:qFormat/>
    <w:uiPriority w:val="39"/>
    <w:pPr>
      <w:widowControl/>
      <w:tabs>
        <w:tab w:val="right" w:leader="dot" w:pos="8296"/>
      </w:tabs>
      <w:spacing w:after="100" w:line="276" w:lineRule="auto"/>
      <w:ind w:left="442"/>
    </w:pPr>
    <w:rPr>
      <w:b w:val="0"/>
      <w:kern w:val="0"/>
    </w:rPr>
  </w:style>
  <w:style w:type="paragraph" w:customStyle="1" w:styleId="11">
    <w:name w:val="3标题"/>
    <w:basedOn w:val="12"/>
    <w:link w:val="41"/>
    <w:qFormat/>
    <w:uiPriority w:val="0"/>
    <w:pPr>
      <w:snapToGrid w:val="0"/>
      <w:spacing w:before="0" w:after="0" w:line="440" w:lineRule="exact"/>
      <w:ind w:firstLine="200" w:firstLineChars="200"/>
      <w:jc w:val="left"/>
      <w:outlineLvl w:val="2"/>
    </w:pPr>
    <w:rPr>
      <w:rFonts w:ascii="Times New Roman" w:hAnsi="Times New Roman" w:eastAsia="宋体"/>
      <w:sz w:val="24"/>
      <w:szCs w:val="21"/>
    </w:rPr>
  </w:style>
  <w:style w:type="paragraph" w:styleId="12">
    <w:name w:val="Title"/>
    <w:basedOn w:val="1"/>
    <w:next w:val="1"/>
    <w:link w:val="38"/>
    <w:qFormat/>
    <w:uiPriority w:val="10"/>
    <w:pPr>
      <w:spacing w:before="240" w:after="60"/>
      <w:jc w:val="center"/>
      <w:outlineLvl w:val="0"/>
    </w:pPr>
    <w:rPr>
      <w:rFonts w:asciiTheme="majorHAnsi" w:hAnsiTheme="majorHAnsi" w:eastAsiaTheme="majorEastAsia" w:cstheme="majorBidi"/>
      <w:b/>
      <w:bCs/>
      <w:sz w:val="32"/>
      <w:szCs w:val="32"/>
    </w:rPr>
  </w:style>
  <w:style w:type="paragraph" w:styleId="13">
    <w:name w:val="toc 8"/>
    <w:basedOn w:val="1"/>
    <w:next w:val="1"/>
    <w:unhideWhenUsed/>
    <w:uiPriority w:val="39"/>
    <w:pPr>
      <w:ind w:left="2940" w:leftChars="1400"/>
    </w:pPr>
  </w:style>
  <w:style w:type="paragraph" w:styleId="14">
    <w:name w:val="Balloon Text"/>
    <w:basedOn w:val="1"/>
    <w:link w:val="54"/>
    <w:unhideWhenUsed/>
    <w:qFormat/>
    <w:uiPriority w:val="0"/>
    <w:rPr>
      <w:sz w:val="18"/>
      <w:szCs w:val="18"/>
    </w:rPr>
  </w:style>
  <w:style w:type="paragraph" w:styleId="15">
    <w:name w:val="footer"/>
    <w:basedOn w:val="1"/>
    <w:link w:val="35"/>
    <w:unhideWhenUsed/>
    <w:qFormat/>
    <w:uiPriority w:val="0"/>
    <w:pPr>
      <w:tabs>
        <w:tab w:val="center" w:pos="4153"/>
        <w:tab w:val="right" w:pos="8306"/>
      </w:tabs>
      <w:snapToGrid w:val="0"/>
      <w:jc w:val="left"/>
    </w:pPr>
    <w:rPr>
      <w:sz w:val="18"/>
      <w:szCs w:val="18"/>
    </w:rPr>
  </w:style>
  <w:style w:type="paragraph" w:styleId="16">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8"/>
    <w:next w:val="1"/>
    <w:unhideWhenUsed/>
    <w:uiPriority w:val="39"/>
    <w:pPr>
      <w:widowControl/>
      <w:spacing w:line="276" w:lineRule="auto"/>
    </w:pPr>
    <w:rPr>
      <w:b w:val="0"/>
      <w:snapToGrid w:val="0"/>
      <w:kern w:val="0"/>
    </w:rPr>
  </w:style>
  <w:style w:type="paragraph" w:customStyle="1" w:styleId="18">
    <w:name w:val="1标题"/>
    <w:basedOn w:val="19"/>
    <w:link w:val="39"/>
    <w:qFormat/>
    <w:uiPriority w:val="0"/>
    <w:pPr>
      <w:snapToGrid/>
      <w:spacing w:line="288" w:lineRule="auto"/>
      <w:ind w:firstLine="562"/>
    </w:pPr>
    <w:rPr>
      <w:sz w:val="30"/>
    </w:rPr>
  </w:style>
  <w:style w:type="paragraph" w:customStyle="1" w:styleId="19">
    <w:name w:val="2标题"/>
    <w:basedOn w:val="12"/>
    <w:link w:val="40"/>
    <w:qFormat/>
    <w:uiPriority w:val="0"/>
    <w:pPr>
      <w:snapToGrid w:val="0"/>
      <w:spacing w:before="0" w:after="0" w:line="440" w:lineRule="exact"/>
      <w:ind w:firstLine="200" w:firstLineChars="200"/>
      <w:jc w:val="left"/>
      <w:outlineLvl w:val="1"/>
    </w:pPr>
    <w:rPr>
      <w:rFonts w:ascii="Times New Roman" w:hAnsi="Times New Roman" w:eastAsia="宋体"/>
      <w:sz w:val="28"/>
      <w:szCs w:val="24"/>
    </w:rPr>
  </w:style>
  <w:style w:type="paragraph" w:styleId="20">
    <w:name w:val="toc 4"/>
    <w:basedOn w:val="1"/>
    <w:next w:val="1"/>
    <w:unhideWhenUsed/>
    <w:uiPriority w:val="39"/>
    <w:pPr>
      <w:ind w:left="1260" w:leftChars="600"/>
    </w:pPr>
  </w:style>
  <w:style w:type="paragraph" w:styleId="21">
    <w:name w:val="toc 6"/>
    <w:basedOn w:val="1"/>
    <w:next w:val="1"/>
    <w:unhideWhenUsed/>
    <w:uiPriority w:val="39"/>
    <w:pPr>
      <w:ind w:left="2100" w:leftChars="1000"/>
    </w:pPr>
  </w:style>
  <w:style w:type="paragraph" w:styleId="22">
    <w:name w:val="toc 2"/>
    <w:basedOn w:val="19"/>
    <w:next w:val="1"/>
    <w:unhideWhenUsed/>
    <w:qFormat/>
    <w:uiPriority w:val="39"/>
    <w:pPr>
      <w:widowControl/>
      <w:tabs>
        <w:tab w:val="right" w:leader="dot" w:pos="8296"/>
      </w:tabs>
      <w:spacing w:line="276" w:lineRule="auto"/>
      <w:ind w:left="221"/>
    </w:pPr>
    <w:rPr>
      <w:b w:val="0"/>
      <w:kern w:val="0"/>
    </w:rPr>
  </w:style>
  <w:style w:type="paragraph" w:styleId="23">
    <w:name w:val="toc 9"/>
    <w:basedOn w:val="1"/>
    <w:next w:val="1"/>
    <w:unhideWhenUsed/>
    <w:uiPriority w:val="39"/>
    <w:pPr>
      <w:ind w:left="3360" w:leftChars="1600"/>
    </w:pPr>
  </w:style>
  <w:style w:type="paragraph" w:styleId="24">
    <w:name w:val="Normal (Web)"/>
    <w:basedOn w:val="1"/>
    <w:qFormat/>
    <w:uiPriority w:val="0"/>
    <w:pPr>
      <w:widowControl/>
      <w:shd w:val="clear" w:color="auto" w:fill="FFFFFF"/>
      <w:snapToGrid w:val="0"/>
      <w:spacing w:line="520" w:lineRule="exact"/>
      <w:ind w:firstLine="320" w:firstLineChars="100"/>
      <w:jc w:val="left"/>
    </w:pPr>
    <w:rPr>
      <w:rFonts w:ascii="微软雅黑" w:hAnsi="微软雅黑" w:eastAsia="微软雅黑" w:cs="微软雅黑"/>
      <w:color w:val="000000"/>
      <w:kern w:val="0"/>
      <w:sz w:val="32"/>
      <w:szCs w:val="32"/>
    </w:rPr>
  </w:style>
  <w:style w:type="paragraph" w:styleId="25">
    <w:name w:val="annotation subject"/>
    <w:basedOn w:val="7"/>
    <w:next w:val="7"/>
    <w:link w:val="72"/>
    <w:qFormat/>
    <w:uiPriority w:val="0"/>
    <w:rPr>
      <w:b/>
      <w:bCs w:val="0"/>
    </w:rPr>
  </w:style>
  <w:style w:type="paragraph" w:styleId="26">
    <w:name w:val="Body Text First Indent 2"/>
    <w:basedOn w:val="8"/>
    <w:link w:val="68"/>
    <w:unhideWhenUsed/>
    <w:qFormat/>
    <w:uiPriority w:val="99"/>
    <w:pPr>
      <w:ind w:firstLine="420" w:firstLineChars="200"/>
    </w:p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unhideWhenUsed/>
    <w:uiPriority w:val="99"/>
    <w:rPr>
      <w:color w:val="0563C1" w:themeColor="hyperlink"/>
      <w:u w:val="single"/>
      <w14:textFill>
        <w14:solidFill>
          <w14:schemeClr w14:val="hlink"/>
        </w14:solidFill>
      </w14:textFill>
    </w:rPr>
  </w:style>
  <w:style w:type="character" w:styleId="31">
    <w:name w:val="annotation reference"/>
    <w:basedOn w:val="29"/>
    <w:qFormat/>
    <w:uiPriority w:val="0"/>
    <w:rPr>
      <w:sz w:val="21"/>
      <w:szCs w:val="21"/>
    </w:rPr>
  </w:style>
  <w:style w:type="character" w:customStyle="1" w:styleId="32">
    <w:name w:val="标题 1 字符"/>
    <w:basedOn w:val="29"/>
    <w:link w:val="2"/>
    <w:qFormat/>
    <w:uiPriority w:val="9"/>
    <w:rPr>
      <w:b/>
      <w:bCs/>
      <w:kern w:val="44"/>
      <w:sz w:val="44"/>
      <w:szCs w:val="44"/>
    </w:rPr>
  </w:style>
  <w:style w:type="character" w:customStyle="1" w:styleId="33">
    <w:name w:val="标题 2 字符"/>
    <w:basedOn w:val="29"/>
    <w:link w:val="3"/>
    <w:qFormat/>
    <w:uiPriority w:val="0"/>
    <w:rPr>
      <w:rFonts w:asciiTheme="majorHAnsi" w:hAnsiTheme="majorHAnsi" w:eastAsiaTheme="majorEastAsia" w:cstheme="majorBidi"/>
      <w:b/>
      <w:bCs/>
      <w:sz w:val="32"/>
      <w:szCs w:val="32"/>
    </w:rPr>
  </w:style>
  <w:style w:type="character" w:customStyle="1" w:styleId="34">
    <w:name w:val="页眉 字符"/>
    <w:basedOn w:val="29"/>
    <w:link w:val="16"/>
    <w:qFormat/>
    <w:uiPriority w:val="0"/>
    <w:rPr>
      <w:sz w:val="18"/>
      <w:szCs w:val="18"/>
    </w:rPr>
  </w:style>
  <w:style w:type="character" w:customStyle="1" w:styleId="35">
    <w:name w:val="页脚 字符"/>
    <w:basedOn w:val="29"/>
    <w:link w:val="15"/>
    <w:qFormat/>
    <w:uiPriority w:val="0"/>
    <w:rPr>
      <w:sz w:val="18"/>
      <w:szCs w:val="18"/>
    </w:rPr>
  </w:style>
  <w:style w:type="table" w:customStyle="1" w:styleId="36">
    <w:name w:val="TableGrid"/>
    <w:qFormat/>
    <w:uiPriority w:val="0"/>
    <w:tblPr>
      <w:tblCellMar>
        <w:top w:w="0" w:type="dxa"/>
        <w:left w:w="0" w:type="dxa"/>
        <w:bottom w:w="0" w:type="dxa"/>
        <w:right w:w="0" w:type="dxa"/>
      </w:tblCellMar>
    </w:tblPr>
  </w:style>
  <w:style w:type="paragraph" w:styleId="37">
    <w:name w:val="List Paragraph"/>
    <w:basedOn w:val="1"/>
    <w:qFormat/>
    <w:uiPriority w:val="99"/>
    <w:pPr>
      <w:ind w:firstLine="420" w:firstLineChars="200"/>
    </w:pPr>
  </w:style>
  <w:style w:type="character" w:customStyle="1" w:styleId="38">
    <w:name w:val="标题 字符"/>
    <w:basedOn w:val="29"/>
    <w:link w:val="12"/>
    <w:uiPriority w:val="10"/>
    <w:rPr>
      <w:rFonts w:asciiTheme="majorHAnsi" w:hAnsiTheme="majorHAnsi" w:eastAsiaTheme="majorEastAsia" w:cstheme="majorBidi"/>
      <w:b/>
      <w:bCs/>
      <w:sz w:val="32"/>
      <w:szCs w:val="32"/>
    </w:rPr>
  </w:style>
  <w:style w:type="character" w:customStyle="1" w:styleId="39">
    <w:name w:val="1标题 字符"/>
    <w:basedOn w:val="29"/>
    <w:link w:val="18"/>
    <w:qFormat/>
    <w:uiPriority w:val="0"/>
    <w:rPr>
      <w:rFonts w:ascii="Times New Roman" w:hAnsi="Times New Roman" w:eastAsia="宋体" w:cstheme="majorBidi"/>
      <w:b/>
      <w:bCs/>
      <w:sz w:val="30"/>
      <w:szCs w:val="24"/>
    </w:rPr>
  </w:style>
  <w:style w:type="character" w:customStyle="1" w:styleId="40">
    <w:name w:val="2标题 字符"/>
    <w:basedOn w:val="29"/>
    <w:link w:val="19"/>
    <w:qFormat/>
    <w:uiPriority w:val="0"/>
    <w:rPr>
      <w:rFonts w:ascii="Times New Roman" w:hAnsi="Times New Roman" w:eastAsia="宋体" w:cstheme="majorBidi"/>
      <w:b/>
      <w:bCs/>
      <w:sz w:val="28"/>
      <w:szCs w:val="24"/>
    </w:rPr>
  </w:style>
  <w:style w:type="character" w:customStyle="1" w:styleId="41">
    <w:name w:val="3标题 字符"/>
    <w:basedOn w:val="40"/>
    <w:link w:val="11"/>
    <w:uiPriority w:val="0"/>
    <w:rPr>
      <w:rFonts w:ascii="Times New Roman" w:hAnsi="Times New Roman" w:eastAsia="宋体" w:cstheme="majorBidi"/>
      <w:sz w:val="24"/>
      <w:szCs w:val="21"/>
    </w:rPr>
  </w:style>
  <w:style w:type="paragraph" w:customStyle="1" w:styleId="42">
    <w:name w:val="4正文"/>
    <w:basedOn w:val="1"/>
    <w:link w:val="43"/>
    <w:qFormat/>
    <w:uiPriority w:val="0"/>
    <w:pPr>
      <w:snapToGrid w:val="0"/>
      <w:spacing w:line="440" w:lineRule="exact"/>
      <w:ind w:firstLine="200" w:firstLineChars="200"/>
    </w:pPr>
    <w:rPr>
      <w:rFonts w:ascii="Times New Roman" w:hAnsi="Times New Roman" w:eastAsia="宋体"/>
      <w:sz w:val="24"/>
    </w:rPr>
  </w:style>
  <w:style w:type="character" w:customStyle="1" w:styleId="43">
    <w:name w:val="4正文 字符"/>
    <w:basedOn w:val="29"/>
    <w:link w:val="42"/>
    <w:qFormat/>
    <w:uiPriority w:val="0"/>
    <w:rPr>
      <w:rFonts w:ascii="Times New Roman" w:hAnsi="Times New Roman" w:eastAsia="宋体"/>
      <w:sz w:val="24"/>
    </w:rPr>
  </w:style>
  <w:style w:type="paragraph" w:customStyle="1" w:styleId="44">
    <w:name w:val="5表格内标题"/>
    <w:basedOn w:val="1"/>
    <w:link w:val="45"/>
    <w:qFormat/>
    <w:uiPriority w:val="0"/>
    <w:pPr>
      <w:snapToGrid w:val="0"/>
      <w:spacing w:line="440" w:lineRule="exact"/>
      <w:ind w:firstLine="200" w:firstLineChars="200"/>
      <w:jc w:val="center"/>
    </w:pPr>
    <w:rPr>
      <w:rFonts w:ascii="Times New Roman" w:hAnsi="Times New Roman" w:eastAsia="宋体"/>
    </w:rPr>
  </w:style>
  <w:style w:type="character" w:customStyle="1" w:styleId="45">
    <w:name w:val="5表格内标题 字符"/>
    <w:basedOn w:val="29"/>
    <w:link w:val="44"/>
    <w:qFormat/>
    <w:uiPriority w:val="0"/>
    <w:rPr>
      <w:rFonts w:ascii="Times New Roman" w:hAnsi="Times New Roman" w:eastAsia="宋体"/>
    </w:rPr>
  </w:style>
  <w:style w:type="paragraph" w:customStyle="1" w:styleId="4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paragraph" w:customStyle="1" w:styleId="47">
    <w:name w:val="我的笔记目录"/>
    <w:basedOn w:val="17"/>
    <w:link w:val="48"/>
    <w:qFormat/>
    <w:uiPriority w:val="0"/>
    <w:pPr>
      <w:tabs>
        <w:tab w:val="right" w:leader="dot" w:pos="8296"/>
      </w:tabs>
    </w:pPr>
    <w:rPr>
      <w:szCs w:val="21"/>
    </w:rPr>
  </w:style>
  <w:style w:type="character" w:customStyle="1" w:styleId="48">
    <w:name w:val="我的笔记目录 字符"/>
    <w:basedOn w:val="49"/>
    <w:link w:val="47"/>
    <w:uiPriority w:val="0"/>
    <w:rPr>
      <w:rFonts w:ascii="微软雅黑" w:hAnsi="微软雅黑" w:eastAsia="微软雅黑"/>
      <w:snapToGrid w:val="0"/>
      <w:kern w:val="0"/>
      <w:szCs w:val="21"/>
    </w:rPr>
  </w:style>
  <w:style w:type="character" w:customStyle="1" w:styleId="49">
    <w:name w:val="引文目录 字符"/>
    <w:basedOn w:val="29"/>
    <w:link w:val="5"/>
    <w:semiHidden/>
    <w:uiPriority w:val="99"/>
  </w:style>
  <w:style w:type="table" w:customStyle="1" w:styleId="50">
    <w:name w:val="网格型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网格型2"/>
    <w:basedOn w:val="27"/>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TableGrid1"/>
    <w:qFormat/>
    <w:uiPriority w:val="0"/>
    <w:rPr>
      <w:kern w:val="0"/>
      <w:sz w:val="20"/>
      <w:szCs w:val="20"/>
    </w:rPr>
    <w:tblPr>
      <w:tblCellMar>
        <w:top w:w="0" w:type="dxa"/>
        <w:left w:w="0" w:type="dxa"/>
        <w:bottom w:w="0" w:type="dxa"/>
        <w:right w:w="0" w:type="dxa"/>
      </w:tblCellMar>
    </w:tblPr>
  </w:style>
  <w:style w:type="character" w:customStyle="1" w:styleId="53">
    <w:name w:val="Unresolved Mention"/>
    <w:basedOn w:val="29"/>
    <w:semiHidden/>
    <w:unhideWhenUsed/>
    <w:uiPriority w:val="99"/>
    <w:rPr>
      <w:color w:val="808080"/>
      <w:shd w:val="clear" w:color="auto" w:fill="E6E6E6"/>
    </w:rPr>
  </w:style>
  <w:style w:type="character" w:customStyle="1" w:styleId="54">
    <w:name w:val="批注框文本 字符"/>
    <w:basedOn w:val="29"/>
    <w:link w:val="14"/>
    <w:qFormat/>
    <w:uiPriority w:val="0"/>
    <w:rPr>
      <w:sz w:val="18"/>
      <w:szCs w:val="18"/>
    </w:rPr>
  </w:style>
  <w:style w:type="paragraph" w:customStyle="1" w:styleId="55">
    <w:name w:val="Bibliography"/>
    <w:basedOn w:val="1"/>
    <w:next w:val="1"/>
    <w:unhideWhenUsed/>
    <w:qFormat/>
    <w:uiPriority w:val="37"/>
    <w:pPr>
      <w:tabs>
        <w:tab w:val="left" w:pos="384"/>
      </w:tabs>
      <w:ind w:left="384" w:hanging="384"/>
    </w:pPr>
  </w:style>
  <w:style w:type="character" w:customStyle="1" w:styleId="56">
    <w:name w:val="fontstyle01"/>
    <w:basedOn w:val="29"/>
    <w:qFormat/>
    <w:uiPriority w:val="0"/>
    <w:rPr>
      <w:rFonts w:hint="eastAsia" w:ascii="宋体" w:hAnsi="宋体" w:eastAsia="宋体"/>
      <w:color w:val="242021"/>
      <w:sz w:val="20"/>
      <w:szCs w:val="20"/>
    </w:rPr>
  </w:style>
  <w:style w:type="character" w:customStyle="1" w:styleId="57">
    <w:name w:val="fontstyle11"/>
    <w:basedOn w:val="29"/>
    <w:qFormat/>
    <w:uiPriority w:val="0"/>
    <w:rPr>
      <w:color w:val="242021"/>
      <w:sz w:val="20"/>
      <w:szCs w:val="20"/>
    </w:rPr>
  </w:style>
  <w:style w:type="character" w:customStyle="1" w:styleId="58">
    <w:name w:val="fontstyle21"/>
    <w:basedOn w:val="29"/>
    <w:uiPriority w:val="0"/>
    <w:rPr>
      <w:rFonts w:hint="default" w:ascii="DLF-3-0-1061508550+ZLTFEy-360" w:hAnsi="DLF-3-0-1061508550+ZLTFEy-360"/>
      <w:color w:val="242021"/>
      <w:sz w:val="22"/>
      <w:szCs w:val="22"/>
    </w:rPr>
  </w:style>
  <w:style w:type="paragraph" w:customStyle="1" w:styleId="59">
    <w:name w:val="正文缩进1"/>
    <w:basedOn w:val="1"/>
    <w:next w:val="6"/>
    <w:unhideWhenUsed/>
    <w:qFormat/>
    <w:uiPriority w:val="99"/>
    <w:pPr>
      <w:widowControl/>
      <w:ind w:firstLine="420" w:firstLineChars="200"/>
      <w:jc w:val="left"/>
    </w:pPr>
    <w:rPr>
      <w:sz w:val="24"/>
      <w:szCs w:val="24"/>
    </w:rPr>
  </w:style>
  <w:style w:type="paragraph" w:customStyle="1" w:styleId="60">
    <w:name w:val="正文文本缩进1"/>
    <w:basedOn w:val="1"/>
    <w:next w:val="8"/>
    <w:link w:val="61"/>
    <w:unhideWhenUsed/>
    <w:qFormat/>
    <w:uiPriority w:val="0"/>
    <w:pPr>
      <w:widowControl/>
      <w:ind w:firstLine="640" w:firstLineChars="200"/>
      <w:jc w:val="left"/>
    </w:pPr>
    <w:rPr>
      <w:sz w:val="32"/>
      <w:szCs w:val="24"/>
    </w:rPr>
  </w:style>
  <w:style w:type="character" w:customStyle="1" w:styleId="61">
    <w:name w:val="正文文本缩进 字符"/>
    <w:basedOn w:val="29"/>
    <w:link w:val="60"/>
    <w:uiPriority w:val="0"/>
    <w:rPr>
      <w:kern w:val="2"/>
      <w:sz w:val="32"/>
      <w:szCs w:val="24"/>
    </w:rPr>
  </w:style>
  <w:style w:type="paragraph" w:customStyle="1" w:styleId="62">
    <w:name w:val="正文文本首行缩进 21"/>
    <w:basedOn w:val="8"/>
    <w:next w:val="26"/>
    <w:link w:val="63"/>
    <w:unhideWhenUsed/>
    <w:qFormat/>
    <w:uiPriority w:val="99"/>
    <w:pPr>
      <w:widowControl/>
      <w:spacing w:after="0"/>
      <w:ind w:left="0" w:leftChars="0" w:firstLine="420" w:firstLineChars="200"/>
      <w:jc w:val="left"/>
    </w:pPr>
    <w:rPr>
      <w:sz w:val="32"/>
      <w:szCs w:val="24"/>
    </w:rPr>
  </w:style>
  <w:style w:type="character" w:customStyle="1" w:styleId="63">
    <w:name w:val="正文文本首行缩进 2 字符"/>
    <w:basedOn w:val="61"/>
    <w:link w:val="62"/>
    <w:qFormat/>
    <w:uiPriority w:val="99"/>
    <w:rPr>
      <w:kern w:val="2"/>
      <w:sz w:val="32"/>
      <w:szCs w:val="24"/>
    </w:rPr>
  </w:style>
  <w:style w:type="paragraph" w:customStyle="1" w:styleId="64">
    <w:name w:val="标题1总标题"/>
    <w:basedOn w:val="11"/>
    <w:qFormat/>
    <w:uiPriority w:val="0"/>
    <w:pPr>
      <w:spacing w:line="360" w:lineRule="auto"/>
      <w:ind w:firstLine="0" w:firstLineChars="0"/>
      <w:jc w:val="center"/>
    </w:pPr>
    <w:rPr>
      <w:sz w:val="36"/>
    </w:rPr>
  </w:style>
  <w:style w:type="paragraph" w:customStyle="1" w:styleId="65">
    <w:name w:val="首行缩进"/>
    <w:basedOn w:val="1"/>
    <w:qFormat/>
    <w:uiPriority w:val="0"/>
    <w:pPr>
      <w:widowControl/>
      <w:ind w:firstLine="480" w:firstLineChars="200"/>
      <w:jc w:val="left"/>
    </w:pPr>
    <w:rPr>
      <w:sz w:val="24"/>
      <w:szCs w:val="24"/>
      <w:lang w:val="zh-CN"/>
    </w:rPr>
  </w:style>
  <w:style w:type="paragraph" w:styleId="66">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
    <w:name w:val="正文文本缩进 字符1"/>
    <w:basedOn w:val="29"/>
    <w:link w:val="8"/>
    <w:semiHidden/>
    <w:uiPriority w:val="99"/>
  </w:style>
  <w:style w:type="character" w:customStyle="1" w:styleId="68">
    <w:name w:val="正文文本首行缩进 2 字符1"/>
    <w:basedOn w:val="67"/>
    <w:link w:val="26"/>
    <w:semiHidden/>
    <w:qFormat/>
    <w:uiPriority w:val="99"/>
  </w:style>
  <w:style w:type="paragraph" w:customStyle="1" w:styleId="69">
    <w:name w:val="总标题"/>
    <w:basedOn w:val="42"/>
    <w:link w:val="70"/>
    <w:qFormat/>
    <w:uiPriority w:val="0"/>
    <w:pPr>
      <w:ind w:firstLine="480"/>
    </w:pPr>
    <w:rPr>
      <w:rFonts w:cs="方正仿宋简体"/>
      <w:bCs/>
    </w:rPr>
  </w:style>
  <w:style w:type="character" w:customStyle="1" w:styleId="70">
    <w:name w:val="总标题 字符"/>
    <w:basedOn w:val="43"/>
    <w:link w:val="69"/>
    <w:uiPriority w:val="0"/>
    <w:rPr>
      <w:rFonts w:ascii="Times New Roman" w:hAnsi="Times New Roman" w:eastAsia="宋体" w:cs="方正仿宋简体"/>
      <w:bCs/>
      <w:sz w:val="24"/>
    </w:rPr>
  </w:style>
  <w:style w:type="character" w:customStyle="1" w:styleId="71">
    <w:name w:val="批注文字 字符"/>
    <w:basedOn w:val="29"/>
    <w:link w:val="7"/>
    <w:qFormat/>
    <w:uiPriority w:val="0"/>
    <w:rPr>
      <w:rFonts w:ascii="仿宋GB2312" w:hAnsi="仿宋" w:eastAsia="仿宋GB2312" w:cs="楷体_GB2312"/>
      <w:bCs/>
      <w:sz w:val="18"/>
      <w:szCs w:val="18"/>
    </w:rPr>
  </w:style>
  <w:style w:type="character" w:customStyle="1" w:styleId="72">
    <w:name w:val="批注主题 字符"/>
    <w:basedOn w:val="71"/>
    <w:link w:val="25"/>
    <w:qFormat/>
    <w:uiPriority w:val="0"/>
    <w:rPr>
      <w:rFonts w:ascii="仿宋GB2312" w:hAnsi="仿宋" w:eastAsia="仿宋GB2312" w:cs="楷体_GB2312"/>
      <w:b/>
      <w:bCs w:val="0"/>
      <w:sz w:val="18"/>
      <w:szCs w:val="18"/>
    </w:rPr>
  </w:style>
  <w:style w:type="paragraph" w:customStyle="1" w:styleId="73">
    <w:name w:val="标题1"/>
    <w:basedOn w:val="3"/>
    <w:uiPriority w:val="0"/>
    <w:pPr>
      <w:widowControl/>
      <w:spacing w:before="0" w:after="0" w:line="560" w:lineRule="exact"/>
      <w:ind w:firstLine="200" w:firstLineChars="200"/>
      <w:jc w:val="left"/>
    </w:pPr>
    <w:rPr>
      <w:rFonts w:eastAsia="黑体"/>
      <w:b w:val="0"/>
      <w:b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DF30A8-7A82-4EF1-93EC-DC77DD0F50E3}">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1771</Words>
  <Characters>10095</Characters>
  <Lines>84</Lines>
  <Paragraphs>23</Paragraphs>
  <TotalTime>18</TotalTime>
  <ScaleCrop>false</ScaleCrop>
  <LinksUpToDate>false</LinksUpToDate>
  <CharactersWithSpaces>11843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2024-07-26T09:05:00Z</dcterms:created>
  <dc:creator>Administrator</dc:creator>
  <cp:lastModifiedBy>Administrator</cp:lastModifiedBy>
  <cp:lastPrinted>2018-04-17T08:16:00Z</cp:lastPrinted>
  <dcterms:modified xsi:type="dcterms:W3CDTF">2024-07-29T14:34:06Z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id="LcMjNekG"/&gt;&lt;style id="http://www.zotero.org/styles/china-national-standard-gb-t-7714-2015-numeric" hasBibliography="1" bibliographyStyleHasBeenSet="1"/&gt;&lt;prefs&gt;&lt;pref name="fieldType" value="Field"</vt:lpwstr>
  </property>
  <property fmtid="{D5CDD505-2E9C-101B-9397-08002B2CF9AE}" pid="3" name="ZOTERO_PREF_2">
    <vt:lpwstr>/&gt;&lt;/prefs&gt;&lt;/data&gt;</vt:lpwstr>
  </property>
  <property fmtid="{D5CDD505-2E9C-101B-9397-08002B2CF9AE}" pid="4" name="KSOProductBuildVer">
    <vt:lpwstr>2052-11.1.0.9740</vt:lpwstr>
  </property>
</Properties>
</file>