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84"/>
          <w:szCs w:val="84"/>
        </w:rPr>
      </w:pPr>
    </w:p>
    <w:p>
      <w:pPr>
        <w:keepNext w:val="0"/>
        <w:keepLines w:val="0"/>
        <w:pageBreakBefore w:val="0"/>
        <w:widowControl/>
        <w:kinsoku/>
        <w:wordWrap/>
        <w:overflowPunct/>
        <w:topLinePunct w:val="0"/>
        <w:bidi w:val="0"/>
        <w:snapToGrid/>
        <w:spacing w:line="600" w:lineRule="exact"/>
        <w:jc w:val="center"/>
        <w:textAlignment w:val="auto"/>
        <w:rPr>
          <w:rFonts w:eastAsia="方正小标宋_GBK"/>
          <w:bCs/>
          <w:kern w:val="0"/>
          <w:sz w:val="44"/>
          <w:szCs w:val="44"/>
        </w:rPr>
      </w:pPr>
      <w:r>
        <w:rPr>
          <w:rFonts w:hint="eastAsia" w:ascii="黑体" w:hAnsi="黑体" w:eastAsia="黑体" w:cs="黑体"/>
          <w:sz w:val="44"/>
          <w:szCs w:val="44"/>
        </w:rPr>
        <w:t xml:space="preserve"> </w:t>
      </w:r>
      <w:r>
        <w:rPr>
          <w:rFonts w:hint="eastAsia" w:ascii="黑体" w:hAnsi="黑体" w:eastAsia="黑体" w:cs="黑体"/>
          <w:bCs/>
          <w:kern w:val="0"/>
          <w:sz w:val="48"/>
          <w:szCs w:val="48"/>
          <w:lang w:val="en-US" w:eastAsia="zh-CN"/>
        </w:rPr>
        <w:t>2021</w:t>
      </w:r>
      <w:r>
        <w:rPr>
          <w:rFonts w:hint="eastAsia" w:ascii="黑体" w:hAnsi="黑体" w:eastAsia="黑体" w:cs="黑体"/>
          <w:bCs/>
          <w:kern w:val="0"/>
          <w:sz w:val="48"/>
          <w:szCs w:val="48"/>
        </w:rPr>
        <w:t>年</w:t>
      </w:r>
      <w:r>
        <w:rPr>
          <w:rFonts w:hint="eastAsia" w:ascii="黑体" w:hAnsi="黑体" w:eastAsia="黑体" w:cs="黑体"/>
          <w:bCs/>
          <w:kern w:val="0"/>
          <w:sz w:val="48"/>
          <w:szCs w:val="48"/>
          <w:lang w:val="en-US" w:eastAsia="zh-CN"/>
        </w:rPr>
        <w:t>怀化市建设工程质量安全监督管理站</w:t>
      </w:r>
      <w:r>
        <w:rPr>
          <w:rFonts w:hint="eastAsia" w:ascii="黑体" w:hAnsi="黑体" w:eastAsia="黑体" w:cs="黑体"/>
          <w:bCs/>
          <w:kern w:val="0"/>
          <w:sz w:val="48"/>
          <w:szCs w:val="48"/>
        </w:rPr>
        <w:t>部门决算</w:t>
      </w:r>
    </w:p>
    <w:p>
      <w:pPr>
        <w:keepNext w:val="0"/>
        <w:keepLines w:val="0"/>
        <w:pageBreakBefore w:val="0"/>
        <w:widowControl/>
        <w:kinsoku/>
        <w:wordWrap/>
        <w:overflowPunct/>
        <w:topLinePunct w:val="0"/>
        <w:bidi w:val="0"/>
        <w:snapToGrid/>
        <w:spacing w:line="600" w:lineRule="exact"/>
        <w:jc w:val="center"/>
        <w:textAlignment w:val="auto"/>
        <w:rPr>
          <w:rFonts w:eastAsia="楷体_GB2312"/>
          <w:bCs/>
          <w:kern w:val="0"/>
          <w:sz w:val="32"/>
          <w:szCs w:val="32"/>
        </w:rPr>
      </w:pP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r>
        <w:rPr>
          <w:rFonts w:eastAsia="黑体"/>
          <w:bCs/>
          <w:kern w:val="0"/>
          <w:sz w:val="32"/>
          <w:szCs w:val="32"/>
        </w:rPr>
        <w:t>目 录</w:t>
      </w: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第一部分 </w:t>
      </w:r>
      <w:r>
        <w:rPr>
          <w:rFonts w:hint="eastAsia" w:ascii="黑体" w:hAnsi="黑体" w:eastAsia="黑体" w:cs="黑体"/>
          <w:b/>
          <w:bCs/>
          <w:kern w:val="0"/>
          <w:sz w:val="32"/>
          <w:szCs w:val="32"/>
          <w:lang w:val="en-US" w:eastAsia="zh-CN"/>
        </w:rPr>
        <w:t>怀化市建设工程质量安全监督管理站</w:t>
      </w:r>
      <w:r>
        <w:rPr>
          <w:rFonts w:hint="eastAsia" w:ascii="黑体" w:hAnsi="黑体" w:eastAsia="黑体" w:cs="黑体"/>
          <w:b/>
          <w:bCs/>
          <w:kern w:val="0"/>
          <w:sz w:val="32"/>
          <w:szCs w:val="32"/>
        </w:rPr>
        <w:t>部门概况</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第二部分 </w:t>
      </w:r>
      <w:r>
        <w:rPr>
          <w:rFonts w:hint="eastAsia" w:ascii="黑体" w:hAnsi="黑体" w:eastAsia="黑体" w:cs="黑体"/>
          <w:b/>
          <w:bCs/>
          <w:kern w:val="0"/>
          <w:sz w:val="32"/>
          <w:szCs w:val="32"/>
          <w:lang w:val="en-US" w:eastAsia="zh-CN"/>
        </w:rPr>
        <w:t>2021年度</w:t>
      </w:r>
      <w:r>
        <w:rPr>
          <w:rFonts w:hint="eastAsia" w:ascii="黑体" w:hAnsi="黑体" w:eastAsia="黑体" w:cs="黑体"/>
          <w:b/>
          <w:bCs/>
          <w:kern w:val="0"/>
          <w:sz w:val="32"/>
          <w:szCs w:val="32"/>
        </w:rPr>
        <w:t>部门决算表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highlight w:val="none"/>
        </w:rPr>
        <w:t>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eastAsia="仿宋_GB2312"/>
          <w:b/>
          <w:bCs/>
          <w:kern w:val="0"/>
          <w:sz w:val="32"/>
          <w:szCs w:val="32"/>
        </w:rPr>
      </w:pPr>
      <w:r>
        <w:rPr>
          <w:rFonts w:hint="eastAsia" w:ascii="黑体" w:hAnsi="黑体" w:eastAsia="黑体" w:cs="黑体"/>
          <w:b/>
          <w:bCs/>
          <w:kern w:val="0"/>
          <w:sz w:val="32"/>
          <w:szCs w:val="32"/>
        </w:rPr>
        <w:t xml:space="preserve">第三部分 </w:t>
      </w:r>
      <w:r>
        <w:rPr>
          <w:rFonts w:hint="eastAsia" w:ascii="黑体" w:hAnsi="黑体" w:eastAsia="黑体" w:cs="黑体"/>
          <w:b/>
          <w:bCs/>
          <w:kern w:val="0"/>
          <w:sz w:val="32"/>
          <w:szCs w:val="32"/>
          <w:lang w:val="en-US" w:eastAsia="zh-CN"/>
        </w:rPr>
        <w:t>2021</w:t>
      </w:r>
      <w:r>
        <w:rPr>
          <w:rFonts w:hint="eastAsia" w:ascii="黑体" w:hAnsi="黑体" w:eastAsia="黑体" w:cs="黑体"/>
          <w:b/>
          <w:bCs/>
          <w:kern w:val="0"/>
          <w:sz w:val="32"/>
          <w:szCs w:val="32"/>
        </w:rPr>
        <w:t>年度部门决算情况说明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一、收入支出决算总体情况说明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四、财政拨款收入支出决算总体情况说明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七、一般</w:t>
      </w:r>
      <w:r>
        <w:rPr>
          <w:rFonts w:hint="eastAsia" w:ascii="仿宋" w:hAnsi="仿宋" w:eastAsia="仿宋" w:cs="仿宋"/>
          <w:color w:val="auto"/>
          <w:sz w:val="32"/>
          <w:szCs w:val="32"/>
          <w:highlight w:val="none"/>
        </w:rPr>
        <w:t>公共预算财政拨款三公经费支出决算情况说明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八、政府性基金预算收入支出决算情况</w:t>
      </w:r>
      <w:r>
        <w:rPr>
          <w:rFonts w:hint="eastAsia" w:ascii="仿宋" w:hAnsi="仿宋" w:eastAsia="仿宋" w:cs="仿宋"/>
          <w:color w:val="auto"/>
          <w:sz w:val="32"/>
          <w:szCs w:val="32"/>
          <w:highlight w:val="none"/>
          <w:lang w:val="en-US" w:eastAsia="zh-CN"/>
        </w:rPr>
        <w:t>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九、国有资本经营预算财政拨款支出</w:t>
      </w:r>
      <w:r>
        <w:rPr>
          <w:rFonts w:hint="eastAsia" w:ascii="仿宋" w:hAnsi="仿宋" w:eastAsia="仿宋" w:cs="仿宋"/>
          <w:color w:val="auto"/>
          <w:sz w:val="32"/>
          <w:szCs w:val="32"/>
          <w:highlight w:val="none"/>
        </w:rPr>
        <w:t>决算情况</w:t>
      </w:r>
      <w:r>
        <w:rPr>
          <w:rFonts w:hint="eastAsia" w:ascii="仿宋" w:hAnsi="仿宋" w:eastAsia="仿宋" w:cs="仿宋"/>
          <w:color w:val="auto"/>
          <w:sz w:val="32"/>
          <w:szCs w:val="32"/>
          <w:highlight w:val="none"/>
          <w:lang w:val="en-US" w:eastAsia="zh-CN"/>
        </w:rPr>
        <w:t>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eastAsia" w:ascii="仿宋" w:hAnsi="仿宋" w:eastAsia="仿宋" w:cs="仿宋"/>
          <w:i w:val="0"/>
          <w:iCs w:val="0"/>
          <w:caps w:val="0"/>
          <w:color w:val="auto"/>
          <w:spacing w:val="0"/>
          <w:sz w:val="32"/>
          <w:szCs w:val="32"/>
          <w:highlight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一</w:t>
      </w:r>
      <w:r>
        <w:rPr>
          <w:rFonts w:hint="eastAsia" w:ascii="仿宋" w:hAnsi="仿宋" w:eastAsia="仿宋" w:cs="仿宋"/>
          <w:i w:val="0"/>
          <w:iCs w:val="0"/>
          <w:caps w:val="0"/>
          <w:color w:val="auto"/>
          <w:spacing w:val="0"/>
          <w:sz w:val="32"/>
          <w:szCs w:val="32"/>
          <w:highlight w:val="none"/>
          <w:shd w:val="clear" w:color="auto" w:fill="FFFFFF"/>
        </w:rPr>
        <w:t>、一般性支出情况</w:t>
      </w:r>
      <w:r>
        <w:rPr>
          <w:rFonts w:hint="eastAsia" w:ascii="仿宋" w:hAnsi="仿宋" w:eastAsia="仿宋" w:cs="仿宋"/>
          <w:i w:val="0"/>
          <w:iCs w:val="0"/>
          <w:caps w:val="0"/>
          <w:color w:val="auto"/>
          <w:spacing w:val="0"/>
          <w:sz w:val="32"/>
          <w:szCs w:val="32"/>
          <w:highlight w:val="none"/>
          <w:shd w:val="clear" w:color="auto" w:fill="FFFFFF"/>
          <w:lang w:val="en-US" w:eastAsia="zh-CN"/>
        </w:rPr>
        <w:t>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二</w:t>
      </w:r>
      <w:r>
        <w:rPr>
          <w:rFonts w:hint="eastAsia" w:ascii="仿宋" w:hAnsi="仿宋" w:eastAsia="仿宋" w:cs="仿宋"/>
          <w:i w:val="0"/>
          <w:iCs w:val="0"/>
          <w:caps w:val="0"/>
          <w:color w:val="auto"/>
          <w:spacing w:val="0"/>
          <w:sz w:val="32"/>
          <w:szCs w:val="32"/>
          <w:highlight w:val="none"/>
          <w:shd w:val="clear" w:color="auto" w:fill="FFFFFF"/>
        </w:rPr>
        <w:t>、关于政府采购支出说明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、关于国有资产占用情况说明</w:t>
      </w:r>
    </w:p>
    <w:p>
      <w:pPr>
        <w:autoSpaceDE w:val="0"/>
        <w:autoSpaceDN w:val="0"/>
        <w:adjustRightInd w:val="0"/>
        <w:spacing w:line="500" w:lineRule="exact"/>
        <w:jc w:val="left"/>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四</w:t>
      </w:r>
      <w:r>
        <w:rPr>
          <w:rFonts w:hint="eastAsia" w:ascii="仿宋" w:hAnsi="仿宋" w:eastAsia="仿宋" w:cs="仿宋"/>
          <w:i w:val="0"/>
          <w:iCs w:val="0"/>
          <w:caps w:val="0"/>
          <w:color w:val="auto"/>
          <w:spacing w:val="0"/>
          <w:sz w:val="32"/>
          <w:szCs w:val="32"/>
          <w:highlight w:val="none"/>
          <w:shd w:val="clear" w:color="auto" w:fill="FFFFFF"/>
        </w:rPr>
        <w:t>、关于2021年度预算绩效情况的说明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附件</w:t>
      </w: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center"/>
        <w:textAlignment w:val="auto"/>
        <w:rPr>
          <w:rFonts w:hint="eastAsia" w:eastAsia="方正小标宋_GBK"/>
          <w:bCs/>
          <w:kern w:val="0"/>
          <w:sz w:val="44"/>
          <w:szCs w:val="44"/>
        </w:rPr>
      </w:pPr>
      <w:r>
        <w:rPr>
          <w:rFonts w:hint="eastAsia" w:ascii="黑体" w:hAnsi="黑体" w:eastAsia="黑体" w:cs="黑体"/>
          <w:b/>
          <w:bCs w:val="0"/>
          <w:kern w:val="0"/>
          <w:sz w:val="44"/>
          <w:szCs w:val="44"/>
        </w:rPr>
        <w:t xml:space="preserve">第一部分 </w:t>
      </w:r>
      <w:r>
        <w:rPr>
          <w:rFonts w:hint="eastAsia" w:ascii="黑体" w:hAnsi="黑体" w:eastAsia="黑体" w:cs="黑体"/>
          <w:b/>
          <w:bCs w:val="0"/>
          <w:kern w:val="0"/>
          <w:sz w:val="44"/>
          <w:szCs w:val="44"/>
          <w:lang w:val="en-US" w:eastAsia="zh-CN"/>
        </w:rPr>
        <w:t>怀化市建设工程质量安全监督管理站</w:t>
      </w:r>
      <w:r>
        <w:rPr>
          <w:rFonts w:hint="eastAsia" w:ascii="黑体" w:hAnsi="黑体" w:eastAsia="黑体" w:cs="黑体"/>
          <w:b/>
          <w:bCs w:val="0"/>
          <w:kern w:val="0"/>
          <w:sz w:val="44"/>
          <w:szCs w:val="44"/>
        </w:rPr>
        <w:t>部门概况</w:t>
      </w:r>
    </w:p>
    <w:p>
      <w:pPr>
        <w:pStyle w:val="14"/>
        <w:keepNext w:val="0"/>
        <w:keepLines w:val="0"/>
        <w:pageBreakBefore w:val="0"/>
        <w:kinsoku/>
        <w:wordWrap/>
        <w:overflowPunct/>
        <w:topLinePunct w:val="0"/>
        <w:bidi w:val="0"/>
        <w:snapToGrid/>
        <w:spacing w:line="600" w:lineRule="exact"/>
        <w:ind w:firstLine="0" w:firstLineChars="0"/>
        <w:jc w:val="left"/>
        <w:textAlignment w:val="auto"/>
        <w:rPr>
          <w:rFonts w:ascii="黑体" w:hAnsi="黑体" w:eastAsia="黑体"/>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sz w:val="28"/>
          <w:szCs w:val="28"/>
        </w:rPr>
      </w:pPr>
      <w:r>
        <w:rPr>
          <w:rFonts w:hint="eastAsia" w:ascii="黑体" w:hAnsi="黑体" w:eastAsia="黑体" w:cs="黑体"/>
          <w:b w:val="0"/>
          <w:bCs/>
          <w:kern w:val="0"/>
          <w:sz w:val="32"/>
          <w:szCs w:val="32"/>
        </w:rPr>
        <w:t>一、部门职责</w:t>
      </w:r>
    </w:p>
    <w:p>
      <w:pPr>
        <w:numPr>
          <w:ilvl w:val="0"/>
          <w:numId w:val="1"/>
        </w:numPr>
        <w:ind w:firstLine="729" w:firstLineChars="228"/>
        <w:rPr>
          <w:rFonts w:hint="eastAsia" w:ascii="仿宋" w:hAnsi="仿宋" w:eastAsia="仿宋" w:cs="仿宋"/>
          <w:sz w:val="32"/>
          <w:szCs w:val="32"/>
        </w:rPr>
      </w:pPr>
      <w:r>
        <w:rPr>
          <w:rFonts w:hint="eastAsia" w:ascii="仿宋" w:hAnsi="仿宋" w:eastAsia="仿宋" w:cs="仿宋"/>
          <w:sz w:val="32"/>
          <w:szCs w:val="32"/>
        </w:rPr>
        <w:t>负责怀化市城市规划区内房屋建筑工程、乡镇规模建房和市政基础设施工程质量、安全监督管理；</w:t>
      </w:r>
    </w:p>
    <w:p>
      <w:pPr>
        <w:numPr>
          <w:ilvl w:val="0"/>
          <w:numId w:val="1"/>
        </w:numPr>
        <w:ind w:firstLine="729" w:firstLineChars="228"/>
        <w:rPr>
          <w:rFonts w:hint="eastAsia" w:ascii="仿宋" w:hAnsi="仿宋" w:eastAsia="仿宋" w:cs="仿宋"/>
          <w:sz w:val="32"/>
          <w:szCs w:val="32"/>
        </w:rPr>
      </w:pPr>
      <w:r>
        <w:rPr>
          <w:rFonts w:hint="eastAsia" w:ascii="仿宋" w:hAnsi="仿宋" w:eastAsia="仿宋" w:cs="仿宋"/>
          <w:sz w:val="32"/>
          <w:szCs w:val="32"/>
        </w:rPr>
        <w:t>负责建设工程报建工作；</w:t>
      </w:r>
    </w:p>
    <w:p>
      <w:pPr>
        <w:numPr>
          <w:ilvl w:val="0"/>
          <w:numId w:val="1"/>
        </w:numPr>
        <w:ind w:firstLine="729" w:firstLineChars="228"/>
        <w:rPr>
          <w:rFonts w:hint="eastAsia" w:ascii="仿宋" w:hAnsi="仿宋" w:eastAsia="仿宋" w:cs="仿宋"/>
          <w:sz w:val="32"/>
          <w:szCs w:val="32"/>
        </w:rPr>
      </w:pPr>
      <w:r>
        <w:rPr>
          <w:rFonts w:hint="eastAsia" w:ascii="仿宋" w:hAnsi="仿宋" w:eastAsia="仿宋" w:cs="仿宋"/>
          <w:sz w:val="32"/>
          <w:szCs w:val="32"/>
        </w:rPr>
        <w:t>受理建筑工程开工前安全条件审查、竣工综合验收等工作；</w:t>
      </w:r>
    </w:p>
    <w:p>
      <w:pPr>
        <w:numPr>
          <w:ilvl w:val="0"/>
          <w:numId w:val="1"/>
        </w:numPr>
        <w:ind w:firstLine="729" w:firstLineChars="228"/>
        <w:rPr>
          <w:rFonts w:hint="eastAsia" w:ascii="仿宋" w:hAnsi="仿宋" w:eastAsia="仿宋" w:cs="仿宋"/>
          <w:sz w:val="32"/>
          <w:szCs w:val="32"/>
        </w:rPr>
      </w:pPr>
      <w:r>
        <w:rPr>
          <w:rFonts w:hint="eastAsia" w:ascii="仿宋" w:hAnsi="仿宋" w:eastAsia="仿宋" w:cs="仿宋"/>
          <w:sz w:val="32"/>
          <w:szCs w:val="32"/>
        </w:rPr>
        <w:t>组织或参与工程重大质量、安全事故的调查处理；</w:t>
      </w:r>
    </w:p>
    <w:p>
      <w:pPr>
        <w:numPr>
          <w:ilvl w:val="0"/>
          <w:numId w:val="1"/>
        </w:numPr>
        <w:ind w:firstLine="729" w:firstLineChars="228"/>
        <w:rPr>
          <w:rFonts w:hint="eastAsia" w:ascii="仿宋" w:hAnsi="仿宋" w:eastAsia="仿宋" w:cs="仿宋"/>
          <w:sz w:val="32"/>
          <w:szCs w:val="32"/>
        </w:rPr>
      </w:pPr>
      <w:r>
        <w:rPr>
          <w:rFonts w:hint="eastAsia" w:ascii="仿宋" w:hAnsi="仿宋" w:eastAsia="仿宋" w:cs="仿宋"/>
          <w:sz w:val="32"/>
          <w:szCs w:val="32"/>
        </w:rPr>
        <w:t>县市区建设工程质量安全监督机构的业务指导工作。</w:t>
      </w:r>
    </w:p>
    <w:p>
      <w:pPr>
        <w:pStyle w:val="14"/>
        <w:ind w:firstLine="0" w:firstLineChars="0"/>
        <w:jc w:val="left"/>
        <w:rPr>
          <w:rFonts w:ascii="仿宋" w:hAnsi="仿宋" w:cs="仿宋"/>
          <w:b/>
          <w:bCs/>
          <w:sz w:val="32"/>
          <w:szCs w:val="32"/>
        </w:rPr>
      </w:pPr>
    </w:p>
    <w:p>
      <w:pPr>
        <w:widowControl/>
        <w:numPr>
          <w:ilvl w:val="0"/>
          <w:numId w:val="2"/>
        </w:numPr>
        <w:spacing w:line="600" w:lineRule="exact"/>
        <w:rPr>
          <w:rFonts w:hint="eastAsia" w:ascii="黑体" w:hAnsi="黑体" w:eastAsia="黑体"/>
          <w:bCs/>
          <w:kern w:val="0"/>
          <w:sz w:val="32"/>
          <w:szCs w:val="32"/>
        </w:rPr>
      </w:pPr>
      <w:r>
        <w:rPr>
          <w:rFonts w:hint="eastAsia" w:ascii="黑体" w:hAnsi="黑体" w:eastAsia="黑体"/>
          <w:bCs/>
          <w:kern w:val="0"/>
          <w:sz w:val="32"/>
          <w:szCs w:val="32"/>
        </w:rPr>
        <w:t>机构设置及决算单位构成</w:t>
      </w:r>
    </w:p>
    <w:p>
      <w:pPr>
        <w:widowControl/>
        <w:numPr>
          <w:ilvl w:val="0"/>
          <w:numId w:val="0"/>
        </w:numPr>
        <w:spacing w:line="600" w:lineRule="exact"/>
        <w:rPr>
          <w:rFonts w:hint="eastAsia" w:ascii="仿宋" w:hAnsi="仿宋" w:eastAsia="仿宋" w:cs="仿宋"/>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sz w:val="32"/>
          <w:szCs w:val="32"/>
        </w:rPr>
        <w:t>怀化市建设工程质量安全监督管理站</w:t>
      </w:r>
      <w:r>
        <w:rPr>
          <w:rFonts w:hint="eastAsia" w:ascii="仿宋" w:hAnsi="仿宋" w:eastAsia="仿宋" w:cs="仿宋"/>
          <w:bCs/>
          <w:kern w:val="0"/>
          <w:sz w:val="32"/>
          <w:szCs w:val="32"/>
        </w:rPr>
        <w:t>单位内设机构包括：</w:t>
      </w:r>
      <w:r>
        <w:rPr>
          <w:rFonts w:hint="eastAsia" w:ascii="仿宋" w:hAnsi="仿宋" w:eastAsia="仿宋" w:cs="仿宋"/>
          <w:sz w:val="32"/>
          <w:szCs w:val="32"/>
        </w:rPr>
        <w:t>办公室、财务室、6个质量安全监督室、综合室、技术室。</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kern w:val="0"/>
          <w:sz w:val="32"/>
          <w:szCs w:val="32"/>
        </w:rPr>
        <w:t>（二）决算单位构成。</w:t>
      </w:r>
      <w:r>
        <w:rPr>
          <w:rFonts w:hint="eastAsia" w:ascii="仿宋" w:hAnsi="仿宋" w:eastAsia="仿宋" w:cs="仿宋"/>
          <w:sz w:val="32"/>
          <w:szCs w:val="32"/>
        </w:rPr>
        <w:t>怀化市建设工程质量安全监督管理站2021年部门决算汇总公开单位构成包括：怀化市建设工程质量安全监督管理站</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w:t>
      </w:r>
    </w:p>
    <w:p>
      <w:pPr>
        <w:keepNext w:val="0"/>
        <w:keepLines w:val="0"/>
        <w:pageBreakBefore w:val="0"/>
        <w:widowControl/>
        <w:kinsoku/>
        <w:wordWrap/>
        <w:overflowPunct/>
        <w:topLinePunct w:val="0"/>
        <w:bidi w:val="0"/>
        <w:snapToGrid/>
        <w:spacing w:line="600" w:lineRule="exact"/>
        <w:textAlignment w:val="auto"/>
        <w:rPr>
          <w:rFonts w:hint="eastAsia" w:ascii="仿宋" w:hAnsi="仿宋" w:eastAsia="仿宋" w:cs="仿宋"/>
          <w:bCs/>
          <w:kern w:val="0"/>
          <w:sz w:val="32"/>
          <w:szCs w:val="32"/>
        </w:rPr>
      </w:pPr>
    </w:p>
    <w:p>
      <w:pPr>
        <w:pStyle w:val="13"/>
        <w:keepNext w:val="0"/>
        <w:keepLines w:val="0"/>
        <w:pageBreakBefore w:val="0"/>
        <w:kinsoku/>
        <w:wordWrap/>
        <w:overflowPunct/>
        <w:topLinePunct w:val="0"/>
        <w:bidi w:val="0"/>
        <w:snapToGrid/>
        <w:spacing w:line="600" w:lineRule="exact"/>
        <w:jc w:val="center"/>
        <w:textAlignment w:val="auto"/>
        <w:rPr>
          <w:rFonts w:hint="eastAsia"/>
          <w:sz w:val="84"/>
          <w:szCs w:val="84"/>
        </w:rPr>
      </w:pPr>
      <w:r>
        <w:rPr>
          <w:rFonts w:hint="eastAsia" w:ascii="黑体" w:hAnsi="黑体" w:eastAsia="黑体" w:cs="黑体"/>
          <w:b/>
          <w:bCs/>
          <w:sz w:val="44"/>
          <w:szCs w:val="44"/>
        </w:rPr>
        <w:t>第二部分</w:t>
      </w:r>
      <w:r>
        <w:rPr>
          <w:rFonts w:hint="eastAsia" w:hAnsi="黑体" w:cs="黑体"/>
          <w:b/>
          <w:bCs/>
          <w:sz w:val="44"/>
          <w:szCs w:val="44"/>
          <w:lang w:val="en-US" w:eastAsia="zh-CN"/>
        </w:rPr>
        <w:t xml:space="preserve"> </w:t>
      </w:r>
      <w:r>
        <w:rPr>
          <w:rFonts w:hint="eastAsia" w:ascii="黑体" w:hAnsi="黑体" w:eastAsia="黑体" w:cs="黑体"/>
          <w:b/>
          <w:bCs/>
          <w:sz w:val="44"/>
          <w:szCs w:val="44"/>
        </w:rPr>
        <w:t>部门决算表</w:t>
      </w:r>
    </w:p>
    <w:p>
      <w:pPr>
        <w:keepNext w:val="0"/>
        <w:keepLines w:val="0"/>
        <w:pageBreakBefore w:val="0"/>
        <w:kinsoku/>
        <w:wordWrap/>
        <w:overflowPunct/>
        <w:topLinePunct w:val="0"/>
        <w:bidi w:val="0"/>
        <w:snapToGrid/>
        <w:spacing w:line="60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keepNext w:val="0"/>
        <w:keepLines w:val="0"/>
        <w:pageBreakBefore w:val="0"/>
        <w:kinsoku/>
        <w:wordWrap/>
        <w:overflowPunct/>
        <w:topLinePunct w:val="0"/>
        <w:bidi w:val="0"/>
        <w:snapToGrid/>
        <w:spacing w:line="600" w:lineRule="exact"/>
        <w:ind w:firstLine="3200" w:firstLineChars="1000"/>
        <w:textAlignment w:val="auto"/>
        <w:rPr>
          <w:rFonts w:hint="default" w:ascii="仿宋" w:hAnsi="仿宋" w:eastAsia="仿宋" w:cs="仿宋"/>
          <w:sz w:val="32"/>
          <w:szCs w:val="32"/>
          <w:lang w:val="en-US" w:eastAsia="zh-CN"/>
        </w:rPr>
      </w:pPr>
    </w:p>
    <w:p>
      <w:pPr>
        <w:keepNext w:val="0"/>
        <w:keepLines w:val="0"/>
        <w:pageBreakBefore w:val="0"/>
        <w:widowControl/>
        <w:kinsoku/>
        <w:wordWrap/>
        <w:overflowPunct/>
        <w:topLinePunct w:val="0"/>
        <w:bidi w:val="0"/>
        <w:snapToGrid/>
        <w:spacing w:line="600" w:lineRule="exact"/>
        <w:jc w:val="center"/>
        <w:textAlignment w:val="auto"/>
        <w:rPr>
          <w:rFonts w:hAnsi="黑体" w:cs="Times New Roman"/>
          <w:color w:val="auto"/>
          <w:sz w:val="32"/>
          <w:szCs w:val="32"/>
        </w:rPr>
      </w:pPr>
      <w:r>
        <w:rPr>
          <w:rFonts w:hint="eastAsia" w:ascii="黑体" w:hAnsi="黑体" w:eastAsia="黑体" w:cs="黑体"/>
          <w:b/>
          <w:bCs w:val="0"/>
          <w:kern w:val="0"/>
          <w:sz w:val="44"/>
          <w:szCs w:val="44"/>
        </w:rPr>
        <w:t xml:space="preserve">第三部分 </w:t>
      </w:r>
      <w:r>
        <w:rPr>
          <w:rFonts w:hint="eastAsia" w:ascii="黑体" w:hAnsi="黑体" w:eastAsia="黑体" w:cs="黑体"/>
          <w:b/>
          <w:bCs w:val="0"/>
          <w:kern w:val="0"/>
          <w:sz w:val="44"/>
          <w:szCs w:val="44"/>
          <w:lang w:val="en-US" w:eastAsia="zh-CN"/>
        </w:rPr>
        <w:t>2021</w:t>
      </w:r>
      <w:r>
        <w:rPr>
          <w:rFonts w:hint="eastAsia" w:ascii="黑体" w:hAnsi="黑体" w:eastAsia="黑体" w:cs="黑体"/>
          <w:b/>
          <w:bCs w:val="0"/>
          <w:kern w:val="0"/>
          <w:sz w:val="44"/>
          <w:szCs w:val="44"/>
        </w:rPr>
        <w:t>年度部门决算情况说明</w:t>
      </w:r>
    </w:p>
    <w:p>
      <w:pPr>
        <w:pStyle w:val="13"/>
        <w:rPr>
          <w:rFonts w:ascii="宋体" w:hAnsi="宋体" w:eastAsia="宋体"/>
          <w:sz w:val="32"/>
          <w:szCs w:val="32"/>
        </w:rPr>
      </w:pP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一、收入支出决算总体情况说明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405.15万元。与上年相比，减少533.27万元，减少56.83%，主要是</w:t>
      </w:r>
      <w:r>
        <w:rPr>
          <w:rFonts w:hint="eastAsia" w:ascii="仿宋" w:hAnsi="仿宋" w:eastAsia="仿宋" w:cs="仿宋"/>
          <w:color w:val="auto"/>
          <w:sz w:val="32"/>
          <w:szCs w:val="32"/>
          <w:lang w:val="en-US" w:eastAsia="zh-CN"/>
        </w:rPr>
        <w:t>因为</w:t>
      </w:r>
      <w:r>
        <w:rPr>
          <w:rFonts w:hint="eastAsia" w:ascii="仿宋" w:hAnsi="仿宋" w:eastAsia="仿宋" w:cs="仿宋"/>
          <w:color w:val="auto"/>
          <w:sz w:val="32"/>
          <w:szCs w:val="32"/>
        </w:rPr>
        <w:t>减少了政府性基金预算财政拨款收入450万元，减少了政府性基金预算支出450万元。</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二、收入决算情况说明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本年收入合计405.15万元，其中：财政拨款收入405.15万元，占100%；上级补助收入0万元，占0%；事业收入0万元，占0%；经营收入0万元，占0%；附属单位上缴收入0万元，占0%；其他收入0万元，占0%。</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三、支出决算情况说明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本年支出合计405.15万元，其中：基本支出305.5</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万元，占75.4</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%；项目支出99.6</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万元，占24.58%；上缴上级支出0万元，占0%；经营支出0万元，占0%；对附属单位补助支出0万元，占0%。</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四、财政拨款收入支出决算总体情况说明</w:t>
      </w:r>
    </w:p>
    <w:p>
      <w:pPr>
        <w:pStyle w:val="13"/>
        <w:rPr>
          <w:rFonts w:hint="eastAsia" w:ascii="仿宋" w:hAnsi="仿宋" w:eastAsia="仿宋" w:cs="仿宋"/>
          <w:color w:val="auto"/>
          <w:sz w:val="32"/>
          <w:szCs w:val="32"/>
        </w:rPr>
      </w:pPr>
      <w:r>
        <w:rPr>
          <w:rFonts w:ascii="宋体" w:hAnsi="宋体" w:eastAsia="宋体"/>
          <w:color w:val="auto"/>
          <w:sz w:val="32"/>
          <w:szCs w:val="32"/>
        </w:rPr>
        <w:t xml:space="preserve">   </w:t>
      </w:r>
      <w:r>
        <w:rPr>
          <w:rFonts w:hint="eastAsia" w:ascii="仿宋" w:hAnsi="仿宋" w:eastAsia="仿宋" w:cs="仿宋"/>
          <w:color w:val="auto"/>
          <w:sz w:val="32"/>
          <w:szCs w:val="32"/>
        </w:rPr>
        <w:t xml:space="preserve"> 2021年度财政拨款收、支总计</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405.15万元，与上年相比减少533.27万元,减少56.83%，</w:t>
      </w:r>
      <w:bookmarkStart w:id="0" w:name="_Hlk111987094"/>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因为</w:t>
      </w:r>
      <w:r>
        <w:rPr>
          <w:rFonts w:hint="eastAsia" w:ascii="仿宋" w:hAnsi="仿宋" w:eastAsia="仿宋" w:cs="仿宋"/>
          <w:color w:val="auto"/>
          <w:sz w:val="32"/>
          <w:szCs w:val="32"/>
        </w:rPr>
        <w:t>减少了一般公共预算财政拨款收入和支出83.27万元，减少了人员经费拨款450万元。</w:t>
      </w:r>
      <w:bookmarkEnd w:id="0"/>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五、一般公共预算财政拨款支出决算情况说明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2021年度财政拨款支出405.15万元，占本年支出合计的100%，与上年相比，财政拨款支出减少533.27万元，减少56.83%，主要是因为减少了政府性基金预算中人员经费450万元。</w:t>
      </w:r>
    </w:p>
    <w:p>
      <w:pPr>
        <w:pStyle w:val="13"/>
        <w:ind w:firstLine="480" w:firstLineChars="150"/>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2021年度财政拨款支出405.15万元，主要用于以下方面：社会保障和就业支出（类）16.76万元，占4.14%；城乡社区支出（类）168.10万元，占41.49%；资源勘探工业信息等支出（类）220.3 万元，占54.37%。</w:t>
      </w:r>
    </w:p>
    <w:p>
      <w:pPr>
        <w:pStyle w:val="13"/>
        <w:ind w:firstLine="640"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财政拨款支出决算具体情况</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2021年度财政拨款支出年初预算数为420.30万元，支出决算数为405.15万元，完成年初预算的96.40%，其中：</w:t>
      </w:r>
    </w:p>
    <w:p>
      <w:pPr>
        <w:pStyle w:val="13"/>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1、社会保障和就业支出（类）行政事业单位养老支出（款）其他行政事业单位养老支出（项）</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年初预算为0万元，支出决算数为16.76万元。决算数大于年初预算数的主要原因是：没有预算到的开支。</w:t>
      </w:r>
    </w:p>
    <w:p>
      <w:pPr>
        <w:pStyle w:val="13"/>
        <w:numPr>
          <w:ilvl w:val="0"/>
          <w:numId w:val="0"/>
        </w:numPr>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rPr>
        <w:t>城乡社区支出（类）城乡社区管理事务（款）行政运行（项）</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年初预算为100万元，支出决算为68.50万元，完成年初预算的68.5%，决算数小于年初预算数的主要原因是：预算欠精准。</w:t>
      </w:r>
      <w:bookmarkStart w:id="1" w:name="_Hlk112011729"/>
      <w:bookmarkStart w:id="2" w:name="_Hlk112012528"/>
    </w:p>
    <w:bookmarkEnd w:id="1"/>
    <w:bookmarkEnd w:id="2"/>
    <w:p>
      <w:pPr>
        <w:pStyle w:val="13"/>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3、</w:t>
      </w:r>
      <w:bookmarkStart w:id="3" w:name="_Hlk112013290"/>
      <w:r>
        <w:rPr>
          <w:rFonts w:hint="eastAsia" w:ascii="仿宋" w:hAnsi="仿宋" w:eastAsia="仿宋" w:cs="仿宋"/>
          <w:color w:val="auto"/>
          <w:sz w:val="32"/>
          <w:szCs w:val="32"/>
        </w:rPr>
        <w:t>城乡社区支出（类）城乡社区管理事务（款）其他城乡社区管理支出（项）</w:t>
      </w:r>
    </w:p>
    <w:bookmarkEnd w:id="3"/>
    <w:p>
      <w:pPr>
        <w:pStyle w:val="13"/>
        <w:ind w:firstLine="800" w:firstLineChars="250"/>
        <w:rPr>
          <w:rFonts w:hint="eastAsia" w:ascii="仿宋" w:hAnsi="仿宋" w:eastAsia="仿宋" w:cs="仿宋"/>
          <w:color w:val="auto"/>
          <w:sz w:val="32"/>
          <w:szCs w:val="32"/>
        </w:rPr>
      </w:pPr>
      <w:bookmarkStart w:id="4" w:name="_Hlk112012456"/>
      <w:r>
        <w:rPr>
          <w:rFonts w:hint="eastAsia" w:ascii="仿宋" w:hAnsi="仿宋" w:eastAsia="仿宋" w:cs="仿宋"/>
          <w:color w:val="auto"/>
          <w:sz w:val="32"/>
          <w:szCs w:val="32"/>
        </w:rPr>
        <w:t>年初预算为100万元，支出决算为99.6</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99.6</w:t>
      </w:r>
      <w:r>
        <w:rPr>
          <w:rFonts w:hint="eastAsia" w:ascii="仿宋" w:hAnsi="仿宋" w:eastAsia="仿宋" w:cs="仿宋"/>
          <w:color w:val="auto"/>
          <w:sz w:val="32"/>
          <w:szCs w:val="32"/>
        </w:rPr>
        <w:t>%，决算数小于年初预算数的主要原因是：</w:t>
      </w:r>
      <w:bookmarkStart w:id="5" w:name="_Hlk112012703"/>
      <w:r>
        <w:rPr>
          <w:rFonts w:hint="eastAsia" w:ascii="仿宋" w:hAnsi="仿宋" w:eastAsia="仿宋" w:cs="仿宋"/>
          <w:color w:val="auto"/>
          <w:sz w:val="32"/>
          <w:szCs w:val="32"/>
        </w:rPr>
        <w:t>预算欠精准</w:t>
      </w:r>
      <w:bookmarkEnd w:id="5"/>
      <w:r>
        <w:rPr>
          <w:rFonts w:hint="eastAsia" w:ascii="仿宋" w:hAnsi="仿宋" w:eastAsia="仿宋" w:cs="仿宋"/>
          <w:color w:val="auto"/>
          <w:sz w:val="32"/>
          <w:szCs w:val="32"/>
        </w:rPr>
        <w:t>。</w:t>
      </w:r>
      <w:bookmarkEnd w:id="4"/>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资源勘探工业信息等支出（类）建筑业（款）其他建筑业支出（项）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年初预算为220.3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万元，支出决算为220.3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万元，完成年初预算100%，预算数等于决算数的主要原因是：严格控制支出效果。</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b/>
          <w:color w:val="auto"/>
          <w:sz w:val="32"/>
          <w:szCs w:val="32"/>
        </w:rPr>
      </w:pPr>
      <w:r>
        <w:rPr>
          <w:rFonts w:hAnsi="黑体" w:cs="Times New Roman"/>
          <w:color w:val="auto"/>
          <w:sz w:val="32"/>
          <w:szCs w:val="32"/>
        </w:rPr>
        <w:t>六、一般公共预算财政拨款基本支出决算情况说明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2021年度财政拨款基本支出305.56万元，其中：人员经费305.56万元，占基本支出的100%,主要包括基本工资、津贴补贴、奖金、养老保险费、基本医保费、住房公积金等。</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5"/>
        <w:widowControl/>
        <w:adjustRightInd w:val="0"/>
        <w:snapToGrid w:val="0"/>
        <w:spacing w:line="360" w:lineRule="auto"/>
        <w:ind w:firstLine="64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2021年度</w:t>
      </w:r>
      <w:r>
        <w:rPr>
          <w:rFonts w:hint="eastAsia" w:ascii="仿宋" w:hAnsi="仿宋" w:eastAsia="仿宋" w:cs="仿宋"/>
          <w:color w:val="auto"/>
          <w:sz w:val="32"/>
          <w:szCs w:val="32"/>
        </w:rPr>
        <w:t>“三公”经费财政拨款支出预算为0.89万元，支出决算为0.78万元，完成预算的</w:t>
      </w:r>
      <w:r>
        <w:rPr>
          <w:rFonts w:hint="eastAsia" w:ascii="仿宋" w:hAnsi="仿宋" w:eastAsia="仿宋" w:cs="仿宋"/>
          <w:color w:val="auto"/>
          <w:sz w:val="32"/>
          <w:szCs w:val="32"/>
          <w:lang w:val="en-US" w:eastAsia="zh-CN"/>
        </w:rPr>
        <w:t>87.64</w:t>
      </w:r>
      <w:r>
        <w:rPr>
          <w:rFonts w:hint="eastAsia" w:ascii="仿宋" w:hAnsi="仿宋" w:eastAsia="仿宋" w:cs="仿宋"/>
          <w:color w:val="auto"/>
          <w:sz w:val="32"/>
          <w:szCs w:val="32"/>
        </w:rPr>
        <w:t>%，其中：</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i w:val="0"/>
          <w:iCs w:val="0"/>
          <w:caps w:val="0"/>
          <w:color w:val="auto"/>
          <w:spacing w:val="0"/>
          <w:sz w:val="32"/>
          <w:szCs w:val="32"/>
          <w:highlight w:val="none"/>
          <w:shd w:val="clear" w:color="auto" w:fill="FFFFFF"/>
        </w:rPr>
        <w:t>因公出国（境）费支出预算为0万元，支出决算为0万元，决算数与年初预算数持平，主要原因</w:t>
      </w:r>
      <w:r>
        <w:rPr>
          <w:rFonts w:hint="eastAsia" w:ascii="仿宋" w:hAnsi="仿宋" w:eastAsia="仿宋" w:cs="仿宋"/>
          <w:i w:val="0"/>
          <w:iCs w:val="0"/>
          <w:caps w:val="0"/>
          <w:color w:val="auto"/>
          <w:spacing w:val="0"/>
          <w:sz w:val="32"/>
          <w:szCs w:val="32"/>
          <w:highlight w:val="none"/>
          <w:shd w:val="clear" w:color="auto" w:fill="FFFFFF"/>
          <w:lang w:eastAsia="zh-CN"/>
        </w:rPr>
        <w:t>按预算执行，</w:t>
      </w:r>
      <w:r>
        <w:rPr>
          <w:rFonts w:hint="eastAsia" w:ascii="仿宋" w:hAnsi="仿宋" w:eastAsia="仿宋" w:cs="仿宋"/>
          <w:i w:val="0"/>
          <w:iCs w:val="0"/>
          <w:caps w:val="0"/>
          <w:color w:val="auto"/>
          <w:spacing w:val="0"/>
          <w:sz w:val="32"/>
          <w:szCs w:val="32"/>
          <w:highlight w:val="none"/>
          <w:shd w:val="clear" w:color="auto" w:fill="FFFFFF"/>
        </w:rPr>
        <w:t>与上年数持平</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rPr>
        <w:t>主要原因</w:t>
      </w:r>
      <w:r>
        <w:rPr>
          <w:rFonts w:hint="eastAsia" w:ascii="仿宋" w:hAnsi="仿宋" w:eastAsia="仿宋" w:cs="仿宋"/>
          <w:i w:val="0"/>
          <w:iCs w:val="0"/>
          <w:caps w:val="0"/>
          <w:color w:val="auto"/>
          <w:spacing w:val="0"/>
          <w:sz w:val="32"/>
          <w:szCs w:val="32"/>
          <w:highlight w:val="none"/>
          <w:shd w:val="clear" w:color="auto" w:fill="FFFFFF"/>
          <w:lang w:val="en-US" w:eastAsia="zh-CN"/>
        </w:rPr>
        <w:t>是</w:t>
      </w:r>
      <w:r>
        <w:rPr>
          <w:rFonts w:hint="eastAsia" w:ascii="仿宋" w:hAnsi="仿宋" w:eastAsia="仿宋" w:cs="仿宋"/>
          <w:i w:val="0"/>
          <w:iCs w:val="0"/>
          <w:caps w:val="0"/>
          <w:color w:val="auto"/>
          <w:spacing w:val="0"/>
          <w:sz w:val="32"/>
          <w:szCs w:val="32"/>
          <w:highlight w:val="none"/>
          <w:shd w:val="clear" w:color="auto" w:fill="FFFFFF"/>
          <w:lang w:eastAsia="zh-CN"/>
        </w:rPr>
        <w:t>未安排因公出国（境）。</w:t>
      </w:r>
    </w:p>
    <w:p>
      <w:pPr>
        <w:pStyle w:val="15"/>
        <w:widowControl/>
        <w:adjustRightInd w:val="0"/>
        <w:snapToGrid w:val="0"/>
        <w:spacing w:line="360" w:lineRule="auto"/>
        <w:ind w:left="0" w:leftChars="0"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公务接待费支出预算为0.26万元，支出决算为0.15万元，完成预算的57.69%，决算数小于预算数的主要原因是严格控制“三公”经费开支，减少公务接待人次，与上年相比减少0.11万元，减少37.93%,减少的主要原因是厉行节约，严格控制公务接待的人员和次数。</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务用车购置费及运行维护费支出预算为0.63万元，支出决算为0.63万元，完成预算的100%，决算数等于预算数的主要原因是严格按照预算执行。与上年相比减少0.07万元，减少10%，减少的主要原因是厉行节约，费用下降。</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2021年度“三公”经费财政拨款支出决算中，公务接待费支出决算0.15万元，占19.23%,因公出国（境）费支出决算0万元，占0%,公务用车购置费及运行维护费支出决算0.63万元，占80.77%。其中：</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1、因公出国（境）费支出决算为0万元，全年安排因公出国（境）团组0个，累计0人次。</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2、公务接待费支出决算为0.15万元，全年共接待来访团组1个、来宾8人次，主要是湖南省安委办第十督导组督导怀化市安全生产工作发生的接待支出。</w:t>
      </w:r>
    </w:p>
    <w:p>
      <w:pPr>
        <w:ind w:firstLine="800" w:firstLineChars="250"/>
        <w:rPr>
          <w:rFonts w:hint="eastAsia" w:ascii="仿宋" w:hAnsi="仿宋" w:eastAsia="仿宋" w:cs="仿宋"/>
          <w:color w:val="auto"/>
          <w:kern w:val="0"/>
          <w:sz w:val="32"/>
          <w:szCs w:val="32"/>
        </w:rPr>
      </w:pPr>
      <w:r>
        <w:rPr>
          <w:rFonts w:hint="eastAsia" w:ascii="仿宋" w:hAnsi="仿宋" w:eastAsia="仿宋" w:cs="仿宋"/>
          <w:color w:val="auto"/>
          <w:sz w:val="32"/>
          <w:szCs w:val="32"/>
        </w:rPr>
        <w:t>3、公务用车购置费及运行维护费支出决算为0.63万元，其中：公务用车购置费0万元，更新公务用车0辆。公务用车运行维护费0.63万元，主要是公务用车燃油费支出，截止2021年12月31日，我单位开支财政拨款的公务用车保有量为1辆。</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八、政府性基金预算收入支出决算情况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ascii="宋体" w:hAnsi="宋体" w:eastAsia="宋体" w:cs="Times New Roman"/>
          <w:color w:val="auto"/>
          <w:kern w:val="2"/>
          <w:sz w:val="32"/>
          <w:szCs w:val="32"/>
          <w:highlight w:val="none"/>
        </w:rPr>
      </w:pPr>
      <w:r>
        <w:rPr>
          <w:rFonts w:hint="eastAsia" w:ascii="仿宋" w:hAnsi="仿宋" w:eastAsia="仿宋" w:cs="仿宋"/>
          <w:color w:val="auto"/>
          <w:sz w:val="32"/>
          <w:szCs w:val="32"/>
          <w:highlight w:val="none"/>
        </w:rPr>
        <w:t>本单位无政府性基金收支</w:t>
      </w:r>
      <w:r>
        <w:rPr>
          <w:rFonts w:hint="eastAsia" w:ascii="宋体" w:hAnsi="宋体" w:eastAsia="宋体" w:cs="Times New Roman"/>
          <w:color w:val="auto"/>
          <w:kern w:val="2"/>
          <w:sz w:val="32"/>
          <w:szCs w:val="32"/>
          <w:highlight w:val="none"/>
        </w:rPr>
        <w:t>。</w:t>
      </w:r>
    </w:p>
    <w:p>
      <w:pPr>
        <w:pStyle w:val="13"/>
        <w:keepNext w:val="0"/>
        <w:keepLines w:val="0"/>
        <w:pageBreakBefore w:val="0"/>
        <w:numPr>
          <w:ilvl w:val="0"/>
          <w:numId w:val="3"/>
        </w:numPr>
        <w:kinsoku/>
        <w:wordWrap/>
        <w:overflowPunct/>
        <w:topLinePunct w:val="0"/>
        <w:bidi w:val="0"/>
        <w:snapToGrid/>
        <w:spacing w:line="600" w:lineRule="exact"/>
        <w:ind w:firstLine="640" w:firstLineChars="200"/>
        <w:textAlignment w:val="auto"/>
        <w:rPr>
          <w:rFonts w:ascii="宋体" w:hAnsi="宋体" w:eastAsia="宋体" w:cs="Times New Roman"/>
          <w:b w:val="0"/>
          <w:bCs w:val="0"/>
          <w:color w:val="auto"/>
          <w:kern w:val="2"/>
          <w:sz w:val="32"/>
          <w:szCs w:val="32"/>
          <w:highlight w:val="none"/>
        </w:rPr>
      </w:pPr>
      <w:r>
        <w:rPr>
          <w:rFonts w:hint="eastAsia" w:ascii="黑体" w:hAnsi="黑体" w:eastAsia="黑体" w:cs="黑体"/>
          <w:b w:val="0"/>
          <w:bCs w:val="0"/>
          <w:color w:val="auto"/>
          <w:sz w:val="32"/>
          <w:szCs w:val="32"/>
          <w:highlight w:val="none"/>
          <w:lang w:val="en-US" w:eastAsia="zh-CN"/>
        </w:rPr>
        <w:t>国有资本经营预算财政拨款支出</w:t>
      </w:r>
      <w:r>
        <w:rPr>
          <w:rFonts w:hint="eastAsia" w:ascii="黑体" w:hAnsi="黑体" w:eastAsia="黑体" w:cs="黑体"/>
          <w:b w:val="0"/>
          <w:bCs w:val="0"/>
          <w:color w:val="auto"/>
          <w:sz w:val="32"/>
          <w:szCs w:val="32"/>
          <w:highlight w:val="none"/>
        </w:rPr>
        <w:t>决算情况</w:t>
      </w:r>
      <w:r>
        <w:rPr>
          <w:rFonts w:hint="eastAsia" w:ascii="黑体" w:hAnsi="黑体" w:eastAsia="黑体" w:cs="黑体"/>
          <w:b w:val="0"/>
          <w:bCs w:val="0"/>
          <w:color w:val="auto"/>
          <w:sz w:val="32"/>
          <w:szCs w:val="32"/>
          <w:highlight w:val="none"/>
          <w:lang w:val="en-US" w:eastAsia="zh-CN"/>
        </w:rPr>
        <w:t>说明</w:t>
      </w:r>
    </w:p>
    <w:p>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val="0"/>
          <w:bCs w:val="0"/>
          <w:i w:val="0"/>
          <w:iCs w:val="0"/>
          <w:color w:val="auto"/>
          <w:kern w:val="2"/>
          <w:sz w:val="32"/>
          <w:szCs w:val="32"/>
          <w:highlight w:val="none"/>
        </w:rPr>
      </w:pPr>
      <w:r>
        <w:rPr>
          <w:rFonts w:hint="eastAsia" w:ascii="仿宋" w:hAnsi="仿宋" w:eastAsia="仿宋" w:cs="仿宋"/>
          <w:b w:val="0"/>
          <w:bCs w:val="0"/>
          <w:i w:val="0"/>
          <w:iCs w:val="0"/>
          <w:color w:val="auto"/>
          <w:sz w:val="32"/>
          <w:szCs w:val="32"/>
          <w:highlight w:val="none"/>
        </w:rPr>
        <w:t>本单位无</w:t>
      </w:r>
      <w:r>
        <w:rPr>
          <w:rFonts w:hint="eastAsia" w:ascii="仿宋" w:hAnsi="仿宋" w:eastAsia="仿宋" w:cs="仿宋"/>
          <w:b w:val="0"/>
          <w:bCs w:val="0"/>
          <w:i w:val="0"/>
          <w:iCs w:val="0"/>
          <w:color w:val="auto"/>
          <w:sz w:val="32"/>
          <w:szCs w:val="32"/>
          <w:highlight w:val="none"/>
          <w:lang w:val="en-US" w:eastAsia="zh-CN"/>
        </w:rPr>
        <w:t>国有资本经营预算财政拨款支出</w:t>
      </w:r>
      <w:r>
        <w:rPr>
          <w:rFonts w:hint="eastAsia" w:ascii="仿宋" w:hAnsi="仿宋" w:eastAsia="仿宋" w:cs="仿宋"/>
          <w:b w:val="0"/>
          <w:bCs w:val="0"/>
          <w:i w:val="0"/>
          <w:iCs w:val="0"/>
          <w:color w:val="auto"/>
          <w:kern w:val="2"/>
          <w:sz w:val="32"/>
          <w:szCs w:val="32"/>
          <w:highlight w:val="none"/>
        </w:rPr>
        <w:t>。</w:t>
      </w:r>
    </w:p>
    <w:p>
      <w:pPr>
        <w:keepNext w:val="0"/>
        <w:keepLines w:val="0"/>
        <w:pageBreakBefore w:val="0"/>
        <w:numPr>
          <w:ilvl w:val="0"/>
          <w:numId w:val="3"/>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机关运行经费支出情况</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rPr>
        <w:t>本部门属非参公事业单位。</w:t>
      </w:r>
    </w:p>
    <w:p>
      <w:pPr>
        <w:pStyle w:val="13"/>
        <w:numPr>
          <w:ilvl w:val="0"/>
          <w:numId w:val="3"/>
        </w:numPr>
        <w:ind w:left="0" w:leftChars="0" w:firstLine="640" w:firstLineChars="200"/>
        <w:rPr>
          <w:rFonts w:ascii="宋体" w:hAnsi="宋体" w:eastAsia="宋体"/>
          <w:b w:val="0"/>
          <w:bCs/>
          <w:color w:val="auto"/>
          <w:sz w:val="32"/>
          <w:szCs w:val="32"/>
        </w:rPr>
      </w:pPr>
      <w:r>
        <w:rPr>
          <w:rFonts w:hint="eastAsia" w:ascii="黑体" w:hAnsi="黑体" w:eastAsia="黑体" w:cs="黑体"/>
          <w:b w:val="0"/>
          <w:bCs/>
          <w:color w:val="auto"/>
          <w:kern w:val="0"/>
          <w:sz w:val="32"/>
          <w:szCs w:val="32"/>
        </w:rPr>
        <w:t>一般性支出情况</w:t>
      </w:r>
      <w:r>
        <w:rPr>
          <w:rFonts w:hint="eastAsia" w:ascii="黑体" w:hAnsi="黑体" w:eastAsia="黑体" w:cs="黑体"/>
          <w:b w:val="0"/>
          <w:bCs/>
          <w:color w:val="auto"/>
          <w:kern w:val="0"/>
          <w:sz w:val="32"/>
          <w:szCs w:val="32"/>
          <w:lang w:val="en-US" w:eastAsia="zh-CN"/>
        </w:rPr>
        <w:t>说明</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2021年本部门未召开会议，开支会议费0万元；未开支培训，开支培训费0万元；为举办节庆、晚会、论坛、赛事等活动，开支0万元。</w:t>
      </w:r>
    </w:p>
    <w:p>
      <w:pPr>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十二、</w:t>
      </w:r>
      <w:r>
        <w:rPr>
          <w:rFonts w:hint="eastAsia" w:ascii="黑体" w:hAnsi="黑体" w:eastAsia="黑体" w:cs="黑体"/>
          <w:b w:val="0"/>
          <w:bCs/>
          <w:color w:val="auto"/>
          <w:kern w:val="0"/>
          <w:sz w:val="32"/>
          <w:szCs w:val="32"/>
        </w:rPr>
        <w:t>政府采购支出情况</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13"/>
        <w:ind w:firstLine="640" w:firstLineChars="200"/>
        <w:rPr>
          <w:rFonts w:hAnsi="黑体"/>
          <w:b w:val="0"/>
          <w:bCs/>
          <w:color w:val="auto"/>
          <w:sz w:val="32"/>
          <w:szCs w:val="32"/>
        </w:rPr>
      </w:pPr>
      <w:r>
        <w:rPr>
          <w:rFonts w:hint="eastAsia" w:hAnsi="黑体"/>
          <w:b w:val="0"/>
          <w:bCs/>
          <w:color w:val="auto"/>
          <w:sz w:val="32"/>
          <w:szCs w:val="32"/>
        </w:rPr>
        <w:t>十三、关于国有资产占用情况说明</w:t>
      </w:r>
    </w:p>
    <w:p>
      <w:pPr>
        <w:pStyle w:val="13"/>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截至2021年12月31日，本单位共有车辆1辆，其中：其他用车1辆，其他用车主要是单位公务用车；单位价值50万元以上通用设备0台（套）；单位价值100万元以上专用设备0台（套）。</w:t>
      </w:r>
    </w:p>
    <w:p>
      <w:pPr>
        <w:pStyle w:val="13"/>
        <w:numPr>
          <w:ilvl w:val="0"/>
          <w:numId w:val="4"/>
        </w:numPr>
        <w:ind w:firstLine="640" w:firstLineChars="200"/>
        <w:rPr>
          <w:rFonts w:hint="eastAsia" w:hAnsi="黑体"/>
          <w:b w:val="0"/>
          <w:bCs/>
          <w:color w:val="auto"/>
          <w:sz w:val="32"/>
          <w:szCs w:val="32"/>
        </w:rPr>
      </w:pPr>
      <w:r>
        <w:rPr>
          <w:rFonts w:hint="eastAsia" w:hAnsi="黑体"/>
          <w:b w:val="0"/>
          <w:bCs/>
          <w:color w:val="auto"/>
          <w:sz w:val="32"/>
          <w:szCs w:val="32"/>
        </w:rPr>
        <w:t>关于</w:t>
      </w:r>
      <w:r>
        <w:rPr>
          <w:rFonts w:hAnsi="黑体"/>
          <w:b w:val="0"/>
          <w:bCs/>
          <w:color w:val="auto"/>
          <w:sz w:val="32"/>
          <w:szCs w:val="32"/>
        </w:rPr>
        <w:t>2021</w:t>
      </w:r>
      <w:r>
        <w:rPr>
          <w:rFonts w:hint="eastAsia" w:hAnsi="黑体"/>
          <w:b w:val="0"/>
          <w:bCs/>
          <w:color w:val="auto"/>
          <w:sz w:val="32"/>
          <w:szCs w:val="32"/>
        </w:rPr>
        <w:t>年度预算绩效情况的说明</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2021年本单位取得的工作成效主要有：</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积极开展节后复工安全检查。</w:t>
      </w:r>
    </w:p>
    <w:p>
      <w:pPr>
        <w:pStyle w:val="13"/>
        <w:ind w:firstLine="640"/>
        <w:rPr>
          <w:rFonts w:hint="eastAsia" w:ascii="仿宋" w:hAnsi="仿宋" w:eastAsia="仿宋" w:cs="仿宋"/>
          <w:color w:val="auto"/>
          <w:sz w:val="32"/>
          <w:szCs w:val="32"/>
        </w:rPr>
      </w:pPr>
      <w:r>
        <w:rPr>
          <w:rFonts w:hint="eastAsia" w:ascii="仿宋" w:hAnsi="仿宋" w:eastAsia="仿宋" w:cs="仿宋"/>
          <w:color w:val="auto"/>
          <w:sz w:val="32"/>
          <w:szCs w:val="32"/>
        </w:rPr>
        <w:t>我站下发了《进一步加强建筑工地春节后复工管理工作的通知》，对春节后建筑工地复工管理提出了“五个一律”要求，提高了安全生产意识，营造了良好的安全生产环境，对新冠疫情防控起到了积极作用。</w:t>
      </w:r>
    </w:p>
    <w:p>
      <w:pPr>
        <w:pStyle w:val="13"/>
        <w:numPr>
          <w:ilvl w:val="0"/>
          <w:numId w:val="0"/>
        </w:numPr>
        <w:ind w:left="0" w:leftChars="0"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rPr>
        <w:t>开展雨季防汛期施工安全专项检查。</w:t>
      </w:r>
    </w:p>
    <w:p>
      <w:pPr>
        <w:pStyle w:val="13"/>
        <w:numPr>
          <w:ilvl w:val="0"/>
          <w:numId w:val="0"/>
        </w:numPr>
        <w:ind w:left="0" w:leftChars="0"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2021年4月6日我站下发了《关于加强我市雨季汛期建筑施工安全工作的通知》，强化了雨季汛期安全隐患排查，监督人员对所有再见项目开展了专项监督检查。上半年我市经历多次强降雨等恶劣天气，市本级在建项目未发生一起安全生产事故，雨季汛期安全生产总体可控。</w:t>
      </w:r>
    </w:p>
    <w:p>
      <w:pPr>
        <w:pStyle w:val="13"/>
        <w:numPr>
          <w:ilvl w:val="0"/>
          <w:numId w:val="0"/>
        </w:numPr>
        <w:ind w:left="0" w:leftChars="0"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bidi="ar-SA"/>
        </w:rPr>
        <w:t>3、</w:t>
      </w:r>
      <w:r>
        <w:rPr>
          <w:rFonts w:hint="eastAsia" w:ascii="仿宋" w:hAnsi="仿宋" w:eastAsia="仿宋" w:cs="仿宋"/>
          <w:color w:val="auto"/>
          <w:sz w:val="32"/>
          <w:szCs w:val="32"/>
        </w:rPr>
        <w:t>开展建筑起重机械委托检测机构实体安全状态检查和起重机械安全管理检查。</w:t>
      </w:r>
    </w:p>
    <w:p>
      <w:pPr>
        <w:pStyle w:val="13"/>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我站聘请三家检测机构共排查75各项目，365台建筑起重机械的实体安全检测和安全管理检查，下发停工通知30份，隐患整改137份（台次），已督促项目完成所有起重机械存在问题的整改。</w:t>
      </w:r>
    </w:p>
    <w:p>
      <w:pPr>
        <w:pStyle w:val="13"/>
        <w:numPr>
          <w:ilvl w:val="0"/>
          <w:numId w:val="5"/>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开展“五一”期间建筑施工安全生产专项检查。</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省住建厅关于’5.1”祁阳市建设施工死亡2人事故通知精神和春秋市长5月1日有关指示，我站“五一”期间安排专人对在建项目安全生产、疫情管控、人员到岗等方面进行了专项排查。截止5月3日上午12点，已排查项目77个，发现安全隐患85条，下发限期整改5份，停工整改12份，从排查的项目情况来看，重大危险源处于基本可控状态，确保我市节假日期间安全生产形势可控。</w:t>
      </w:r>
    </w:p>
    <w:p>
      <w:pPr>
        <w:pStyle w:val="13"/>
        <w:numPr>
          <w:ilvl w:val="0"/>
          <w:numId w:val="5"/>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开展建筑施工领域防灾减灾专项检查。</w:t>
      </w:r>
    </w:p>
    <w:p>
      <w:pPr>
        <w:pStyle w:val="13"/>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2021年5月12日是第13个“全国防灾减灾日”，我站共排查了75个在建项目，通过开展排查，个项目部积极宣传防灾减灾基本常识，及时识别风险灾害并建立清单。</w:t>
      </w:r>
    </w:p>
    <w:p>
      <w:pPr>
        <w:pStyle w:val="13"/>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本单位无重点项目，因此无重点项目绩效报告。</w:t>
      </w:r>
    </w:p>
    <w:p>
      <w:pPr>
        <w:pStyle w:val="13"/>
        <w:ind w:left="642"/>
        <w:rPr>
          <w:rFonts w:hint="eastAsia" w:eastAsia="方正小标宋_GBK"/>
          <w:bCs/>
          <w:color w:val="auto"/>
          <w:kern w:val="0"/>
          <w:sz w:val="36"/>
          <w:szCs w:val="36"/>
        </w:rPr>
      </w:pPr>
      <w:r>
        <w:rPr>
          <w:rFonts w:hint="eastAsia" w:ascii="宋体" w:hAnsi="宋体" w:eastAsia="宋体"/>
          <w:color w:val="auto"/>
          <w:sz w:val="32"/>
          <w:szCs w:val="32"/>
        </w:rPr>
        <w:t xml:space="preserve">  </w:t>
      </w: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rPr>
        <w:t>第四部分 名词解释</w:t>
      </w:r>
    </w:p>
    <w:p>
      <w:pPr>
        <w:keepNext w:val="0"/>
        <w:keepLines w:val="0"/>
        <w:pageBreakBefore w:val="0"/>
        <w:kinsoku/>
        <w:wordWrap/>
        <w:overflowPunct/>
        <w:topLinePunct w:val="0"/>
        <w:bidi w:val="0"/>
        <w:snapToGrid/>
        <w:spacing w:line="600" w:lineRule="exact"/>
        <w:textAlignment w:val="auto"/>
        <w:rPr>
          <w:rFonts w:hint="eastAsia"/>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财政拨款收入：指财政当年拨付的资金。包括一般公共预算财政拨款和政府性基金财政拨款。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上级补助收入：指事业单位从主管部门和上级单位取得的非财政补助收入。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事业收入：指事业单位开展专业业务活动及辅助活动所取得的收入。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经营收入：指事业单位在专业业务活动及其辅助活动之外开展非独立核算经营活动取得的收入。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附属单位上缴收入：指事业单位附属独立核算单位按照有关规定上缴的收入。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其他收入：指除上述“财政拨款收入”、“事业收入”、“经营收入”等以外的收入。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年初结转和结余：指以前年度尚未完成、结转到本年按有关规定继续使用的资金。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结余分配：指事业单位按规定从非财政补助结余中分配的事业基金和职工福利基金等。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年末结转和结余：指本年度或以前年度预算安排、因客观条件发生变化无法按原计划实施，需要延迟到以后年度按有关规定继续使用的资金。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基本支出：指为保障机构正常运转、完成日常工作任务而发生的人员支出和公用支出。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项目支出：指在基本支出之外为完成特定行政任务和事业发展目标所发生的支出。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经营支出：指事业单位在专业业务活动及其辅助活动之外开展非独立核算经营活动所发生的支出。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numPr>
          <w:ilvl w:val="0"/>
          <w:numId w:val="6"/>
        </w:numPr>
        <w:kinsoku/>
        <w:wordWrap/>
        <w:overflowPunct/>
        <w:topLinePunct w:val="0"/>
        <w:bidi w:val="0"/>
        <w:snapToGrid/>
        <w:spacing w:line="600" w:lineRule="exact"/>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附件</w:t>
      </w:r>
    </w:p>
    <w:p>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Cs/>
          <w:kern w:val="0"/>
          <w:sz w:val="44"/>
          <w:szCs w:val="44"/>
          <w:lang w:val="en-US" w:eastAsia="zh-CN"/>
        </w:rPr>
      </w:pPr>
      <w:bookmarkStart w:id="6" w:name="_GoBack"/>
      <w:bookmarkEnd w:id="6"/>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CF55"/>
    <w:multiLevelType w:val="singleLevel"/>
    <w:tmpl w:val="935FCF55"/>
    <w:lvl w:ilvl="0" w:tentative="0">
      <w:start w:val="1"/>
      <w:numFmt w:val="chineseCounting"/>
      <w:suff w:val="nothing"/>
      <w:lvlText w:val="（%1）"/>
      <w:lvlJc w:val="left"/>
      <w:rPr>
        <w:rFonts w:hint="eastAsia"/>
      </w:rPr>
    </w:lvl>
  </w:abstractNum>
  <w:abstractNum w:abstractNumId="1">
    <w:nsid w:val="9F8F8D32"/>
    <w:multiLevelType w:val="singleLevel"/>
    <w:tmpl w:val="9F8F8D32"/>
    <w:lvl w:ilvl="0" w:tentative="0">
      <w:start w:val="5"/>
      <w:numFmt w:val="chineseCounting"/>
      <w:suff w:val="space"/>
      <w:lvlText w:val="第%1部分"/>
      <w:lvlJc w:val="left"/>
      <w:rPr>
        <w:rFonts w:hint="eastAsia"/>
      </w:rPr>
    </w:lvl>
  </w:abstractNum>
  <w:abstractNum w:abstractNumId="2">
    <w:nsid w:val="B8363543"/>
    <w:multiLevelType w:val="singleLevel"/>
    <w:tmpl w:val="B8363543"/>
    <w:lvl w:ilvl="0" w:tentative="0">
      <w:start w:val="9"/>
      <w:numFmt w:val="chineseCounting"/>
      <w:suff w:val="nothing"/>
      <w:lvlText w:val="%1、"/>
      <w:lvlJc w:val="left"/>
      <w:rPr>
        <w:rFonts w:hint="eastAsia"/>
        <w:color w:val="auto"/>
      </w:rPr>
    </w:lvl>
  </w:abstractNum>
  <w:abstractNum w:abstractNumId="3">
    <w:nsid w:val="FF9593F6"/>
    <w:multiLevelType w:val="singleLevel"/>
    <w:tmpl w:val="FF9593F6"/>
    <w:lvl w:ilvl="0" w:tentative="0">
      <w:start w:val="4"/>
      <w:numFmt w:val="decimal"/>
      <w:suff w:val="nothing"/>
      <w:lvlText w:val="%1、"/>
      <w:lvlJc w:val="left"/>
    </w:lvl>
  </w:abstractNum>
  <w:abstractNum w:abstractNumId="4">
    <w:nsid w:val="1BC7081E"/>
    <w:multiLevelType w:val="singleLevel"/>
    <w:tmpl w:val="1BC7081E"/>
    <w:lvl w:ilvl="0" w:tentative="0">
      <w:start w:val="14"/>
      <w:numFmt w:val="chineseCounting"/>
      <w:suff w:val="nothing"/>
      <w:lvlText w:val="%1、"/>
      <w:lvlJc w:val="left"/>
      <w:rPr>
        <w:rFonts w:hint="eastAsia"/>
      </w:rPr>
    </w:lvl>
  </w:abstractNum>
  <w:abstractNum w:abstractNumId="5">
    <w:nsid w:val="28AD9E1B"/>
    <w:multiLevelType w:val="singleLevel"/>
    <w:tmpl w:val="28AD9E1B"/>
    <w:lvl w:ilvl="0" w:tentative="0">
      <w:start w:val="2"/>
      <w:numFmt w:val="chineseCounting"/>
      <w:suff w:val="nothing"/>
      <w:lvlText w:val="%1、"/>
      <w:lvlJc w:val="left"/>
      <w:rPr>
        <w:rFonts w:hint="eastAsi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36555"/>
    <w:rsid w:val="000415B7"/>
    <w:rsid w:val="00041E3F"/>
    <w:rsid w:val="00044C28"/>
    <w:rsid w:val="00055DAA"/>
    <w:rsid w:val="00061F7B"/>
    <w:rsid w:val="000658A3"/>
    <w:rsid w:val="00074155"/>
    <w:rsid w:val="0007447D"/>
    <w:rsid w:val="000931AB"/>
    <w:rsid w:val="000A3F69"/>
    <w:rsid w:val="000E3A3C"/>
    <w:rsid w:val="000E52F4"/>
    <w:rsid w:val="000E63D0"/>
    <w:rsid w:val="00103957"/>
    <w:rsid w:val="0010765E"/>
    <w:rsid w:val="0012219B"/>
    <w:rsid w:val="00152C6D"/>
    <w:rsid w:val="00162D39"/>
    <w:rsid w:val="00166546"/>
    <w:rsid w:val="001678BD"/>
    <w:rsid w:val="001939F3"/>
    <w:rsid w:val="001A67DB"/>
    <w:rsid w:val="001B3684"/>
    <w:rsid w:val="001B7118"/>
    <w:rsid w:val="001C3C29"/>
    <w:rsid w:val="001D4547"/>
    <w:rsid w:val="001D51E5"/>
    <w:rsid w:val="001E080D"/>
    <w:rsid w:val="001E523C"/>
    <w:rsid w:val="001E53D0"/>
    <w:rsid w:val="001F0C3B"/>
    <w:rsid w:val="00202C82"/>
    <w:rsid w:val="0021143D"/>
    <w:rsid w:val="00214427"/>
    <w:rsid w:val="00216831"/>
    <w:rsid w:val="002221F0"/>
    <w:rsid w:val="00226CB7"/>
    <w:rsid w:val="00245863"/>
    <w:rsid w:val="00264552"/>
    <w:rsid w:val="00264EF9"/>
    <w:rsid w:val="00265724"/>
    <w:rsid w:val="0027426B"/>
    <w:rsid w:val="00281EF0"/>
    <w:rsid w:val="00285DB2"/>
    <w:rsid w:val="00295E64"/>
    <w:rsid w:val="002A7704"/>
    <w:rsid w:val="002E0A30"/>
    <w:rsid w:val="002E1337"/>
    <w:rsid w:val="002E4C38"/>
    <w:rsid w:val="002E66BD"/>
    <w:rsid w:val="00302D03"/>
    <w:rsid w:val="003130C4"/>
    <w:rsid w:val="00316A94"/>
    <w:rsid w:val="00316C4B"/>
    <w:rsid w:val="0032192B"/>
    <w:rsid w:val="00330B36"/>
    <w:rsid w:val="003479BD"/>
    <w:rsid w:val="00363987"/>
    <w:rsid w:val="0037197D"/>
    <w:rsid w:val="003768D5"/>
    <w:rsid w:val="003B202D"/>
    <w:rsid w:val="003C47E6"/>
    <w:rsid w:val="003C4FC2"/>
    <w:rsid w:val="003E1C14"/>
    <w:rsid w:val="003F60DE"/>
    <w:rsid w:val="0041484F"/>
    <w:rsid w:val="00416E61"/>
    <w:rsid w:val="004221B2"/>
    <w:rsid w:val="0042790C"/>
    <w:rsid w:val="00450511"/>
    <w:rsid w:val="004506F9"/>
    <w:rsid w:val="00470F94"/>
    <w:rsid w:val="004717A2"/>
    <w:rsid w:val="00473DF3"/>
    <w:rsid w:val="00477B8F"/>
    <w:rsid w:val="00487911"/>
    <w:rsid w:val="00491741"/>
    <w:rsid w:val="004A544F"/>
    <w:rsid w:val="004B395D"/>
    <w:rsid w:val="004F438A"/>
    <w:rsid w:val="00500E5F"/>
    <w:rsid w:val="005020CA"/>
    <w:rsid w:val="005122EF"/>
    <w:rsid w:val="0051441A"/>
    <w:rsid w:val="00517C33"/>
    <w:rsid w:val="00523644"/>
    <w:rsid w:val="00523857"/>
    <w:rsid w:val="00524901"/>
    <w:rsid w:val="0054069E"/>
    <w:rsid w:val="00544866"/>
    <w:rsid w:val="0056127A"/>
    <w:rsid w:val="005767CC"/>
    <w:rsid w:val="00590D9F"/>
    <w:rsid w:val="00593E57"/>
    <w:rsid w:val="00595D26"/>
    <w:rsid w:val="00595E85"/>
    <w:rsid w:val="005A4000"/>
    <w:rsid w:val="005A74E6"/>
    <w:rsid w:val="005B404E"/>
    <w:rsid w:val="005C5910"/>
    <w:rsid w:val="005D4D55"/>
    <w:rsid w:val="005E2CFB"/>
    <w:rsid w:val="005F3D1C"/>
    <w:rsid w:val="00610852"/>
    <w:rsid w:val="0062378F"/>
    <w:rsid w:val="006272C9"/>
    <w:rsid w:val="00641842"/>
    <w:rsid w:val="00645355"/>
    <w:rsid w:val="00651EEC"/>
    <w:rsid w:val="00665E5C"/>
    <w:rsid w:val="006859C8"/>
    <w:rsid w:val="00691E8C"/>
    <w:rsid w:val="006A22C4"/>
    <w:rsid w:val="006A351B"/>
    <w:rsid w:val="006B0422"/>
    <w:rsid w:val="006B197C"/>
    <w:rsid w:val="006B2F41"/>
    <w:rsid w:val="006C18C4"/>
    <w:rsid w:val="006C1B53"/>
    <w:rsid w:val="006D050F"/>
    <w:rsid w:val="006D20AC"/>
    <w:rsid w:val="006D7730"/>
    <w:rsid w:val="006E5284"/>
    <w:rsid w:val="006F3EB5"/>
    <w:rsid w:val="006F414B"/>
    <w:rsid w:val="00702E34"/>
    <w:rsid w:val="00704395"/>
    <w:rsid w:val="00717621"/>
    <w:rsid w:val="00720FF1"/>
    <w:rsid w:val="00725F16"/>
    <w:rsid w:val="00727A53"/>
    <w:rsid w:val="00735F14"/>
    <w:rsid w:val="00755686"/>
    <w:rsid w:val="007600D7"/>
    <w:rsid w:val="00787B42"/>
    <w:rsid w:val="007A5974"/>
    <w:rsid w:val="007B3448"/>
    <w:rsid w:val="007C4539"/>
    <w:rsid w:val="007F3657"/>
    <w:rsid w:val="007F74ED"/>
    <w:rsid w:val="00812ED5"/>
    <w:rsid w:val="0082732A"/>
    <w:rsid w:val="008277D9"/>
    <w:rsid w:val="0084478C"/>
    <w:rsid w:val="00861672"/>
    <w:rsid w:val="0086638C"/>
    <w:rsid w:val="00880E80"/>
    <w:rsid w:val="00891E2A"/>
    <w:rsid w:val="008A3E8D"/>
    <w:rsid w:val="008B59E4"/>
    <w:rsid w:val="008D5E4E"/>
    <w:rsid w:val="008E07B6"/>
    <w:rsid w:val="008E4A6D"/>
    <w:rsid w:val="009103F6"/>
    <w:rsid w:val="009237C4"/>
    <w:rsid w:val="00935EC0"/>
    <w:rsid w:val="00944C48"/>
    <w:rsid w:val="00950252"/>
    <w:rsid w:val="00953F93"/>
    <w:rsid w:val="00954EFD"/>
    <w:rsid w:val="00967F5D"/>
    <w:rsid w:val="00982EB1"/>
    <w:rsid w:val="009837A9"/>
    <w:rsid w:val="009A0F95"/>
    <w:rsid w:val="009B3ADF"/>
    <w:rsid w:val="009C3B52"/>
    <w:rsid w:val="009C6650"/>
    <w:rsid w:val="009D05AF"/>
    <w:rsid w:val="009E6817"/>
    <w:rsid w:val="009E6E9A"/>
    <w:rsid w:val="009F0FF7"/>
    <w:rsid w:val="00A01D2B"/>
    <w:rsid w:val="00A11335"/>
    <w:rsid w:val="00A24BF9"/>
    <w:rsid w:val="00A25700"/>
    <w:rsid w:val="00A31E0F"/>
    <w:rsid w:val="00A42218"/>
    <w:rsid w:val="00A61DF4"/>
    <w:rsid w:val="00A70249"/>
    <w:rsid w:val="00A70B02"/>
    <w:rsid w:val="00A71D9F"/>
    <w:rsid w:val="00A92E9F"/>
    <w:rsid w:val="00B33BEA"/>
    <w:rsid w:val="00B33FC7"/>
    <w:rsid w:val="00B368F6"/>
    <w:rsid w:val="00B42159"/>
    <w:rsid w:val="00B57C9F"/>
    <w:rsid w:val="00B63572"/>
    <w:rsid w:val="00B635C1"/>
    <w:rsid w:val="00B827F8"/>
    <w:rsid w:val="00B845B3"/>
    <w:rsid w:val="00B85D8B"/>
    <w:rsid w:val="00BB4A40"/>
    <w:rsid w:val="00BB4BFE"/>
    <w:rsid w:val="00BB7579"/>
    <w:rsid w:val="00BD6C3E"/>
    <w:rsid w:val="00BE3674"/>
    <w:rsid w:val="00C10681"/>
    <w:rsid w:val="00C24C76"/>
    <w:rsid w:val="00C26145"/>
    <w:rsid w:val="00C3049A"/>
    <w:rsid w:val="00C31B1E"/>
    <w:rsid w:val="00C6150F"/>
    <w:rsid w:val="00C64A85"/>
    <w:rsid w:val="00C77645"/>
    <w:rsid w:val="00C87553"/>
    <w:rsid w:val="00C93E28"/>
    <w:rsid w:val="00CB64A0"/>
    <w:rsid w:val="00CE04C3"/>
    <w:rsid w:val="00CE76A0"/>
    <w:rsid w:val="00CE79C7"/>
    <w:rsid w:val="00CF39C2"/>
    <w:rsid w:val="00D14839"/>
    <w:rsid w:val="00D148C6"/>
    <w:rsid w:val="00D17A8A"/>
    <w:rsid w:val="00D34C6A"/>
    <w:rsid w:val="00D415BA"/>
    <w:rsid w:val="00D5252B"/>
    <w:rsid w:val="00D644EE"/>
    <w:rsid w:val="00D83955"/>
    <w:rsid w:val="00DA29A8"/>
    <w:rsid w:val="00DA4FFD"/>
    <w:rsid w:val="00DD06FF"/>
    <w:rsid w:val="00DD5FE9"/>
    <w:rsid w:val="00E00C7A"/>
    <w:rsid w:val="00E33951"/>
    <w:rsid w:val="00E37D6C"/>
    <w:rsid w:val="00E50350"/>
    <w:rsid w:val="00E55B68"/>
    <w:rsid w:val="00E56990"/>
    <w:rsid w:val="00E611D3"/>
    <w:rsid w:val="00E67BE6"/>
    <w:rsid w:val="00E824AA"/>
    <w:rsid w:val="00E8683C"/>
    <w:rsid w:val="00E87DF2"/>
    <w:rsid w:val="00EA2B72"/>
    <w:rsid w:val="00EB4F07"/>
    <w:rsid w:val="00EC66CE"/>
    <w:rsid w:val="00F03DC3"/>
    <w:rsid w:val="00F07E04"/>
    <w:rsid w:val="00F35B1B"/>
    <w:rsid w:val="00F37AFF"/>
    <w:rsid w:val="00F4098A"/>
    <w:rsid w:val="00F41D57"/>
    <w:rsid w:val="00F4364D"/>
    <w:rsid w:val="00F45A63"/>
    <w:rsid w:val="00F74360"/>
    <w:rsid w:val="00F825D5"/>
    <w:rsid w:val="00FA6571"/>
    <w:rsid w:val="00FB462F"/>
    <w:rsid w:val="00FC0005"/>
    <w:rsid w:val="00FD5694"/>
    <w:rsid w:val="00FE16FA"/>
    <w:rsid w:val="00FE328A"/>
    <w:rsid w:val="00FE6269"/>
    <w:rsid w:val="00FE7558"/>
    <w:rsid w:val="00FF08A5"/>
    <w:rsid w:val="046643CE"/>
    <w:rsid w:val="05DD67EB"/>
    <w:rsid w:val="07606743"/>
    <w:rsid w:val="0B755632"/>
    <w:rsid w:val="0BBF08DE"/>
    <w:rsid w:val="0E382BC8"/>
    <w:rsid w:val="0FA626AB"/>
    <w:rsid w:val="12573140"/>
    <w:rsid w:val="16D06B4B"/>
    <w:rsid w:val="1CDD5BDB"/>
    <w:rsid w:val="1E3D18A3"/>
    <w:rsid w:val="1FCF6E73"/>
    <w:rsid w:val="20B57B33"/>
    <w:rsid w:val="20D91494"/>
    <w:rsid w:val="21EB7868"/>
    <w:rsid w:val="228F6A0D"/>
    <w:rsid w:val="244B26EC"/>
    <w:rsid w:val="26700383"/>
    <w:rsid w:val="27F97782"/>
    <w:rsid w:val="2CFD4F74"/>
    <w:rsid w:val="2D0B3504"/>
    <w:rsid w:val="2E2C4C2B"/>
    <w:rsid w:val="312F1011"/>
    <w:rsid w:val="35507C9C"/>
    <w:rsid w:val="3B1C4225"/>
    <w:rsid w:val="3B382CBC"/>
    <w:rsid w:val="3BE9436E"/>
    <w:rsid w:val="3F4E5ED0"/>
    <w:rsid w:val="402C356F"/>
    <w:rsid w:val="41E2213E"/>
    <w:rsid w:val="44467855"/>
    <w:rsid w:val="4708179D"/>
    <w:rsid w:val="472A4F1A"/>
    <w:rsid w:val="4A336967"/>
    <w:rsid w:val="4BFB77E3"/>
    <w:rsid w:val="506F33F9"/>
    <w:rsid w:val="50D56AF9"/>
    <w:rsid w:val="522A4795"/>
    <w:rsid w:val="53901E9A"/>
    <w:rsid w:val="5E060084"/>
    <w:rsid w:val="60710BEF"/>
    <w:rsid w:val="62735958"/>
    <w:rsid w:val="64845916"/>
    <w:rsid w:val="65126F66"/>
    <w:rsid w:val="68C06926"/>
    <w:rsid w:val="69DC4F31"/>
    <w:rsid w:val="6B1C0BBA"/>
    <w:rsid w:val="6B3059B9"/>
    <w:rsid w:val="6C6E3A97"/>
    <w:rsid w:val="6DA3268C"/>
    <w:rsid w:val="6EEB62A9"/>
    <w:rsid w:val="74622626"/>
    <w:rsid w:val="753B2B01"/>
    <w:rsid w:val="76FE736A"/>
    <w:rsid w:val="77A352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index 5"/>
    <w:basedOn w:val="1"/>
    <w:next w:val="1"/>
    <w:semiHidden/>
    <w:qFormat/>
    <w:uiPriority w:val="99"/>
    <w:pPr>
      <w:ind w:left="1680"/>
    </w:pPr>
    <w:rPr>
      <w:rFonts w:ascii="Times New Roman" w:hAnsi="Times New Roman"/>
      <w:szCs w:val="24"/>
    </w:rPr>
  </w:style>
  <w:style w:type="paragraph" w:styleId="3">
    <w:name w:val="annotation text"/>
    <w:basedOn w:val="1"/>
    <w:qFormat/>
    <w:uiPriority w:val="0"/>
    <w:pPr>
      <w:jc w:val="left"/>
    </w:pPr>
  </w:style>
  <w:style w:type="paragraph" w:styleId="4">
    <w:name w:val="Balloon Text"/>
    <w:basedOn w:val="1"/>
    <w:link w:val="10"/>
    <w:semiHidden/>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批注框文本 字符"/>
    <w:link w:val="4"/>
    <w:semiHidden/>
    <w:qFormat/>
    <w:locked/>
    <w:uiPriority w:val="99"/>
    <w:rPr>
      <w:rFonts w:cs="Times New Roman"/>
      <w:sz w:val="18"/>
      <w:szCs w:val="18"/>
    </w:rPr>
  </w:style>
  <w:style w:type="character" w:customStyle="1" w:styleId="11">
    <w:name w:val="页脚 字符"/>
    <w:link w:val="5"/>
    <w:qFormat/>
    <w:locked/>
    <w:uiPriority w:val="99"/>
    <w:rPr>
      <w:rFonts w:cs="Times New Roman"/>
      <w:sz w:val="18"/>
      <w:szCs w:val="18"/>
    </w:rPr>
  </w:style>
  <w:style w:type="character" w:customStyle="1" w:styleId="12">
    <w:name w:val="页眉 字符"/>
    <w:link w:val="6"/>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列出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4490</Words>
  <Characters>4862</Characters>
  <Lines>31</Lines>
  <Paragraphs>8</Paragraphs>
  <TotalTime>0</TotalTime>
  <ScaleCrop>false</ScaleCrop>
  <LinksUpToDate>false</LinksUpToDate>
  <CharactersWithSpaces>4881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2021-08-17T07:06:00Z</cp:lastPrinted>
  <dcterms:modified xsi:type="dcterms:W3CDTF">2023-10-05T14:52:14Z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C12BAF425B8E4505A9E367D40E3DB661_13</vt:lpwstr>
  </property>
</Properties>
</file>