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bidi w:val="0"/>
        <w:snapToGrid/>
        <w:spacing w:line="600" w:lineRule="exact"/>
        <w:ind w:firstLine="960" w:firstLineChars="200"/>
        <w:jc w:val="center"/>
        <w:textAlignment w:val="auto"/>
        <w:rPr>
          <w:rFonts w:hint="eastAsia" w:ascii="黑体" w:hAnsi="黑体" w:eastAsia="黑体" w:cs="黑体"/>
          <w:sz w:val="48"/>
          <w:szCs w:val="48"/>
        </w:rPr>
      </w:pPr>
      <w:r>
        <w:rPr>
          <w:rFonts w:hint="eastAsia" w:ascii="黑体" w:hAnsi="黑体" w:eastAsia="黑体" w:cs="黑体"/>
          <w:sz w:val="48"/>
          <w:szCs w:val="48"/>
        </w:rPr>
        <w:t>2021年度怀化市建设工程造价管理站部门决算</w:t>
      </w:r>
    </w:p>
    <w:p>
      <w:pPr>
        <w:pStyle w:val="13"/>
        <w:keepNext w:val="0"/>
        <w:keepLines w:val="0"/>
        <w:pageBreakBefore w:val="0"/>
        <w:widowControl w:val="0"/>
        <w:kinsoku/>
        <w:wordWrap/>
        <w:overflowPunct/>
        <w:topLinePunct w:val="0"/>
        <w:bidi w:val="0"/>
        <w:snapToGrid/>
        <w:spacing w:line="600" w:lineRule="exact"/>
        <w:ind w:firstLine="960" w:firstLineChars="200"/>
        <w:jc w:val="center"/>
        <w:textAlignment w:val="auto"/>
        <w:rPr>
          <w:rFonts w:hint="eastAsia" w:ascii="黑体" w:hAnsi="黑体" w:eastAsia="黑体" w:cs="黑体"/>
          <w:sz w:val="48"/>
          <w:szCs w:val="48"/>
        </w:rPr>
      </w:pPr>
    </w:p>
    <w:p>
      <w:pPr>
        <w:pStyle w:val="13"/>
        <w:keepNext w:val="0"/>
        <w:keepLines w:val="0"/>
        <w:pageBreakBefore w:val="0"/>
        <w:widowControl w:val="0"/>
        <w:kinsoku/>
        <w:wordWrap/>
        <w:overflowPunct/>
        <w:topLinePunct w:val="0"/>
        <w:bidi w:val="0"/>
        <w:snapToGrid/>
        <w:spacing w:line="600" w:lineRule="exact"/>
        <w:ind w:firstLine="720" w:firstLineChars="200"/>
        <w:jc w:val="center"/>
        <w:textAlignment w:val="auto"/>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3"/>
        <w:keepNext w:val="0"/>
        <w:keepLines w:val="0"/>
        <w:pageBreakBefore w:val="0"/>
        <w:widowControl w:val="0"/>
        <w:kinsoku/>
        <w:wordWrap/>
        <w:overflowPunct/>
        <w:topLinePunct w:val="0"/>
        <w:bidi w:val="0"/>
        <w:snapToGrid/>
        <w:spacing w:line="600" w:lineRule="exact"/>
        <w:ind w:firstLine="720" w:firstLineChars="200"/>
        <w:textAlignment w:val="auto"/>
        <w:rPr>
          <w:b/>
          <w:sz w:val="36"/>
          <w:szCs w:val="28"/>
        </w:rPr>
      </w:pP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cs="仿宋_GB2312"/>
          <w:b/>
          <w:bCs w:val="0"/>
          <w:sz w:val="32"/>
          <w:szCs w:val="32"/>
        </w:rPr>
      </w:pPr>
      <w:r>
        <w:rPr>
          <w:rFonts w:hint="eastAsia"/>
          <w:b/>
          <w:bCs w:val="0"/>
          <w:sz w:val="32"/>
          <w:szCs w:val="32"/>
        </w:rPr>
        <w:t>第一部分</w:t>
      </w:r>
      <w:r>
        <w:rPr>
          <w:rFonts w:hint="eastAsia"/>
          <w:b/>
          <w:bCs w:val="0"/>
          <w:sz w:val="32"/>
          <w:szCs w:val="32"/>
          <w:lang w:val="en-US" w:eastAsia="zh-CN"/>
        </w:rPr>
        <w:t xml:space="preserve"> </w:t>
      </w:r>
      <w:r>
        <w:rPr>
          <w:rFonts w:hint="eastAsia" w:ascii="黑体" w:hAnsi="黑体" w:eastAsia="黑体" w:cs="黑体"/>
          <w:b/>
          <w:bCs w:val="0"/>
          <w:sz w:val="32"/>
          <w:szCs w:val="32"/>
        </w:rPr>
        <w:t>怀化市建设工程造价管理站部门</w:t>
      </w:r>
      <w:r>
        <w:rPr>
          <w:rFonts w:hint="eastAsia"/>
          <w:b/>
          <w:bCs w:val="0"/>
          <w:sz w:val="32"/>
          <w:szCs w:val="32"/>
        </w:rPr>
        <w:t>概况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cs="仿宋_GB2312"/>
          <w:b/>
          <w:sz w:val="32"/>
          <w:szCs w:val="32"/>
        </w:rPr>
      </w:pPr>
      <w:r>
        <w:rPr>
          <w:rFonts w:hint="eastAsia" w:hAnsi="仿宋_GB2312"/>
          <w:b/>
          <w:sz w:val="32"/>
          <w:szCs w:val="32"/>
        </w:rPr>
        <w:t>第二部分</w:t>
      </w:r>
      <w:r>
        <w:rPr>
          <w:rFonts w:hint="eastAsia" w:hAnsi="仿宋_GB2312"/>
          <w:b/>
          <w:sz w:val="32"/>
          <w:szCs w:val="32"/>
          <w:lang w:val="en-US" w:eastAsia="zh-CN"/>
        </w:rPr>
        <w:t xml:space="preserve"> </w:t>
      </w:r>
      <w:r>
        <w:rPr>
          <w:rFonts w:hAnsi="仿宋_GB2312"/>
          <w:b/>
          <w:sz w:val="32"/>
          <w:szCs w:val="32"/>
        </w:rPr>
        <w:t>20</w:t>
      </w:r>
      <w:r>
        <w:rPr>
          <w:rFonts w:hint="eastAsia" w:hAnsi="仿宋_GB2312"/>
          <w:b/>
          <w:sz w:val="32"/>
          <w:szCs w:val="32"/>
        </w:rPr>
        <w:t>21年度部门决算表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cs="仿宋_GB2312"/>
          <w:b/>
          <w:sz w:val="32"/>
          <w:szCs w:val="32"/>
        </w:rPr>
      </w:pPr>
      <w:r>
        <w:rPr>
          <w:rFonts w:hint="eastAsia" w:hAnsi="仿宋_GB2312"/>
          <w:b/>
          <w:sz w:val="32"/>
          <w:szCs w:val="32"/>
        </w:rPr>
        <w:t>第三部分</w:t>
      </w:r>
      <w:r>
        <w:rPr>
          <w:rFonts w:hint="eastAsia" w:hAnsi="仿宋_GB2312"/>
          <w:b/>
          <w:sz w:val="32"/>
          <w:szCs w:val="32"/>
          <w:lang w:val="en-US" w:eastAsia="zh-CN"/>
        </w:rPr>
        <w:t xml:space="preserve"> </w:t>
      </w:r>
      <w:r>
        <w:rPr>
          <w:rFonts w:hAnsi="仿宋_GB2312"/>
          <w:b/>
          <w:sz w:val="32"/>
          <w:szCs w:val="32"/>
        </w:rPr>
        <w:t>20</w:t>
      </w:r>
      <w:r>
        <w:rPr>
          <w:rFonts w:hint="eastAsia" w:hAnsi="仿宋_GB2312"/>
          <w:b/>
          <w:sz w:val="32"/>
          <w:szCs w:val="32"/>
        </w:rPr>
        <w:t>21年度部门决算情况说明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十四.关于2021年度预算绩效情况说明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黑体"/>
          <w:b/>
          <w:color w:val="000000"/>
          <w:kern w:val="0"/>
          <w:sz w:val="32"/>
          <w:szCs w:val="32"/>
        </w:rPr>
      </w:pPr>
      <w:r>
        <w:rPr>
          <w:rFonts w:ascii="黑体" w:hAnsi="黑体" w:eastAsia="黑体" w:cs="黑体"/>
          <w:b/>
          <w:color w:val="000000"/>
          <w:kern w:val="0"/>
          <w:sz w:val="32"/>
          <w:szCs w:val="32"/>
        </w:rPr>
        <w:t>第四部分</w:t>
      </w:r>
      <w:r>
        <w:rPr>
          <w:rFonts w:hint="eastAsia" w:ascii="黑体" w:hAnsi="黑体" w:eastAsia="黑体" w:cs="黑体"/>
          <w:b/>
          <w:color w:val="000000"/>
          <w:kern w:val="0"/>
          <w:sz w:val="32"/>
          <w:szCs w:val="32"/>
          <w:lang w:val="en-US" w:eastAsia="zh-CN"/>
        </w:rPr>
        <w:t xml:space="preserve"> </w:t>
      </w:r>
      <w:r>
        <w:rPr>
          <w:rFonts w:ascii="黑体" w:hAnsi="黑体" w:eastAsia="黑体" w:cs="黑体"/>
          <w:b/>
          <w:color w:val="000000"/>
          <w:kern w:val="0"/>
          <w:sz w:val="32"/>
          <w:szCs w:val="32"/>
        </w:rPr>
        <w:t>名</w:t>
      </w:r>
      <w:r>
        <w:rPr>
          <w:rFonts w:hint="eastAsia" w:ascii="黑体" w:hAnsi="黑体" w:eastAsia="黑体" w:cs="黑体"/>
          <w:b/>
          <w:color w:val="000000"/>
          <w:kern w:val="0"/>
          <w:sz w:val="32"/>
          <w:szCs w:val="32"/>
        </w:rPr>
        <w:t>称</w:t>
      </w:r>
      <w:r>
        <w:rPr>
          <w:rFonts w:ascii="黑体" w:hAnsi="黑体" w:eastAsia="黑体" w:cs="黑体"/>
          <w:b/>
          <w:color w:val="000000"/>
          <w:kern w:val="0"/>
          <w:sz w:val="32"/>
          <w:szCs w:val="32"/>
        </w:rPr>
        <w:t>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第五部分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附件</w:t>
      </w:r>
    </w:p>
    <w:p>
      <w:pPr>
        <w:pStyle w:val="2"/>
      </w:pPr>
    </w:p>
    <w:p>
      <w:pPr>
        <w:pStyle w:val="13"/>
        <w:numPr>
          <w:ilvl w:val="0"/>
          <w:numId w:val="1"/>
        </w:numPr>
        <w:jc w:val="center"/>
        <w:rPr>
          <w:rFonts w:hint="eastAsia" w:ascii="黑体" w:hAnsi="黑体" w:eastAsia="黑体" w:cs="黑体"/>
          <w:b/>
          <w:bCs/>
          <w:sz w:val="44"/>
          <w:szCs w:val="44"/>
        </w:rPr>
      </w:pPr>
      <w:r>
        <w:rPr>
          <w:rFonts w:hint="eastAsia" w:ascii="黑体" w:hAnsi="黑体" w:eastAsia="黑体" w:cs="黑体"/>
          <w:b/>
          <w:bCs/>
          <w:sz w:val="44"/>
          <w:szCs w:val="44"/>
        </w:rPr>
        <w:t>怀化市建设工程造价管理站概况</w:t>
      </w:r>
    </w:p>
    <w:p>
      <w:pPr>
        <w:pStyle w:val="13"/>
        <w:numPr>
          <w:ilvl w:val="0"/>
          <w:numId w:val="0"/>
        </w:numPr>
        <w:jc w:val="center"/>
        <w:rPr>
          <w:rFonts w:hint="eastAsia" w:ascii="黑体" w:hAnsi="黑体" w:eastAsia="黑体" w:cs="黑体"/>
          <w:b/>
          <w:bCs/>
          <w:sz w:val="44"/>
          <w:szCs w:val="44"/>
        </w:rPr>
      </w:pPr>
    </w:p>
    <w:p>
      <w:pPr>
        <w:keepNext w:val="0"/>
        <w:keepLines w:val="0"/>
        <w:pageBreakBefore w:val="0"/>
        <w:widowControl w:val="0"/>
        <w:kinsoku/>
        <w:wordWrap/>
        <w:overflowPunct/>
        <w:topLinePunct w:val="0"/>
        <w:bidi w:val="0"/>
        <w:snapToGrid/>
        <w:spacing w:line="600" w:lineRule="exact"/>
        <w:ind w:firstLine="800" w:firstLineChars="25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部门职责</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（一）负责全市建设工程造价、计价依据原统一管理，对全市工程造价从业人员举行工造量清单学习；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（二）监督检查工程承发包价格和工程结算管理工作，监督检查计价的规范执行情况；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（三）对工程造价咨询单位进行资质核准和从业管理；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（四）对工程造价师进行注册，继续教育及从业管理；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（五）组织编制和琮理本市县区的建设工程人工、材料、设备和施工企业平增多利润率、工程造价平均指数、材料价格变化趋势、价格等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（六）分析已完工程造价咨询，建立和管理定额及工程造价数据库管理工程造价进行鉴定；</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（七）负责全市计价依据的解释工作，协调有关工程建设方面争议、纠纷，对工程造价进行鉴定;</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（八）对使用国有资金或国有资金为主的建设工程造价进行监督管理;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（九）对建设工程施工合同、监理合同进行备案；</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（十）负责国有资金或者国有资金为主的建设工程竣工结算；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（十一）依法查处违法工程造价管理规定的行为；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（十二）指导各县市及交通、水利、人防等专业工程造价定额管理机构的工作。</w:t>
      </w:r>
    </w:p>
    <w:p>
      <w:pPr>
        <w:widowControl/>
        <w:spacing w:line="600" w:lineRule="exact"/>
        <w:ind w:firstLine="640" w:firstLineChars="200"/>
        <w:rPr>
          <w:rFonts w:ascii="黑体" w:hAnsi="黑体" w:eastAsia="黑体"/>
          <w:b w:val="0"/>
          <w:bCs/>
          <w:kern w:val="0"/>
          <w:sz w:val="32"/>
          <w:szCs w:val="32"/>
        </w:rPr>
      </w:pPr>
      <w:r>
        <w:rPr>
          <w:rFonts w:hint="eastAsia" w:ascii="黑体" w:hAnsi="黑体" w:eastAsia="黑体"/>
          <w:b w:val="0"/>
          <w:bCs/>
          <w:kern w:val="0"/>
          <w:sz w:val="32"/>
          <w:szCs w:val="32"/>
        </w:rPr>
        <w:t>二、机构设置及决算单位构成</w:t>
      </w:r>
    </w:p>
    <w:p>
      <w:pPr>
        <w:widowControl/>
        <w:spacing w:line="600" w:lineRule="exact"/>
        <w:ind w:firstLine="640" w:firstLineChars="200"/>
        <w:rPr>
          <w:rFonts w:hint="eastAsia" w:ascii="仿宋" w:hAnsi="仿宋" w:eastAsia="仿宋" w:cs="仿宋"/>
          <w:color w:val="auto"/>
          <w:spacing w:val="-2"/>
          <w:sz w:val="32"/>
          <w:szCs w:val="32"/>
          <w:highlight w:val="none"/>
        </w:rPr>
      </w:pPr>
      <w:r>
        <w:rPr>
          <w:rFonts w:hint="eastAsia" w:ascii="仿宋" w:hAnsi="仿宋" w:eastAsia="仿宋" w:cs="仿宋"/>
          <w:b/>
          <w:bCs w:val="0"/>
          <w:kern w:val="0"/>
          <w:sz w:val="32"/>
          <w:szCs w:val="32"/>
        </w:rPr>
        <w:t>（一）内设机</w:t>
      </w:r>
      <w:r>
        <w:rPr>
          <w:rFonts w:hint="eastAsia" w:ascii="仿宋" w:hAnsi="仿宋" w:eastAsia="仿宋" w:cs="仿宋"/>
          <w:b/>
          <w:bCs w:val="0"/>
          <w:color w:val="auto"/>
          <w:kern w:val="0"/>
          <w:sz w:val="32"/>
          <w:szCs w:val="32"/>
          <w:highlight w:val="none"/>
        </w:rPr>
        <w:t>构设置。</w:t>
      </w:r>
      <w:r>
        <w:rPr>
          <w:rFonts w:hint="eastAsia" w:ascii="仿宋" w:hAnsi="仿宋" w:eastAsia="仿宋" w:cs="仿宋"/>
          <w:color w:val="auto"/>
          <w:spacing w:val="-2"/>
          <w:sz w:val="32"/>
          <w:szCs w:val="32"/>
          <w:highlight w:val="none"/>
        </w:rPr>
        <w:t>本单位是个财政全额拨款事业单位，属于怀化市住房和城乡建设局二级机构。</w:t>
      </w:r>
    </w:p>
    <w:p>
      <w:pPr>
        <w:widowControl/>
        <w:spacing w:line="600" w:lineRule="exact"/>
        <w:ind w:firstLine="640" w:firstLineChars="200"/>
        <w:rPr>
          <w:rFonts w:hint="eastAsia" w:ascii="仿宋" w:hAnsi="仿宋" w:eastAsia="仿宋" w:cs="仿宋"/>
          <w:bCs/>
          <w:color w:val="auto"/>
          <w:kern w:val="0"/>
          <w:sz w:val="32"/>
          <w:szCs w:val="32"/>
          <w:highlight w:val="none"/>
        </w:rPr>
      </w:pPr>
      <w:r>
        <w:rPr>
          <w:rFonts w:hint="eastAsia" w:ascii="仿宋" w:hAnsi="仿宋" w:eastAsia="仿宋" w:cs="仿宋"/>
          <w:b/>
          <w:bCs w:val="0"/>
          <w:color w:val="auto"/>
          <w:kern w:val="0"/>
          <w:sz w:val="32"/>
          <w:szCs w:val="32"/>
          <w:highlight w:val="none"/>
        </w:rPr>
        <w:t>（二）决算单位构成。</w:t>
      </w:r>
      <w:r>
        <w:rPr>
          <w:rFonts w:hint="eastAsia" w:ascii="仿宋" w:hAnsi="仿宋" w:eastAsia="仿宋" w:cs="仿宋"/>
          <w:bCs/>
          <w:color w:val="auto"/>
          <w:kern w:val="0"/>
          <w:sz w:val="32"/>
          <w:szCs w:val="32"/>
          <w:highlight w:val="none"/>
        </w:rPr>
        <w:t>怀化市建设工程造价管理站202</w:t>
      </w:r>
      <w:r>
        <w:rPr>
          <w:rFonts w:hint="eastAsia" w:ascii="仿宋" w:hAnsi="仿宋" w:eastAsia="仿宋" w:cs="仿宋"/>
          <w:bCs/>
          <w:color w:val="auto"/>
          <w:kern w:val="0"/>
          <w:sz w:val="32"/>
          <w:szCs w:val="32"/>
          <w:highlight w:val="none"/>
          <w:lang w:val="en-US" w:eastAsia="zh-CN"/>
        </w:rPr>
        <w:t>1</w:t>
      </w:r>
      <w:r>
        <w:rPr>
          <w:rFonts w:hint="eastAsia" w:ascii="仿宋" w:hAnsi="仿宋" w:eastAsia="仿宋" w:cs="仿宋"/>
          <w:bCs/>
          <w:color w:val="auto"/>
          <w:kern w:val="0"/>
          <w:sz w:val="32"/>
          <w:szCs w:val="32"/>
          <w:highlight w:val="none"/>
        </w:rPr>
        <w:t>年部门决算汇总公开单位构成包括：怀化市建设工程造价管理站本级。</w:t>
      </w:r>
    </w:p>
    <w:p>
      <w:pPr>
        <w:jc w:val="both"/>
        <w:rPr>
          <w:rFonts w:ascii="黑体" w:hAnsi="黑体" w:eastAsia="黑体"/>
          <w:color w:val="auto"/>
          <w:sz w:val="28"/>
          <w:szCs w:val="28"/>
          <w:highlight w:val="none"/>
        </w:rPr>
      </w:pPr>
    </w:p>
    <w:p>
      <w:pPr>
        <w:pStyle w:val="13"/>
        <w:jc w:val="center"/>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第二部分</w:t>
      </w:r>
      <w:r>
        <w:rPr>
          <w:rFonts w:hint="eastAsia" w:ascii="黑体" w:hAnsi="黑体" w:eastAsia="黑体" w:cs="黑体"/>
          <w:b/>
          <w:color w:val="auto"/>
          <w:sz w:val="44"/>
          <w:szCs w:val="44"/>
          <w:highlight w:val="none"/>
          <w:lang w:val="en-US" w:eastAsia="zh-CN"/>
        </w:rPr>
        <w:t xml:space="preserve"> </w:t>
      </w:r>
      <w:r>
        <w:rPr>
          <w:rFonts w:hint="eastAsia" w:ascii="黑体" w:hAnsi="黑体" w:eastAsia="黑体" w:cs="黑体"/>
          <w:b/>
          <w:color w:val="auto"/>
          <w:sz w:val="44"/>
          <w:szCs w:val="44"/>
          <w:highlight w:val="none"/>
        </w:rPr>
        <w:t>2021年度部门决算表</w:t>
      </w:r>
    </w:p>
    <w:p>
      <w:pPr>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详情见附件）</w:t>
      </w:r>
    </w:p>
    <w:p>
      <w:pPr>
        <w:pStyle w:val="13"/>
        <w:ind w:firstLine="640" w:firstLineChars="200"/>
        <w:jc w:val="center"/>
        <w:rPr>
          <w:rFonts w:asciiTheme="minorEastAsia" w:hAnsiTheme="minorEastAsia" w:eastAsiaTheme="minorEastAsia" w:cstheme="minorBidi"/>
          <w:b/>
          <w:color w:val="auto"/>
          <w:sz w:val="32"/>
          <w:szCs w:val="32"/>
          <w:highlight w:val="none"/>
        </w:rPr>
      </w:pPr>
    </w:p>
    <w:p>
      <w:pPr>
        <w:pStyle w:val="13"/>
        <w:numPr>
          <w:ilvl w:val="0"/>
          <w:numId w:val="0"/>
        </w:numPr>
        <w:ind w:leftChars="0"/>
        <w:jc w:val="center"/>
        <w:rPr>
          <w:rFonts w:hint="eastAsia" w:ascii="黑体" w:hAnsi="黑体" w:eastAsia="黑体" w:cs="黑体"/>
          <w:b/>
          <w:bCs w:val="0"/>
          <w:color w:val="auto"/>
          <w:sz w:val="44"/>
          <w:szCs w:val="44"/>
          <w:highlight w:val="none"/>
        </w:rPr>
      </w:pPr>
      <w:r>
        <w:rPr>
          <w:rFonts w:hint="eastAsia" w:hAnsi="黑体" w:cs="黑体"/>
          <w:b/>
          <w:bCs w:val="0"/>
          <w:color w:val="auto"/>
          <w:sz w:val="44"/>
          <w:szCs w:val="44"/>
          <w:highlight w:val="none"/>
          <w:lang w:val="en-US" w:eastAsia="zh-CN"/>
        </w:rPr>
        <w:t xml:space="preserve">第三部分 </w:t>
      </w:r>
      <w:r>
        <w:rPr>
          <w:rFonts w:hint="eastAsia" w:ascii="黑体" w:hAnsi="黑体" w:eastAsia="黑体" w:cs="黑体"/>
          <w:b/>
          <w:bCs w:val="0"/>
          <w:color w:val="auto"/>
          <w:sz w:val="44"/>
          <w:szCs w:val="44"/>
          <w:highlight w:val="none"/>
        </w:rPr>
        <w:t>2021年度部门决算情况说明</w:t>
      </w:r>
    </w:p>
    <w:p>
      <w:pPr>
        <w:pStyle w:val="13"/>
        <w:numPr>
          <w:ilvl w:val="0"/>
          <w:numId w:val="0"/>
        </w:numPr>
        <w:ind w:leftChars="0"/>
        <w:jc w:val="both"/>
        <w:rPr>
          <w:rFonts w:hint="eastAsia" w:ascii="黑体" w:hAnsi="黑体" w:eastAsia="黑体" w:cs="黑体"/>
          <w:b/>
          <w:bCs w:val="0"/>
          <w:color w:val="auto"/>
          <w:sz w:val="44"/>
          <w:szCs w:val="44"/>
          <w:highlight w:val="none"/>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sz w:val="32"/>
          <w:szCs w:val="32"/>
          <w:highlight w:val="none"/>
        </w:rPr>
        <w:t>一、收入支出决算总体情况说明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2021年度收、支总计</w:t>
      </w:r>
      <w:r>
        <w:rPr>
          <w:rFonts w:hint="eastAsia" w:ascii="仿宋" w:hAnsi="仿宋" w:eastAsia="仿宋" w:cs="仿宋"/>
          <w:color w:val="auto"/>
          <w:sz w:val="32"/>
          <w:szCs w:val="32"/>
          <w:highlight w:val="none"/>
          <w:lang w:val="en-US" w:eastAsia="zh-CN"/>
        </w:rPr>
        <w:t>各</w:t>
      </w:r>
      <w:r>
        <w:rPr>
          <w:rFonts w:hint="eastAsia" w:ascii="仿宋" w:hAnsi="仿宋" w:eastAsia="仿宋" w:cs="仿宋"/>
          <w:color w:val="auto"/>
          <w:sz w:val="32"/>
          <w:szCs w:val="32"/>
          <w:highlight w:val="none"/>
        </w:rPr>
        <w:t>351.95万元。与上年相比，增加57.20万元，增长19.41%，主要是因为怀化市建筑设计研究院改制，近五年内即将退休人员的养老保险、医保、年金由本造价站代收代缴所致。</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二、收入决算情况说明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2021年度收入合计350.17万元，其中：财政拨款收入288.80万元，占82.47%；上级补助收入0万元，占0%；事业收入0万元，占0%；经营收入0万元，占0%；附属单位上缴收入0万元，占0%；其他收入61.37万元，占17.</w:t>
      </w:r>
      <w:r>
        <w:rPr>
          <w:rFonts w:hint="eastAsia" w:ascii="仿宋" w:hAnsi="仿宋" w:eastAsia="仿宋" w:cs="仿宋"/>
          <w:color w:val="auto"/>
          <w:sz w:val="32"/>
          <w:szCs w:val="32"/>
          <w:highlight w:val="none"/>
          <w:lang w:val="en-US" w:eastAsia="zh-CN"/>
        </w:rPr>
        <w:t>53</w:t>
      </w:r>
      <w:r>
        <w:rPr>
          <w:rFonts w:hint="eastAsia" w:ascii="仿宋" w:hAnsi="仿宋" w:eastAsia="仿宋" w:cs="仿宋"/>
          <w:color w:val="auto"/>
          <w:sz w:val="32"/>
          <w:szCs w:val="32"/>
          <w:highlight w:val="none"/>
        </w:rPr>
        <w:t>%。</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三、支出决算情况说明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2021年度支出合计351.95万元，其中：基本支出317.69万元，占90.2</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%；项目支出34.26万元，占9.73%；上缴上级支出0万元，占0%；经营支出0万元，占0%；对附属单位补助支出0万元，占0%。</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四、财政拨款收入支出决算总体情况说明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2021年度财政拨款收、支总计</w:t>
      </w:r>
      <w:r>
        <w:rPr>
          <w:rFonts w:hint="eastAsia" w:ascii="仿宋" w:hAnsi="仿宋" w:eastAsia="仿宋" w:cs="仿宋"/>
          <w:color w:val="auto"/>
          <w:sz w:val="32"/>
          <w:szCs w:val="32"/>
          <w:highlight w:val="none"/>
          <w:lang w:val="en-US" w:eastAsia="zh-CN"/>
        </w:rPr>
        <w:t>各</w:t>
      </w:r>
      <w:r>
        <w:rPr>
          <w:rFonts w:hint="eastAsia" w:ascii="仿宋" w:hAnsi="仿宋" w:eastAsia="仿宋" w:cs="仿宋"/>
          <w:color w:val="auto"/>
          <w:sz w:val="32"/>
          <w:szCs w:val="32"/>
          <w:highlight w:val="none"/>
        </w:rPr>
        <w:t>289.11万元，与上年相比，减少4.87万元,减少1.66%，主要是因为减少了1人，相应的费用减少。</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五、一般公共预算财政拨款支出决算情况说明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（一）财政拨款支出决算总体情况</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2021年度财政拨款支出289.11万元，占本年支出合计的82</w:t>
      </w:r>
      <w:r>
        <w:rPr>
          <w:rFonts w:hint="eastAsia" w:ascii="仿宋" w:hAnsi="仿宋" w:eastAsia="仿宋" w:cs="仿宋"/>
          <w:color w:val="auto"/>
          <w:sz w:val="32"/>
          <w:szCs w:val="32"/>
          <w:highlight w:val="none"/>
          <w:lang w:val="en-US" w:eastAsia="zh-CN"/>
        </w:rPr>
        <w:t>.47</w:t>
      </w:r>
      <w:r>
        <w:rPr>
          <w:rFonts w:hint="eastAsia" w:ascii="仿宋" w:hAnsi="仿宋" w:eastAsia="仿宋" w:cs="仿宋"/>
          <w:color w:val="auto"/>
          <w:sz w:val="32"/>
          <w:szCs w:val="32"/>
          <w:highlight w:val="none"/>
        </w:rPr>
        <w:t>%，与上年相比，财政拨款支出增加2.84万元，增长0.99%，主要是因为项目支出增加。</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（二）财政拨款支出决算结构情况</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2021年度财政拨款支出289.11万元，主要用于以下方面：社会保障和就业支出（类）32.19万元，占11.1</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%；卫生健康支出（类）10.40万元，占3.60%;城乡社区支出（类）242.</w:t>
      </w:r>
      <w:r>
        <w:rPr>
          <w:rFonts w:hint="eastAsia" w:ascii="仿宋" w:hAnsi="仿宋" w:eastAsia="仿宋" w:cs="仿宋"/>
          <w:color w:val="auto"/>
          <w:sz w:val="32"/>
          <w:szCs w:val="32"/>
          <w:highlight w:val="none"/>
          <w:lang w:val="en-US" w:eastAsia="zh-CN"/>
        </w:rPr>
        <w:t>42</w:t>
      </w:r>
      <w:r>
        <w:rPr>
          <w:rFonts w:hint="eastAsia" w:ascii="仿宋" w:hAnsi="仿宋" w:eastAsia="仿宋" w:cs="仿宋"/>
          <w:color w:val="auto"/>
          <w:sz w:val="32"/>
          <w:szCs w:val="32"/>
          <w:highlight w:val="none"/>
        </w:rPr>
        <w:t>万元，占83.8</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%，资源勘探工业信息等支出（类）4.11万元，占1.42%。</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（三）财政拨款支出决算具体情况</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2021年度财政拨款支出年初预算数为210.47万元，支出决算数为289.11万元，完成年初预算的137.36%，其中：</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1、社会保障和就业支出（类）行政事业单位养老支出（款）事业单位离退休（项）。</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年初预算为0.78万元，支出决算为0.78万元，完成年初预算的100%，决算数等于年初预算数的主要原因是：严格控制支出效果。</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2、社会保障和就业支出（类）行政事业单位养老支出（款）机关事业单位基本养老保险缴费支出（项）。</w:t>
      </w:r>
    </w:p>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bookmarkStart w:id="0" w:name="_Hlk112354990"/>
      <w:r>
        <w:rPr>
          <w:rFonts w:hint="eastAsia" w:ascii="仿宋" w:hAnsi="仿宋" w:eastAsia="仿宋" w:cs="仿宋"/>
          <w:color w:val="auto"/>
          <w:sz w:val="32"/>
          <w:szCs w:val="32"/>
          <w:highlight w:val="none"/>
        </w:rPr>
        <w:t>年初预算为0万元，支出决算为21.39万元，决算数大于年初预算数的主要原因是决算数大于年初预算数的主要原因是：机关事业单位养老保险费支出未纳入年初预算，为财政追加预算支出项目，年中调整预算。</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3、社会保障和就业支出（类）行政事业单位养老支出（款）其他行政事业单位养老支出（项）。</w:t>
      </w:r>
    </w:p>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年初预算为0万元，支出决算为10.01万元，决算数大于年初预算数的主要原因是决算数大于年初预算数的主要原因是：其他行政事业单位养老支出，为财政追加预算支出项目，年中调整预算。</w:t>
      </w:r>
    </w:p>
    <w:bookmarkEnd w:id="0"/>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4、卫生健康支出（类）行政事业单位医疗（款）行政单位医疗（项）。</w:t>
      </w:r>
    </w:p>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bookmarkStart w:id="1" w:name="_Hlk112355382"/>
      <w:r>
        <w:rPr>
          <w:rFonts w:hint="eastAsia" w:ascii="仿宋" w:hAnsi="仿宋" w:eastAsia="仿宋" w:cs="仿宋"/>
          <w:color w:val="auto"/>
          <w:sz w:val="32"/>
          <w:szCs w:val="32"/>
          <w:highlight w:val="none"/>
        </w:rPr>
        <w:t>年初预算为0万元，支出决算为10.40万元，决算数大于年初预算数的主要原因是：行政事业单位医疗支出未纳入年初预算，为财政追加预算支</w:t>
      </w:r>
      <w:bookmarkEnd w:id="1"/>
      <w:r>
        <w:rPr>
          <w:rFonts w:hint="eastAsia" w:ascii="仿宋" w:hAnsi="仿宋" w:eastAsia="仿宋" w:cs="仿宋"/>
          <w:color w:val="auto"/>
          <w:sz w:val="32"/>
          <w:szCs w:val="32"/>
          <w:highlight w:val="none"/>
        </w:rPr>
        <w:t>。</w:t>
      </w:r>
    </w:p>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bookmarkStart w:id="2" w:name="_Hlk112355965"/>
      <w:r>
        <w:rPr>
          <w:rFonts w:hint="eastAsia" w:ascii="仿宋" w:hAnsi="仿宋" w:eastAsia="仿宋" w:cs="仿宋"/>
          <w:color w:val="auto"/>
          <w:sz w:val="32"/>
          <w:szCs w:val="32"/>
          <w:highlight w:val="none"/>
        </w:rPr>
        <w:t>城乡社区支出（类）城乡社区管理事务（款）行政运行（项）。</w:t>
      </w:r>
    </w:p>
    <w:bookmarkEnd w:id="2"/>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bookmarkStart w:id="3" w:name="_Hlk112356029"/>
      <w:r>
        <w:rPr>
          <w:rFonts w:hint="eastAsia" w:ascii="仿宋" w:hAnsi="仿宋" w:eastAsia="仿宋" w:cs="仿宋"/>
          <w:color w:val="auto"/>
          <w:sz w:val="32"/>
          <w:szCs w:val="32"/>
          <w:highlight w:val="none"/>
        </w:rPr>
        <w:t>年初预算为24.00万元，支出决算为208.15万元，完成年初预算的867.29%，决算数大于年初预算数的主要原因是：2021年发放在职人员2020年度奖金未纳入年初预算，年中调整预算。</w:t>
      </w:r>
    </w:p>
    <w:bookmarkEnd w:id="3"/>
    <w:p>
      <w:pPr>
        <w:pStyle w:val="7"/>
        <w:keepNext w:val="0"/>
        <w:keepLines w:val="0"/>
        <w:pageBreakBefore w:val="0"/>
        <w:widowControl/>
        <w:kinsoku/>
        <w:wordWrap/>
        <w:overflowPunct/>
        <w:topLinePunct w:val="0"/>
        <w:bidi w:val="0"/>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w:t>
      </w:r>
      <w:bookmarkStart w:id="4" w:name="_Hlk112356666"/>
      <w:r>
        <w:rPr>
          <w:rFonts w:hint="eastAsia" w:ascii="仿宋" w:hAnsi="仿宋" w:eastAsia="仿宋" w:cs="仿宋"/>
          <w:color w:val="auto"/>
          <w:sz w:val="32"/>
          <w:szCs w:val="32"/>
          <w:highlight w:val="none"/>
        </w:rPr>
        <w:t>城乡社区支出（类）其他城乡社区支出（款）其他城乡社区支出（项）。</w:t>
      </w:r>
    </w:p>
    <w:bookmarkEnd w:id="4"/>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lang w:bidi="ar"/>
        </w:rPr>
      </w:pPr>
      <w:bookmarkStart w:id="5" w:name="_Hlk112356713"/>
      <w:r>
        <w:rPr>
          <w:rFonts w:hint="eastAsia" w:ascii="仿宋" w:hAnsi="仿宋" w:eastAsia="仿宋" w:cs="仿宋"/>
          <w:color w:val="auto"/>
          <w:sz w:val="32"/>
          <w:szCs w:val="32"/>
          <w:highlight w:val="none"/>
          <w:lang w:bidi="ar"/>
        </w:rPr>
        <w:t>年初预算为0万元，支出决算为34.26万元，决算数大于年初预算数的主要原因是：</w:t>
      </w:r>
      <w:bookmarkEnd w:id="5"/>
      <w:r>
        <w:rPr>
          <w:rFonts w:hint="eastAsia" w:ascii="仿宋" w:hAnsi="仿宋" w:eastAsia="仿宋" w:cs="仿宋"/>
          <w:color w:val="auto"/>
          <w:sz w:val="32"/>
          <w:szCs w:val="32"/>
          <w:highlight w:val="none"/>
          <w:lang w:bidi="ar"/>
        </w:rPr>
        <w:t>其他城乡社区支出系项目支出，年初预算的类、款、项目与决算的类、款、项不同。</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val="en-US" w:eastAsia="zh-CN" w:bidi="ar"/>
        </w:rPr>
        <w:t>7</w:t>
      </w:r>
      <w:r>
        <w:rPr>
          <w:rFonts w:hint="eastAsia" w:ascii="仿宋" w:hAnsi="仿宋" w:eastAsia="仿宋" w:cs="仿宋"/>
          <w:color w:val="auto"/>
          <w:sz w:val="32"/>
          <w:szCs w:val="32"/>
          <w:highlight w:val="none"/>
          <w:lang w:bidi="ar"/>
        </w:rPr>
        <w:t>、资源勘探工业信息等支出(类）建筑业（款）行政运行（项）</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年初预算为145.69万元，支出决算为4.11万元，完成年初预算的2.82%，决算数小于年初预算数的主要原因是：预算欠精准。</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
          <w:color w:val="auto"/>
          <w:sz w:val="32"/>
          <w:szCs w:val="32"/>
          <w:highlight w:val="none"/>
        </w:rPr>
      </w:pPr>
      <w:r>
        <w:rPr>
          <w:rFonts w:hint="eastAsia" w:hAnsi="黑体"/>
          <w:b/>
          <w:color w:val="auto"/>
          <w:sz w:val="32"/>
          <w:szCs w:val="32"/>
          <w:highlight w:val="none"/>
        </w:rPr>
        <w:t>六、一般公共预算财政拨款基本支出决算情况说明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i/>
          <w:color w:val="auto"/>
          <w:sz w:val="32"/>
          <w:szCs w:val="32"/>
          <w:highlight w:val="none"/>
        </w:rPr>
      </w:pPr>
      <w:r>
        <w:rPr>
          <w:rFonts w:hint="eastAsia" w:ascii="仿宋" w:hAnsi="仿宋" w:eastAsia="仿宋" w:cs="仿宋"/>
          <w:color w:val="auto"/>
          <w:sz w:val="32"/>
          <w:szCs w:val="32"/>
          <w:highlight w:val="none"/>
        </w:rPr>
        <w:t>2021年度财政拨款基本支出254.85万元，其中：人员经费235.50万元，占基本支出的92.40%,主要包括基本工资、津贴补贴、奖金、绩效工资、生活补助等；公用经费19.3</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万元，占基本支出的7.60%，主要包括办公费、邮电费、差旅费、委托业务费、其他商品和服务支出等。</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
          <w:color w:val="auto"/>
          <w:sz w:val="32"/>
          <w:szCs w:val="32"/>
          <w:highlight w:val="none"/>
        </w:rPr>
      </w:pPr>
      <w:r>
        <w:rPr>
          <w:rFonts w:hint="eastAsia" w:hAnsi="黑体"/>
          <w:b/>
          <w:color w:val="auto"/>
          <w:sz w:val="32"/>
          <w:szCs w:val="32"/>
          <w:highlight w:val="none"/>
        </w:rPr>
        <w:t>七、一般公共预算财政拨款“三公”经费支出决算情况说明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（一）“三公”经费财政拨款支出决算总体情况说明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2021年度“三公”经费财政拨款支出预算为14.30万元，支出决算为0万元，完成预算的0%，其中：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16"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lang w:val="en-US" w:eastAsia="zh-CN"/>
        </w:rPr>
        <w:t>1、</w:t>
      </w:r>
      <w:r>
        <w:rPr>
          <w:rFonts w:hint="eastAsia" w:ascii="仿宋" w:hAnsi="仿宋" w:eastAsia="仿宋" w:cs="仿宋"/>
          <w:color w:val="auto"/>
          <w:spacing w:val="-6"/>
          <w:sz w:val="32"/>
          <w:szCs w:val="32"/>
          <w:highlight w:val="none"/>
        </w:rPr>
        <w:t>因公出国（境）费支出预算为0万元，支出决算为0万元，决算数与年初预算数持平，主要原因按预算执行，与上年数持平，主要原因本年度未安排因公出国（境）。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公务接待费支出预算为</w:t>
      </w:r>
      <w:r>
        <w:rPr>
          <w:rFonts w:hint="eastAsia" w:ascii="仿宋" w:hAnsi="仿宋" w:eastAsia="仿宋" w:cs="仿宋"/>
          <w:color w:val="auto"/>
          <w:sz w:val="32"/>
          <w:szCs w:val="32"/>
          <w:highlight w:val="none"/>
          <w:lang w:val="en-US" w:eastAsia="zh-CN"/>
        </w:rPr>
        <w:t>5.48</w:t>
      </w:r>
      <w:r>
        <w:rPr>
          <w:rFonts w:hint="eastAsia" w:ascii="仿宋" w:hAnsi="仿宋" w:eastAsia="仿宋" w:cs="仿宋"/>
          <w:color w:val="auto"/>
          <w:sz w:val="32"/>
          <w:szCs w:val="32"/>
          <w:highlight w:val="none"/>
        </w:rPr>
        <w:t>万元，支出决算为0万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完成预算的0%，与上年数持平，主要原因是厉行节约。</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公务用车购置费</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pacing w:val="-6"/>
          <w:sz w:val="32"/>
          <w:szCs w:val="32"/>
          <w:highlight w:val="none"/>
        </w:rPr>
        <w:t>维护费支出预算为</w:t>
      </w:r>
      <w:r>
        <w:rPr>
          <w:rFonts w:hint="eastAsia" w:ascii="仿宋" w:hAnsi="仿宋" w:eastAsia="仿宋" w:cs="仿宋"/>
          <w:color w:val="auto"/>
          <w:spacing w:val="-6"/>
          <w:sz w:val="32"/>
          <w:szCs w:val="32"/>
          <w:highlight w:val="none"/>
          <w:lang w:val="en-US" w:eastAsia="zh-CN"/>
        </w:rPr>
        <w:t>8.82</w:t>
      </w:r>
      <w:r>
        <w:rPr>
          <w:rFonts w:hint="eastAsia" w:ascii="仿宋" w:hAnsi="仿宋" w:eastAsia="仿宋" w:cs="仿宋"/>
          <w:color w:val="auto"/>
          <w:spacing w:val="-6"/>
          <w:sz w:val="32"/>
          <w:szCs w:val="32"/>
          <w:highlight w:val="none"/>
        </w:rPr>
        <w:t>万元，支出决算为0万元</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完成预算的0%，</w:t>
      </w:r>
      <w:r>
        <w:rPr>
          <w:rFonts w:hint="eastAsia" w:ascii="仿宋" w:hAnsi="仿宋" w:eastAsia="仿宋" w:cs="仿宋"/>
          <w:i w:val="0"/>
          <w:iCs w:val="0"/>
          <w:caps w:val="0"/>
          <w:color w:val="auto"/>
          <w:spacing w:val="0"/>
          <w:sz w:val="32"/>
          <w:szCs w:val="32"/>
          <w:highlight w:val="none"/>
        </w:rPr>
        <w:t>与上年数持平</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主要原因是厉行节约减少开支</w:t>
      </w:r>
      <w:r>
        <w:rPr>
          <w:rFonts w:hint="eastAsia" w:ascii="仿宋" w:hAnsi="仿宋" w:eastAsia="仿宋" w:cs="仿宋"/>
          <w:i w:val="0"/>
          <w:iCs w:val="0"/>
          <w:caps w:val="0"/>
          <w:color w:val="auto"/>
          <w:spacing w:val="0"/>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2021年度“三公”经费财政拨款支出决算中，公务接待费支出决算0万元，因公出国（境）费支出决算0万元，公务用车购置费及运行维护费支出决算0万元。其中：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1、因公出国（境）费支出决算为0万元，全年安排因公出国（境）团组0个，累计0人次。</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2、公务接待费支出决算为0万元，全年共接待来访团组0个、来宾0人次。</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3、公务用车购置费及运行维护费支出决算为0万元，其中：公务用车购置费0万元，更新公务用车0辆。公务用车运行维护费0万元，截止2021年12月31日，我单位开支财政拨款的公务用车保有量为0辆。</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八、政府性基金预算收入支出决算情况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2021年度本单位无政府性基金预算收支。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九、国有资本经营预算财政拨款支出决算情况说明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2021年度本单位无国有资本经营预算财政拨款支出。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十、机关运行经费支出说明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本部门2021年度机关运行经费支出19.36万元，比年初预算数减少12.31万元，降低61.13%。主要原因是：人员减少1人，压减公用经费。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十一、一般性支出情况说明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2021年本部门开支会议费0万元，开支培训费0.40万元，用于开展业务培训，人数2人，内容为工程造价业务培训。</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十二、政府采购支出说明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2021年度政府采购支出总额0万元，其中：政府采购货物支出0万元、政府采购工程支出0万元、政府采购服务支出0万元。授予中小企业合同金额0万元，占政府采购支出总额的百分比无法计算，其中：授予小微企业合同金额0万元，占政府采购支出总额的百分比无法计算；货物采购授予中小企业合同金额占货物支出金额的百分比无法计算，工程采购授予中小企业合同金额占工程支出金额的百分比无法计算，服务采购授予中小企业合同金额占服务支出金额的百分比无法计算。</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val="0"/>
          <w:bCs/>
          <w:color w:val="auto"/>
          <w:sz w:val="32"/>
          <w:szCs w:val="32"/>
          <w:highlight w:val="none"/>
        </w:rPr>
      </w:pPr>
      <w:bookmarkStart w:id="6" w:name="_GoBack"/>
      <w:bookmarkEnd w:id="6"/>
      <w:r>
        <w:rPr>
          <w:rFonts w:hint="eastAsia" w:hAnsi="黑体"/>
          <w:b w:val="0"/>
          <w:bCs/>
          <w:color w:val="auto"/>
          <w:sz w:val="32"/>
          <w:szCs w:val="32"/>
          <w:highlight w:val="none"/>
        </w:rPr>
        <w:t>十三、国有资产占用情况说明</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2021年12月31日，部门（单位）共有车辆0辆，其中，主要领导干部用车0辆，机要通信用车0辆、应急保障用车0辆、执法执勤用车0辆、特种专业技术用车0辆、其他用车0辆0；单位价值50万元以上通用设备0台（套）；单位价值100万元以上专用设备0台（套）。</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Ansi="黑体"/>
          <w:b w:val="0"/>
          <w:bCs/>
          <w:color w:val="auto"/>
          <w:sz w:val="32"/>
          <w:szCs w:val="32"/>
          <w:highlight w:val="none"/>
        </w:rPr>
      </w:pPr>
      <w:r>
        <w:rPr>
          <w:rFonts w:hint="eastAsia" w:hAnsi="黑体"/>
          <w:b w:val="0"/>
          <w:bCs/>
          <w:color w:val="auto"/>
          <w:sz w:val="32"/>
          <w:szCs w:val="32"/>
          <w:highlight w:val="none"/>
        </w:rPr>
        <w:t>十四、2021年度预算绩效情况说明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（1）绩效管理评价工作开展情况</w:t>
      </w:r>
      <w:r>
        <w:rPr>
          <w:rFonts w:hint="eastAsia" w:ascii="仿宋" w:hAnsi="仿宋" w:eastAsia="仿宋" w:cs="仿宋"/>
          <w:color w:val="auto"/>
          <w:kern w:val="0"/>
          <w:sz w:val="32"/>
          <w:szCs w:val="32"/>
          <w:highlight w:val="none"/>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根据预算绩效管理要求，我部门组织对2021年度一般公共预算项目支出全面开展绩效自评，共涉及资金40万元，占一般公共预算项目支出总额的100%。2021年度无政府性基金预算项目支出，2021年度无国有资本经营预算项目支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组织对《怀化工程造价》刊物编辑发行经费专项资金开展了部门评价，涉及一般公共预算支出40万元，无政府性基金预算支出，无国有资本经营预算支出。从评价情况来看，评价形成了客观、准确、全面、完整的绩效自评报告。</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组织对怀化市建设工程造价管理站开展整体支出绩效评价，涉及一般公共预算支出351.95万元，无政府性基金预算支出。从评价情况来看，评价形成了客观、准确、全面、完整的绩效自评报告。</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（2）部门决算中项目绩效自评结果。</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怀化工程造价》刊物编制项目绩效自评综述：根据年初设定的绩效目标，项目绩效自评得分为96分。项目全年预算数为40万元，执行数为34.26万元，完成预算的85.65%。项目绩效目标完成情况：1、全年共计上报月监测表24次。2、对企业补录、更正的数据及时审核公示500条。3、对本地区造价咨询企业上报的2200条统计数据进行认真审核与汇总，形成建设工程造价指标后通过国家监测平台上报省造价总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（3）部门评价项目绩效评价结果。</w:t>
      </w:r>
    </w:p>
    <w:p>
      <w:pPr>
        <w:pStyle w:val="13"/>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部门评价报告已在财政网上公开。</w:t>
      </w:r>
    </w:p>
    <w:p>
      <w:pPr>
        <w:pStyle w:val="13"/>
        <w:ind w:firstLine="960" w:firstLineChars="300"/>
        <w:jc w:val="both"/>
        <w:rPr>
          <w:rFonts w:asciiTheme="minorEastAsia" w:hAnsiTheme="minorEastAsia" w:eastAsiaTheme="minorEastAsia"/>
          <w:color w:val="auto"/>
          <w:sz w:val="32"/>
          <w:szCs w:val="32"/>
          <w:highlight w:val="none"/>
        </w:rPr>
      </w:pPr>
    </w:p>
    <w:p>
      <w:pPr>
        <w:pStyle w:val="13"/>
        <w:numPr>
          <w:ilvl w:val="0"/>
          <w:numId w:val="0"/>
        </w:numPr>
        <w:jc w:val="center"/>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lang w:val="en-US" w:eastAsia="zh-CN"/>
        </w:rPr>
        <w:t xml:space="preserve">第四部分 </w:t>
      </w:r>
      <w:r>
        <w:rPr>
          <w:rFonts w:hint="eastAsia" w:ascii="黑体" w:hAnsi="黑体" w:eastAsia="黑体" w:cs="黑体"/>
          <w:b w:val="0"/>
          <w:bCs/>
          <w:color w:val="auto"/>
          <w:sz w:val="44"/>
          <w:szCs w:val="44"/>
          <w:highlight w:val="none"/>
        </w:rPr>
        <w:t>名称解释</w:t>
      </w:r>
    </w:p>
    <w:p>
      <w:pPr>
        <w:pStyle w:val="13"/>
        <w:numPr>
          <w:ilvl w:val="0"/>
          <w:numId w:val="0"/>
        </w:numPr>
        <w:jc w:val="both"/>
        <w:rPr>
          <w:rFonts w:hint="eastAsia" w:asciiTheme="minorEastAsia" w:hAnsiTheme="minorEastAsia" w:eastAsiaTheme="minorEastAsia" w:cstheme="minorBidi"/>
          <w:b/>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一、财</w:t>
      </w:r>
      <w:r>
        <w:rPr>
          <w:rFonts w:hint="eastAsia" w:ascii="仿宋" w:hAnsi="仿宋" w:eastAsia="仿宋" w:cs="仿宋"/>
          <w:color w:val="auto"/>
          <w:sz w:val="32"/>
          <w:szCs w:val="32"/>
          <w:highlight w:val="none"/>
        </w:rPr>
        <w:t>政拨款收入：指单位本年度从市级财政部门取得的财政拨款。</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二、上级补助收入：指事业单位从主管部门和上级单位取得的非财政补助收入。</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三、事业收入：指事业单位开展专业业务活动及其辅助活动取得的收入，事业单位收到的财政专户实际核拨的教育收费等资金在此反映。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四、经营收入：指事业单位在专业业务活动及其辅助活动之外开展非独立核算经营活动取得的收入。</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五、附属单位缴款：指事业单位附属独立核算单位按照有关规定上缴的收入。</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六、其他收入：指单位取得的除上述“财政拨款收入”、“事业收入”、“经营收入”等以外的各项收入。</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七、用事业基金弥补收支差额：指事业单位用事业基金弥补当年收支差额的数额。</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八、年初结转和结余：指单位上年结转本年使用的基本支出结转、项目支出结转和结余和经营结余。</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九、一般公共服务（类）人大事务（款）行政运行（项）：指人大常委会办公厅用于保障机构正常运行、开展日常工作的基本支出。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十、结余分配：指事业单位按规定对非财政补助结余资金提取的职工福利基金、事业基金和缴纳的所得税，以及减少单位按规定应缴回的基本建设竣工项目结余资金。</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十一、年末结转和结余资金：指本年度或以前年度预算安排、因客观条件发生变化无法按原计划实施，需要延迟到以后年度按有关规定继续使用的资金。</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十二、基本支出：指为保障机构正常运转、完成日常工作任务而发生的人员支出和公用支出。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十三、项目支出：指在基本支出之外为完成特定的行政任务或事业发展目标所发生的支出。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十四、上缴上级支出：指事业单位按照财政部门和主管部门的规定上缴上级单位的支出。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十五、经营支出：指事业单位在专业业务活动及其辅助活动之外开展非独立核算经营活动发生的支出。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auto"/>
          <w:sz w:val="32"/>
          <w:szCs w:val="32"/>
          <w:highlight w:val="none"/>
        </w:rPr>
        <w:t>十六、对附属单位补助支出：指事业单</w:t>
      </w:r>
      <w:r>
        <w:rPr>
          <w:rFonts w:hint="eastAsia" w:ascii="仿宋" w:hAnsi="仿宋" w:eastAsia="仿宋" w:cs="仿宋"/>
          <w:color w:val="000000"/>
          <w:sz w:val="32"/>
          <w:szCs w:val="32"/>
        </w:rPr>
        <w:t>位用财政补助收入之外的收入对附属单位补助发生的支出。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指一般公共预算安排的基本支出中的“商品和服务支出”经费。</w:t>
      </w:r>
    </w:p>
    <w:p>
      <w:pPr>
        <w:pStyle w:val="13"/>
        <w:jc w:val="both"/>
        <w:rPr>
          <w:sz w:val="72"/>
          <w:szCs w:val="72"/>
        </w:rPr>
      </w:pPr>
    </w:p>
    <w:p>
      <w:pPr>
        <w:pStyle w:val="13"/>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第五部分</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附件</w:t>
      </w:r>
    </w:p>
    <w:p>
      <w:pPr>
        <w:jc w:val="center"/>
        <w:rPr>
          <w:rFonts w:ascii="宋体" w:hAnsi="宋体" w:eastAsia="宋体" w:cs="黑体"/>
          <w:color w:val="000000"/>
          <w:kern w:val="0"/>
          <w:sz w:val="32"/>
          <w:szCs w:val="32"/>
        </w:rPr>
      </w:pPr>
    </w:p>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附件一2021年度部门整体支出绩效评价报告</w:t>
      </w:r>
    </w:p>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附件二2021年度怀化市建设工程造价管理站决算公开表</w:t>
      </w:r>
    </w:p>
    <w:p>
      <w:pPr>
        <w:spacing w:line="600" w:lineRule="exact"/>
        <w:rPr>
          <w:rFonts w:eastAsia="黑体"/>
          <w:sz w:val="32"/>
          <w:szCs w:val="32"/>
        </w:rPr>
      </w:pPr>
    </w:p>
    <w:p>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66C60"/>
    <w:multiLevelType w:val="singleLevel"/>
    <w:tmpl w:val="11566C6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0E20BB"/>
    <w:rsid w:val="00103957"/>
    <w:rsid w:val="00124A1F"/>
    <w:rsid w:val="00152C6D"/>
    <w:rsid w:val="00162D39"/>
    <w:rsid w:val="001678BD"/>
    <w:rsid w:val="00171AB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16D3"/>
    <w:rsid w:val="003C4197"/>
    <w:rsid w:val="003C47E6"/>
    <w:rsid w:val="003C4FC2"/>
    <w:rsid w:val="003E2331"/>
    <w:rsid w:val="00416E61"/>
    <w:rsid w:val="0042790C"/>
    <w:rsid w:val="00440F80"/>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579D"/>
    <w:rsid w:val="0074310B"/>
    <w:rsid w:val="00787B42"/>
    <w:rsid w:val="007C4539"/>
    <w:rsid w:val="007F3657"/>
    <w:rsid w:val="00812ED5"/>
    <w:rsid w:val="00824FBF"/>
    <w:rsid w:val="008277D9"/>
    <w:rsid w:val="0084478C"/>
    <w:rsid w:val="0086638C"/>
    <w:rsid w:val="00873414"/>
    <w:rsid w:val="008A3E8D"/>
    <w:rsid w:val="009237C4"/>
    <w:rsid w:val="00944C48"/>
    <w:rsid w:val="00950252"/>
    <w:rsid w:val="00967F5D"/>
    <w:rsid w:val="009A0F95"/>
    <w:rsid w:val="009A1319"/>
    <w:rsid w:val="009B3ADF"/>
    <w:rsid w:val="009C3B52"/>
    <w:rsid w:val="009E6817"/>
    <w:rsid w:val="009E6E9A"/>
    <w:rsid w:val="00A01D2B"/>
    <w:rsid w:val="00A42218"/>
    <w:rsid w:val="00A70249"/>
    <w:rsid w:val="00A70B02"/>
    <w:rsid w:val="00A71D9F"/>
    <w:rsid w:val="00A92E9F"/>
    <w:rsid w:val="00AB3A0C"/>
    <w:rsid w:val="00B33BEA"/>
    <w:rsid w:val="00B57C9F"/>
    <w:rsid w:val="00B63572"/>
    <w:rsid w:val="00B845B3"/>
    <w:rsid w:val="00B85D8B"/>
    <w:rsid w:val="00BB4A40"/>
    <w:rsid w:val="00BD6C3E"/>
    <w:rsid w:val="00BE3674"/>
    <w:rsid w:val="00BF5109"/>
    <w:rsid w:val="00C10681"/>
    <w:rsid w:val="00C23913"/>
    <w:rsid w:val="00C3049A"/>
    <w:rsid w:val="00C31B1E"/>
    <w:rsid w:val="00C75371"/>
    <w:rsid w:val="00C77645"/>
    <w:rsid w:val="00C87F23"/>
    <w:rsid w:val="00CE04C3"/>
    <w:rsid w:val="00CE76A0"/>
    <w:rsid w:val="00CF6BC4"/>
    <w:rsid w:val="00D148C6"/>
    <w:rsid w:val="00D17A8A"/>
    <w:rsid w:val="00D415BA"/>
    <w:rsid w:val="00D55A1F"/>
    <w:rsid w:val="00D63780"/>
    <w:rsid w:val="00D644EE"/>
    <w:rsid w:val="00D75489"/>
    <w:rsid w:val="00D76145"/>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3D6990"/>
    <w:rsid w:val="073A38EF"/>
    <w:rsid w:val="0AB70DA7"/>
    <w:rsid w:val="0C430335"/>
    <w:rsid w:val="0D55281D"/>
    <w:rsid w:val="10BA6C2C"/>
    <w:rsid w:val="143225DA"/>
    <w:rsid w:val="15CD6743"/>
    <w:rsid w:val="1B0B42F7"/>
    <w:rsid w:val="1CB76302"/>
    <w:rsid w:val="1CCC55A2"/>
    <w:rsid w:val="1FEE5563"/>
    <w:rsid w:val="22DD3655"/>
    <w:rsid w:val="25162E4E"/>
    <w:rsid w:val="252830C1"/>
    <w:rsid w:val="2A885D99"/>
    <w:rsid w:val="2B8E01D9"/>
    <w:rsid w:val="2C422D0F"/>
    <w:rsid w:val="2C607210"/>
    <w:rsid w:val="2DCE2518"/>
    <w:rsid w:val="2E4E3659"/>
    <w:rsid w:val="2FAC18E7"/>
    <w:rsid w:val="30FA4B32"/>
    <w:rsid w:val="31915553"/>
    <w:rsid w:val="32685F6C"/>
    <w:rsid w:val="32A81D3F"/>
    <w:rsid w:val="339D21F7"/>
    <w:rsid w:val="38A420DE"/>
    <w:rsid w:val="3B7740D8"/>
    <w:rsid w:val="3C9E57AB"/>
    <w:rsid w:val="3FE43E1D"/>
    <w:rsid w:val="404D29D2"/>
    <w:rsid w:val="407F693C"/>
    <w:rsid w:val="408563BB"/>
    <w:rsid w:val="4128321E"/>
    <w:rsid w:val="441D30C2"/>
    <w:rsid w:val="44801C3A"/>
    <w:rsid w:val="4A3B288C"/>
    <w:rsid w:val="4B093321"/>
    <w:rsid w:val="511C2170"/>
    <w:rsid w:val="51B30546"/>
    <w:rsid w:val="5228659E"/>
    <w:rsid w:val="535128BD"/>
    <w:rsid w:val="53D57835"/>
    <w:rsid w:val="55356421"/>
    <w:rsid w:val="5BE102E6"/>
    <w:rsid w:val="5C1F6717"/>
    <w:rsid w:val="5C891B7C"/>
    <w:rsid w:val="5EFA77D5"/>
    <w:rsid w:val="61891FC7"/>
    <w:rsid w:val="63D13398"/>
    <w:rsid w:val="64384866"/>
    <w:rsid w:val="66B23624"/>
    <w:rsid w:val="68450412"/>
    <w:rsid w:val="68D13A71"/>
    <w:rsid w:val="6A0A3ABA"/>
    <w:rsid w:val="6B815218"/>
    <w:rsid w:val="6CA2647F"/>
    <w:rsid w:val="6E0D4E6F"/>
    <w:rsid w:val="7364269F"/>
    <w:rsid w:val="762C7730"/>
    <w:rsid w:val="766E6129"/>
    <w:rsid w:val="78CC2DC9"/>
    <w:rsid w:val="79260769"/>
    <w:rsid w:val="7B846BE0"/>
    <w:rsid w:val="7CCF52F1"/>
    <w:rsid w:val="7D4B504B"/>
    <w:rsid w:val="7F81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unhideWhenUsed/>
    <w:qFormat/>
    <w:uiPriority w:val="99"/>
    <w:pPr>
      <w:tabs>
        <w:tab w:val="center" w:pos="4153"/>
        <w:tab w:val="right" w:pos="8306"/>
      </w:tabs>
      <w:snapToGrid w:val="0"/>
      <w:jc w:val="left"/>
    </w:pPr>
    <w:rPr>
      <w:sz w:val="18"/>
      <w:szCs w:val="18"/>
    </w:rPr>
  </w:style>
  <w:style w:type="paragraph" w:styleId="3">
    <w:name w:val="index 5"/>
    <w:basedOn w:val="1"/>
    <w:next w:val="1"/>
    <w:semiHidden/>
    <w:qFormat/>
    <w:uiPriority w:val="99"/>
    <w:pPr>
      <w:ind w:left="1680"/>
    </w:pPr>
  </w:style>
  <w:style w:type="paragraph" w:styleId="5">
    <w:name w:val="Balloon Text"/>
    <w:basedOn w:val="1"/>
    <w:link w:val="15"/>
    <w:semiHidden/>
    <w:unhideWhenUsed/>
    <w:qFormat/>
    <w:uiPriority w:val="99"/>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2"/>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37A9-9E8B-42A2-AAEC-49D05EB654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5236</Words>
  <Characters>5626</Characters>
  <Lines>41</Lines>
  <Paragraphs>11</Paragraphs>
  <TotalTime>9</TotalTime>
  <ScaleCrop>false</ScaleCrop>
  <LinksUpToDate>false</LinksUpToDate>
  <CharactersWithSpaces>5656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2023-09-24T02:54:07Z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C1F41381F2A5444CBAFBEB7243D2198F_13</vt:lpwstr>
  </property>
</Properties>
</file>