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A6AF19">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2C21DEBC">
      <w:pPr>
        <w:pStyle w:val="14"/>
        <w:jc w:val="center"/>
        <w:rPr>
          <w:rFonts w:ascii="Times New Roman" w:hAnsi="Times New Roman" w:cs="Times New Roman"/>
          <w:sz w:val="56"/>
          <w:szCs w:val="56"/>
        </w:rPr>
      </w:pPr>
    </w:p>
    <w:p w14:paraId="7B33786F">
      <w:pPr>
        <w:pStyle w:val="14"/>
        <w:jc w:val="center"/>
        <w:rPr>
          <w:rFonts w:ascii="Times New Roman" w:hAnsi="Times New Roman" w:cs="Times New Roman"/>
          <w:sz w:val="84"/>
          <w:szCs w:val="84"/>
        </w:rPr>
      </w:pPr>
    </w:p>
    <w:p w14:paraId="7F4C7360">
      <w:pPr>
        <w:pStyle w:val="14"/>
        <w:jc w:val="center"/>
        <w:rPr>
          <w:rFonts w:ascii="Times New Roman" w:hAnsi="Times New Roman" w:cs="Times New Roman"/>
          <w:sz w:val="84"/>
          <w:szCs w:val="84"/>
        </w:rPr>
      </w:pPr>
    </w:p>
    <w:p w14:paraId="244F9E3E">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40C1678">
      <w:pPr>
        <w:pStyle w:val="14"/>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怀化市园林绿化服务中心</w:t>
      </w:r>
    </w:p>
    <w:p w14:paraId="074FAF5B">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7EB89E8E">
      <w:pPr>
        <w:pStyle w:val="14"/>
        <w:jc w:val="center"/>
        <w:rPr>
          <w:rFonts w:ascii="Times New Roman" w:hAnsi="Times New Roman" w:eastAsia="方正小标宋_GBK" w:cs="Times New Roman"/>
          <w:sz w:val="56"/>
          <w:szCs w:val="56"/>
        </w:rPr>
      </w:pPr>
    </w:p>
    <w:p w14:paraId="353CF360">
      <w:pPr>
        <w:pStyle w:val="14"/>
        <w:jc w:val="center"/>
        <w:rPr>
          <w:rFonts w:ascii="Times New Roman" w:hAnsi="Times New Roman" w:cs="Times New Roman"/>
          <w:sz w:val="56"/>
          <w:szCs w:val="56"/>
        </w:rPr>
      </w:pPr>
    </w:p>
    <w:p w14:paraId="58EB0C2B">
      <w:pPr>
        <w:pStyle w:val="14"/>
        <w:rPr>
          <w:rFonts w:ascii="Times New Roman" w:hAnsi="Times New Roman" w:cs="Times New Roman"/>
          <w:sz w:val="56"/>
          <w:szCs w:val="56"/>
        </w:rPr>
      </w:pPr>
    </w:p>
    <w:p w14:paraId="7387D0AB">
      <w:pPr>
        <w:pStyle w:val="14"/>
        <w:jc w:val="center"/>
        <w:rPr>
          <w:rFonts w:ascii="Times New Roman" w:hAnsi="Times New Roman" w:cs="Times New Roman"/>
          <w:sz w:val="32"/>
          <w:szCs w:val="32"/>
        </w:rPr>
      </w:pPr>
    </w:p>
    <w:p w14:paraId="5988A59D">
      <w:pPr>
        <w:pStyle w:val="14"/>
        <w:jc w:val="center"/>
        <w:rPr>
          <w:rFonts w:ascii="Times New Roman" w:hAnsi="Times New Roman" w:cs="Times New Roman"/>
          <w:sz w:val="32"/>
          <w:szCs w:val="32"/>
        </w:rPr>
      </w:pPr>
    </w:p>
    <w:p w14:paraId="478CD475">
      <w:pPr>
        <w:pStyle w:val="14"/>
        <w:jc w:val="center"/>
        <w:rPr>
          <w:rFonts w:ascii="Times New Roman" w:hAnsi="Times New Roman" w:cs="Times New Roman"/>
          <w:sz w:val="32"/>
          <w:szCs w:val="32"/>
        </w:rPr>
      </w:pPr>
    </w:p>
    <w:p w14:paraId="42072334">
      <w:pPr>
        <w:pStyle w:val="14"/>
        <w:jc w:val="center"/>
        <w:rPr>
          <w:rFonts w:ascii="Times New Roman" w:hAnsi="Times New Roman" w:cs="Times New Roman"/>
          <w:sz w:val="32"/>
          <w:szCs w:val="32"/>
        </w:rPr>
      </w:pPr>
    </w:p>
    <w:p w14:paraId="23151253">
      <w:pPr>
        <w:pStyle w:val="14"/>
        <w:spacing w:line="540" w:lineRule="exact"/>
        <w:jc w:val="both"/>
        <w:rPr>
          <w:rFonts w:ascii="Times New Roman" w:hAnsi="Times New Roman" w:cs="Times New Roman"/>
          <w:sz w:val="56"/>
          <w:szCs w:val="56"/>
        </w:rPr>
      </w:pPr>
    </w:p>
    <w:p w14:paraId="2BBDD574">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6045650D">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4313AEB8">
      <w:pPr>
        <w:pStyle w:val="14"/>
        <w:spacing w:line="600" w:lineRule="exact"/>
        <w:jc w:val="both"/>
        <w:rPr>
          <w:rFonts w:ascii="Times New Roman" w:hAnsi="Times New Roman" w:cs="Times New Roman"/>
          <w:b/>
          <w:sz w:val="36"/>
          <w:szCs w:val="28"/>
        </w:rPr>
      </w:pPr>
    </w:p>
    <w:p w14:paraId="3F23CEB4">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25BE153D">
      <w:pPr>
        <w:pStyle w:val="14"/>
        <w:spacing w:line="600" w:lineRule="exact"/>
        <w:jc w:val="center"/>
        <w:rPr>
          <w:rFonts w:ascii="Times New Roman" w:hAnsi="Times New Roman" w:cs="Times New Roman"/>
          <w:b/>
          <w:sz w:val="36"/>
          <w:szCs w:val="28"/>
        </w:rPr>
      </w:pPr>
    </w:p>
    <w:p w14:paraId="45CF7E41">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怀化市园林绿化服务中心</w:t>
      </w:r>
      <w:r>
        <w:rPr>
          <w:rFonts w:ascii="Times New Roman" w:hAnsi="Times New Roman" w:cs="Times New Roman"/>
          <w:bCs/>
          <w:sz w:val="32"/>
          <w:szCs w:val="32"/>
        </w:rPr>
        <w:t>概况</w:t>
      </w:r>
    </w:p>
    <w:p w14:paraId="2F83AE1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43BA114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6BE01E9">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984B32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873D45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6EDAC5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E80C94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5CEF3C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895F64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4D657B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276062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7BEF98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D59901E">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33430A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8FF96F1">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83CF11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6063CE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F8A0A2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6A744D6">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6911FD3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664CA4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7BA105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A31FF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2648D9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6181EB6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7EC6FC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4512BAC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215863D">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906C020">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C5E0801">
      <w:pPr>
        <w:pStyle w:val="14"/>
        <w:spacing w:line="600" w:lineRule="exact"/>
        <w:rPr>
          <w:rFonts w:ascii="Times New Roman" w:hAnsi="Times New Roman" w:cs="Times New Roman"/>
          <w:bCs/>
          <w:sz w:val="28"/>
          <w:szCs w:val="28"/>
        </w:rPr>
      </w:pPr>
    </w:p>
    <w:p w14:paraId="754D989B">
      <w:pPr>
        <w:jc w:val="center"/>
        <w:rPr>
          <w:rFonts w:ascii="Times New Roman" w:hAnsi="Times New Roman" w:cs="Times New Roman"/>
          <w:sz w:val="72"/>
          <w:szCs w:val="72"/>
        </w:rPr>
      </w:pPr>
    </w:p>
    <w:p w14:paraId="567A6524">
      <w:pPr>
        <w:jc w:val="center"/>
        <w:rPr>
          <w:rFonts w:ascii="Times New Roman" w:hAnsi="Times New Roman" w:cs="Times New Roman"/>
          <w:sz w:val="72"/>
          <w:szCs w:val="72"/>
        </w:rPr>
      </w:pPr>
    </w:p>
    <w:p w14:paraId="31F3C38F">
      <w:pPr>
        <w:jc w:val="center"/>
        <w:rPr>
          <w:rFonts w:ascii="Times New Roman" w:hAnsi="Times New Roman" w:cs="Times New Roman"/>
          <w:sz w:val="72"/>
          <w:szCs w:val="72"/>
        </w:rPr>
      </w:pPr>
    </w:p>
    <w:p w14:paraId="00B21B72">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63E9F6D0">
      <w:pPr>
        <w:rPr>
          <w:rFonts w:ascii="Times New Roman" w:hAnsi="Times New Roman" w:eastAsia="方正小标宋_GBK" w:cs="Times New Roman"/>
          <w:sz w:val="72"/>
          <w:szCs w:val="72"/>
        </w:rPr>
      </w:pPr>
    </w:p>
    <w:p w14:paraId="04768DDC">
      <w:pPr>
        <w:rPr>
          <w:rFonts w:ascii="Times New Roman" w:hAnsi="Times New Roman" w:eastAsia="方正小标宋_GBK" w:cs="Times New Roman"/>
          <w:sz w:val="72"/>
          <w:szCs w:val="72"/>
        </w:rPr>
      </w:pPr>
    </w:p>
    <w:p w14:paraId="0F7827B1">
      <w:pPr>
        <w:rPr>
          <w:rFonts w:ascii="Times New Roman" w:hAnsi="Times New Roman" w:eastAsia="方正小标宋_GBK" w:cs="Times New Roman"/>
          <w:sz w:val="72"/>
          <w:szCs w:val="72"/>
        </w:rPr>
      </w:pPr>
    </w:p>
    <w:p w14:paraId="70B1D104">
      <w:pPr>
        <w:rPr>
          <w:rFonts w:ascii="Times New Roman" w:hAnsi="Times New Roman" w:eastAsia="方正小标宋_GBK" w:cs="Times New Roman"/>
          <w:sz w:val="72"/>
          <w:szCs w:val="72"/>
        </w:rPr>
      </w:pPr>
    </w:p>
    <w:p w14:paraId="5DDFFC91">
      <w:pPr>
        <w:rPr>
          <w:rFonts w:ascii="Times New Roman" w:hAnsi="Times New Roman" w:eastAsia="方正小标宋_GBK" w:cs="Times New Roman"/>
          <w:sz w:val="72"/>
          <w:szCs w:val="72"/>
        </w:rPr>
      </w:pPr>
    </w:p>
    <w:p w14:paraId="6E47CD8B">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BDE1DBB">
      <w:pPr>
        <w:pStyle w:val="14"/>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怀化市园林绿化服务中心</w:t>
      </w:r>
    </w:p>
    <w:p w14:paraId="11BBFA59">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概况</w:t>
      </w:r>
    </w:p>
    <w:p w14:paraId="12446526">
      <w:pPr>
        <w:pStyle w:val="3"/>
        <w:ind w:left="0" w:leftChars="0" w:firstLine="0" w:firstLineChars="0"/>
        <w:rPr>
          <w:rFonts w:ascii="Times New Roman" w:hAnsi="Times New Roman" w:cs="Times New Roman"/>
        </w:rPr>
      </w:pPr>
    </w:p>
    <w:p w14:paraId="583C3AD8">
      <w:pPr>
        <w:pStyle w:val="5"/>
        <w:rPr>
          <w:rFonts w:ascii="Times New Roman" w:hAnsi="Times New Roman" w:cs="Times New Roman"/>
        </w:rPr>
      </w:pPr>
    </w:p>
    <w:p w14:paraId="2C6210C7">
      <w:pPr>
        <w:rPr>
          <w:rFonts w:ascii="Times New Roman" w:hAnsi="Times New Roman" w:cs="Times New Roman"/>
        </w:rPr>
      </w:pPr>
    </w:p>
    <w:p w14:paraId="43184AFE">
      <w:pPr>
        <w:rPr>
          <w:rFonts w:ascii="Times New Roman" w:hAnsi="Times New Roman" w:cs="Times New Roman"/>
        </w:rPr>
      </w:pPr>
    </w:p>
    <w:p w14:paraId="528B8D3A">
      <w:pPr>
        <w:rPr>
          <w:rFonts w:ascii="Times New Roman" w:hAnsi="Times New Roman" w:cs="Times New Roman"/>
        </w:rPr>
      </w:pPr>
    </w:p>
    <w:p w14:paraId="18D397B7">
      <w:pPr>
        <w:rPr>
          <w:rFonts w:ascii="Times New Roman" w:hAnsi="Times New Roman" w:cs="Times New Roman"/>
        </w:rPr>
      </w:pPr>
    </w:p>
    <w:p w14:paraId="55E609E7">
      <w:pPr>
        <w:rPr>
          <w:rFonts w:ascii="Times New Roman" w:hAnsi="Times New Roman" w:cs="Times New Roman"/>
        </w:rPr>
      </w:pPr>
    </w:p>
    <w:p w14:paraId="1AF3E2E5">
      <w:pPr>
        <w:rPr>
          <w:rFonts w:ascii="Times New Roman" w:hAnsi="Times New Roman" w:cs="Times New Roman"/>
        </w:rPr>
      </w:pPr>
    </w:p>
    <w:p w14:paraId="6EDDD7B2">
      <w:pPr>
        <w:rPr>
          <w:rFonts w:ascii="Times New Roman" w:hAnsi="Times New Roman" w:cs="Times New Roman"/>
        </w:rPr>
      </w:pPr>
    </w:p>
    <w:p w14:paraId="67461DDD">
      <w:pPr>
        <w:rPr>
          <w:rFonts w:ascii="Times New Roman" w:hAnsi="Times New Roman" w:cs="Times New Roman"/>
        </w:rPr>
      </w:pPr>
    </w:p>
    <w:p w14:paraId="33338D8C">
      <w:pPr>
        <w:rPr>
          <w:rFonts w:ascii="Times New Roman" w:hAnsi="Times New Roman" w:cs="Times New Roman"/>
        </w:rPr>
      </w:pPr>
    </w:p>
    <w:p w14:paraId="5A32EB20">
      <w:pPr>
        <w:rPr>
          <w:rFonts w:ascii="Times New Roman" w:hAnsi="Times New Roman" w:cs="Times New Roman"/>
        </w:rPr>
      </w:pPr>
    </w:p>
    <w:p w14:paraId="387368A0">
      <w:pPr>
        <w:rPr>
          <w:rFonts w:ascii="Times New Roman" w:hAnsi="Times New Roman" w:cs="Times New Roman"/>
        </w:rPr>
      </w:pPr>
    </w:p>
    <w:p w14:paraId="1AC9C01A">
      <w:pPr>
        <w:rPr>
          <w:rFonts w:ascii="Times New Roman" w:hAnsi="Times New Roman" w:cs="Times New Roman"/>
        </w:rPr>
      </w:pPr>
    </w:p>
    <w:p w14:paraId="15DA7AE8">
      <w:pPr>
        <w:rPr>
          <w:rFonts w:ascii="Times New Roman" w:hAnsi="Times New Roman" w:cs="Times New Roman"/>
        </w:rPr>
      </w:pPr>
    </w:p>
    <w:p w14:paraId="1D510F2C">
      <w:pPr>
        <w:rPr>
          <w:rFonts w:ascii="Times New Roman" w:hAnsi="Times New Roman" w:cs="Times New Roman"/>
        </w:rPr>
      </w:pPr>
    </w:p>
    <w:p w14:paraId="386DA9E4">
      <w:pPr>
        <w:rPr>
          <w:rFonts w:ascii="Times New Roman" w:hAnsi="Times New Roman" w:cs="Times New Roman"/>
        </w:rPr>
      </w:pPr>
    </w:p>
    <w:p w14:paraId="1B7E99E4">
      <w:pPr>
        <w:rPr>
          <w:rFonts w:ascii="Times New Roman" w:hAnsi="Times New Roman" w:cs="Times New Roman"/>
        </w:rPr>
      </w:pPr>
    </w:p>
    <w:p w14:paraId="7F70416B">
      <w:pPr>
        <w:rPr>
          <w:rFonts w:ascii="Times New Roman" w:hAnsi="Times New Roman" w:cs="Times New Roman"/>
        </w:rPr>
      </w:pPr>
    </w:p>
    <w:p w14:paraId="3F446C66">
      <w:pPr>
        <w:pStyle w:val="3"/>
        <w:ind w:left="0" w:leftChars="0" w:firstLine="0" w:firstLineChars="0"/>
        <w:rPr>
          <w:rFonts w:ascii="Times New Roman" w:hAnsi="Times New Roman" w:cs="Times New Roman"/>
        </w:rPr>
      </w:pPr>
    </w:p>
    <w:p w14:paraId="687C6AE9">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EB067B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both"/>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仿宋_GB2312"/>
          <w:sz w:val="32"/>
          <w:szCs w:val="32"/>
        </w:rPr>
        <w:t>（一）</w:t>
      </w:r>
      <w:r>
        <w:rPr>
          <w:rFonts w:hint="eastAsia" w:ascii="仿宋" w:hAnsi="仿宋" w:eastAsia="仿宋" w:cs="仿宋"/>
          <w:kern w:val="2"/>
          <w:sz w:val="32"/>
          <w:szCs w:val="32"/>
          <w:lang w:val="en-US" w:eastAsia="zh-CN" w:bidi="ar-SA"/>
        </w:rPr>
        <w:t>贯彻执行国家、省有关园林绿化管理的方针、政策、法律、法规和规章，配合有关部门研究拟订本市实施细则。</w:t>
      </w:r>
    </w:p>
    <w:p w14:paraId="57129D9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（二）承担编制城区园林绿化近期、远期发展规划和园林绿化建设管理资金计划的有关具体工作。</w:t>
      </w:r>
    </w:p>
    <w:p w14:paraId="4D37DD8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（三）承担城市新建、改建、扩建工程附属绿化工程初审及施工监督、竣工验收的有关事务性工作。</w:t>
      </w:r>
    </w:p>
    <w:p w14:paraId="7482722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四）承担改变城市绿地规划、绿化用地使用性质审批初审及临时占用城市绿地、砍伐、移植、修剪城市树木（包括古树名木）许可初审的有关事务性工作；协助主管部门开展园林绿化执法督查，协助上级征收城市绿化补偿费等相关费用。</w:t>
      </w:r>
    </w:p>
    <w:p w14:paraId="1E6DDE3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（5）负责街旁绿地、街头游园、防护绿地、风景林地、行道及干道绿化带、滨江（水）风光带、广场等公共绿地的保护、管理和日常养护工作。</w:t>
      </w:r>
    </w:p>
    <w:p w14:paraId="3909EE8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（六）承担城区城市公园、城市雕塑管理和维护的具体工作；负责城市规划区内生物多样性保护工作；推广城市园林绿化科技新成果、新技术，开展对外技术交流。</w:t>
      </w:r>
    </w:p>
    <w:p w14:paraId="600D6E2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（七）参与指导县市区城镇园林绿化工作，促进园林绿化事业的发展。</w:t>
      </w:r>
    </w:p>
    <w:p w14:paraId="1443F8E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（八）承办市委、市政府和市城市管理和行政执法局交办的其他事项。</w:t>
      </w:r>
    </w:p>
    <w:p w14:paraId="411437EE">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C185414">
      <w:pPr>
        <w:widowControl/>
        <w:spacing w:line="600" w:lineRule="exact"/>
        <w:ind w:firstLine="640" w:firstLineChars="200"/>
        <w:rPr>
          <w:rFonts w:hint="eastAsia" w:ascii="Times New Roman" w:hAnsi="Times New Roman" w:eastAsia="仿宋_GB2312" w:cs="仿宋_GB2312"/>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rPr>
        <w:t>怀化市园林绿化服务中心单位内设机构包括：</w:t>
      </w:r>
      <w:r>
        <w:rPr>
          <w:rFonts w:hint="eastAsia" w:ascii="仿宋" w:hAnsi="仿宋" w:eastAsia="仿宋" w:cs="仿宋"/>
          <w:sz w:val="32"/>
          <w:szCs w:val="32"/>
          <w:lang w:val="en-US" w:eastAsia="zh-CN"/>
        </w:rPr>
        <w:t>办公室、人事教育部、计划财务部、工程技术部、绿化服务部、园林科研部、城市公园部、园林信息所、园林评价所、园林绿化维保所、道路绿化养护所、园林废弃物处置所等部门。</w:t>
      </w:r>
    </w:p>
    <w:p w14:paraId="368FED83">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rPr>
        <w:t>怀化市园林绿化服务中心</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仿宋" w:hAnsi="仿宋" w:eastAsia="仿宋" w:cs="仿宋"/>
          <w:i w:val="0"/>
          <w:iCs w:val="0"/>
          <w:caps w:val="0"/>
          <w:color w:val="3D3D3D"/>
          <w:spacing w:val="0"/>
          <w:sz w:val="32"/>
          <w:szCs w:val="32"/>
        </w:rPr>
        <w:t>怀化市园林绿化服务中心（二级部门）</w:t>
      </w:r>
      <w:r>
        <w:rPr>
          <w:rFonts w:hint="eastAsia" w:ascii="仿宋" w:hAnsi="仿宋" w:eastAsia="仿宋" w:cs="仿宋"/>
          <w:i w:val="0"/>
          <w:iCs w:val="0"/>
          <w:caps w:val="0"/>
          <w:color w:val="3D3D3D"/>
          <w:spacing w:val="0"/>
          <w:sz w:val="32"/>
          <w:szCs w:val="32"/>
          <w:lang w:eastAsia="zh-CN"/>
        </w:rPr>
        <w:t>。</w:t>
      </w:r>
    </w:p>
    <w:p w14:paraId="19A3DA77">
      <w:pPr>
        <w:jc w:val="left"/>
        <w:rPr>
          <w:rFonts w:ascii="Times New Roman" w:hAnsi="Times New Roman" w:eastAsia="仿宋_GB2312" w:cs="Times New Roman"/>
          <w:sz w:val="28"/>
          <w:szCs w:val="32"/>
        </w:rPr>
      </w:pPr>
    </w:p>
    <w:p w14:paraId="0D53ECAC">
      <w:pPr>
        <w:jc w:val="center"/>
        <w:rPr>
          <w:rFonts w:ascii="Times New Roman" w:hAnsi="Times New Roman" w:eastAsia="黑体" w:cs="Times New Roman"/>
          <w:sz w:val="28"/>
          <w:szCs w:val="28"/>
        </w:rPr>
      </w:pPr>
    </w:p>
    <w:p w14:paraId="7B488149">
      <w:pPr>
        <w:jc w:val="center"/>
        <w:rPr>
          <w:rFonts w:ascii="Times New Roman" w:hAnsi="Times New Roman" w:eastAsia="黑体" w:cs="Times New Roman"/>
          <w:sz w:val="28"/>
          <w:szCs w:val="28"/>
        </w:rPr>
      </w:pPr>
    </w:p>
    <w:p w14:paraId="6B50A1C5">
      <w:pPr>
        <w:jc w:val="center"/>
        <w:rPr>
          <w:rFonts w:ascii="Times New Roman" w:hAnsi="Times New Roman" w:eastAsia="黑体" w:cs="Times New Roman"/>
          <w:sz w:val="28"/>
          <w:szCs w:val="28"/>
        </w:rPr>
      </w:pPr>
    </w:p>
    <w:p w14:paraId="385D5545">
      <w:pPr>
        <w:jc w:val="center"/>
        <w:rPr>
          <w:rFonts w:ascii="Times New Roman" w:hAnsi="Times New Roman" w:eastAsia="黑体" w:cs="Times New Roman"/>
          <w:sz w:val="28"/>
          <w:szCs w:val="28"/>
        </w:rPr>
      </w:pPr>
    </w:p>
    <w:p w14:paraId="3ADFC63E">
      <w:pPr>
        <w:jc w:val="center"/>
        <w:rPr>
          <w:rFonts w:ascii="Times New Roman" w:hAnsi="Times New Roman" w:eastAsia="黑体" w:cs="Times New Roman"/>
          <w:sz w:val="28"/>
          <w:szCs w:val="28"/>
        </w:rPr>
      </w:pPr>
    </w:p>
    <w:p w14:paraId="228DCFC0">
      <w:pPr>
        <w:pStyle w:val="2"/>
        <w:rPr>
          <w:rFonts w:ascii="Times New Roman" w:hAnsi="Times New Roman" w:cs="Times New Roman"/>
        </w:rPr>
      </w:pPr>
    </w:p>
    <w:p w14:paraId="71DEAC5F">
      <w:pPr>
        <w:pStyle w:val="14"/>
        <w:jc w:val="center"/>
        <w:rPr>
          <w:rFonts w:hint="eastAsia" w:ascii="方正小标宋_GBK" w:hAnsi="方正小标宋_GBK" w:eastAsia="方正小标宋_GBK" w:cs="方正小标宋_GBK"/>
          <w:sz w:val="84"/>
          <w:szCs w:val="84"/>
        </w:rPr>
      </w:pPr>
    </w:p>
    <w:p w14:paraId="65D9D0AA">
      <w:pPr>
        <w:pStyle w:val="14"/>
        <w:jc w:val="both"/>
        <w:rPr>
          <w:rFonts w:hint="eastAsia" w:ascii="方正小标宋_GBK" w:hAnsi="方正小标宋_GBK" w:eastAsia="方正小标宋_GBK" w:cs="方正小标宋_GBK"/>
          <w:sz w:val="84"/>
          <w:szCs w:val="84"/>
        </w:rPr>
      </w:pPr>
    </w:p>
    <w:p w14:paraId="24D40FA5">
      <w:pPr>
        <w:pStyle w:val="14"/>
        <w:jc w:val="both"/>
        <w:rPr>
          <w:rFonts w:hint="eastAsia" w:ascii="方正小标宋_GBK" w:hAnsi="方正小标宋_GBK" w:eastAsia="方正小标宋_GBK" w:cs="方正小标宋_GBK"/>
          <w:sz w:val="84"/>
          <w:szCs w:val="84"/>
        </w:rPr>
      </w:pPr>
    </w:p>
    <w:p w14:paraId="3BE3A2E3">
      <w:pPr>
        <w:pStyle w:val="14"/>
        <w:jc w:val="both"/>
        <w:rPr>
          <w:rFonts w:hint="eastAsia" w:ascii="方正小标宋_GBK" w:hAnsi="方正小标宋_GBK" w:eastAsia="方正小标宋_GBK" w:cs="方正小标宋_GBK"/>
          <w:sz w:val="84"/>
          <w:szCs w:val="84"/>
        </w:rPr>
      </w:pPr>
    </w:p>
    <w:p w14:paraId="1ACD9FF8">
      <w:pPr>
        <w:pStyle w:val="14"/>
        <w:jc w:val="both"/>
        <w:rPr>
          <w:rFonts w:hint="eastAsia" w:ascii="方正小标宋_GBK" w:hAnsi="方正小标宋_GBK" w:eastAsia="方正小标宋_GBK" w:cs="方正小标宋_GBK"/>
          <w:sz w:val="84"/>
          <w:szCs w:val="84"/>
        </w:rPr>
      </w:pPr>
    </w:p>
    <w:p w14:paraId="7ACA298B">
      <w:pPr>
        <w:pStyle w:val="14"/>
        <w:jc w:val="both"/>
        <w:rPr>
          <w:rFonts w:hint="eastAsia" w:ascii="方正小标宋_GBK" w:hAnsi="方正小标宋_GBK" w:eastAsia="方正小标宋_GBK" w:cs="方正小标宋_GBK"/>
          <w:sz w:val="84"/>
          <w:szCs w:val="84"/>
        </w:rPr>
      </w:pPr>
    </w:p>
    <w:p w14:paraId="6F22D521">
      <w:pPr>
        <w:pStyle w:val="14"/>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第二部分</w:t>
      </w:r>
    </w:p>
    <w:p w14:paraId="184C9F58">
      <w:pPr>
        <w:pStyle w:val="14"/>
        <w:spacing w:line="360" w:lineRule="auto"/>
        <w:jc w:val="center"/>
        <w:rPr>
          <w:rFonts w:hint="eastAsia" w:ascii="Times New Roman" w:hAnsi="Times New Roman" w:eastAsia="方正小标宋_GBK" w:cs="Times New Roman"/>
          <w:sz w:val="52"/>
          <w:szCs w:val="52"/>
        </w:rPr>
      </w:pPr>
    </w:p>
    <w:p w14:paraId="4C9F1E13">
      <w:pPr>
        <w:pStyle w:val="14"/>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部门决算表</w:t>
      </w:r>
    </w:p>
    <w:p w14:paraId="1A6C47A4">
      <w:pPr>
        <w:jc w:val="center"/>
        <w:rPr>
          <w:sz w:val="32"/>
          <w:szCs w:val="32"/>
        </w:rPr>
      </w:pPr>
      <w:r>
        <w:rPr>
          <w:rFonts w:hint="eastAsia"/>
          <w:sz w:val="32"/>
          <w:szCs w:val="32"/>
        </w:rPr>
        <w:t>(详情请见附件)</w:t>
      </w:r>
    </w:p>
    <w:p w14:paraId="76B6E57C">
      <w:pPr>
        <w:jc w:val="center"/>
        <w:rPr>
          <w:sz w:val="72"/>
          <w:szCs w:val="72"/>
        </w:rPr>
      </w:pPr>
    </w:p>
    <w:p w14:paraId="18437DCD">
      <w:pPr>
        <w:jc w:val="center"/>
        <w:rPr>
          <w:sz w:val="72"/>
          <w:szCs w:val="72"/>
        </w:rPr>
      </w:pPr>
    </w:p>
    <w:p w14:paraId="2BB9A53D">
      <w:pPr>
        <w:jc w:val="center"/>
        <w:rPr>
          <w:sz w:val="72"/>
          <w:szCs w:val="72"/>
        </w:rPr>
      </w:pPr>
    </w:p>
    <w:p w14:paraId="6228499C">
      <w:pPr>
        <w:pStyle w:val="2"/>
        <w:sectPr>
          <w:footerReference r:id="rId6" w:type="default"/>
          <w:pgSz w:w="11906" w:h="16838"/>
          <w:pgMar w:top="1417" w:right="1588" w:bottom="1417" w:left="1588" w:header="851" w:footer="992" w:gutter="0"/>
          <w:pgNumType w:start="1"/>
          <w:cols w:space="425" w:num="1"/>
          <w:docGrid w:type="lines" w:linePitch="312" w:charSpace="0"/>
        </w:sectPr>
      </w:pPr>
    </w:p>
    <w:p w14:paraId="3E9B8E8C">
      <w:pPr>
        <w:pStyle w:val="14"/>
        <w:rPr>
          <w:rFonts w:ascii="Times New Roman" w:hAnsi="Times New Roman" w:cs="Times New Roman"/>
          <w:sz w:val="72"/>
          <w:szCs w:val="72"/>
        </w:rPr>
      </w:pPr>
    </w:p>
    <w:p w14:paraId="6A78CFE5">
      <w:pPr>
        <w:pStyle w:val="14"/>
        <w:rPr>
          <w:rFonts w:ascii="Times New Roman" w:hAnsi="Times New Roman" w:cs="Times New Roman"/>
          <w:sz w:val="72"/>
          <w:szCs w:val="72"/>
        </w:rPr>
      </w:pPr>
    </w:p>
    <w:p w14:paraId="2D16F51A">
      <w:pPr>
        <w:pStyle w:val="14"/>
        <w:rPr>
          <w:rFonts w:ascii="Times New Roman" w:hAnsi="Times New Roman" w:cs="Times New Roman"/>
          <w:sz w:val="72"/>
          <w:szCs w:val="72"/>
        </w:rPr>
      </w:pPr>
    </w:p>
    <w:p w14:paraId="1E0F06D3">
      <w:pPr>
        <w:pStyle w:val="14"/>
        <w:jc w:val="center"/>
        <w:rPr>
          <w:rFonts w:ascii="Times New Roman" w:hAnsi="Times New Roman" w:cs="Times New Roman"/>
          <w:sz w:val="72"/>
          <w:szCs w:val="72"/>
        </w:rPr>
      </w:pPr>
    </w:p>
    <w:p w14:paraId="2B1219CC">
      <w:pPr>
        <w:pStyle w:val="14"/>
        <w:jc w:val="center"/>
        <w:rPr>
          <w:rFonts w:ascii="Times New Roman" w:hAnsi="Times New Roman" w:eastAsia="方正小标宋_GBK" w:cs="Times New Roman"/>
          <w:sz w:val="72"/>
          <w:szCs w:val="72"/>
        </w:rPr>
      </w:pPr>
    </w:p>
    <w:p w14:paraId="45F34F45">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C030F19">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EE6D3F2">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364F6C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1940E20">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4086.99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1672.47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40.92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维护及专项经费未能及时到位</w:t>
      </w:r>
      <w:r>
        <w:rPr>
          <w:rFonts w:hint="eastAsia" w:ascii="Times New Roman" w:hAnsi="Times New Roman" w:eastAsia="仿宋_GB2312" w:cs="Times New Roman"/>
          <w:sz w:val="32"/>
          <w:szCs w:val="32"/>
          <w:lang w:eastAsia="zh-CN"/>
        </w:rPr>
        <w:t>。</w:t>
      </w:r>
    </w:p>
    <w:p w14:paraId="1C2BCC42">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人员</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日常城区日常维护</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旅发大会项目</w:t>
      </w:r>
      <w:r>
        <w:rPr>
          <w:rFonts w:hint="eastAsia" w:ascii="Times New Roman" w:hAnsi="Times New Roman" w:eastAsia="仿宋_GB2312" w:cs="Times New Roman"/>
          <w:sz w:val="32"/>
          <w:szCs w:val="32"/>
          <w:lang w:eastAsia="zh-CN"/>
        </w:rPr>
        <w:t>等重点支出，体现在有关支出科目中。</w:t>
      </w:r>
    </w:p>
    <w:p w14:paraId="14103E1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52B79A2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4086.99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3951.68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96.69</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135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3.30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0.31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0.01</w:t>
      </w:r>
      <w:r>
        <w:rPr>
          <w:rFonts w:ascii="Times New Roman" w:hAnsi="Times New Roman" w:eastAsia="仿宋_GB2312" w:cs="Times New Roman"/>
          <w:sz w:val="32"/>
          <w:szCs w:val="32"/>
        </w:rPr>
        <w:t>%。</w:t>
      </w:r>
    </w:p>
    <w:p w14:paraId="1DD821E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2C6B6AB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4086.99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1987.73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48.64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2099.25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51.36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9CD694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21610C7">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3951.68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1585.12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40.11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维护及专项经费未能及时到位。</w:t>
      </w:r>
    </w:p>
    <w:p w14:paraId="522EC8C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08C4102">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8D155F5">
      <w:pPr>
        <w:pStyle w:val="14"/>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3893.18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95.26</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204.15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5.53</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val="en-US" w:eastAsia="zh-CN"/>
        </w:rPr>
        <w:t>专项经费增加。</w:t>
      </w:r>
    </w:p>
    <w:p w14:paraId="20FD73C2">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E99885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3893.18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1423.60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36.57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155.41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3.99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62.26万元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1.60</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2235.92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57.43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hint="eastAsia" w:ascii="Times New Roman" w:hAnsi="Times New Roman" w:eastAsia="仿宋_GB2312" w:cs="Times New Roman"/>
          <w:sz w:val="32"/>
          <w:szCs w:val="32"/>
          <w:lang w:val="en-US" w:eastAsia="zh-CN"/>
        </w:rPr>
        <w:t>10.99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0.28</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灾害防治及应急管理支出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0.12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F62A69F">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898CBE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3710.61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3893.18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104.92</w:t>
      </w:r>
      <w:r>
        <w:rPr>
          <w:rFonts w:ascii="Times New Roman" w:hAnsi="Times New Roman" w:eastAsia="仿宋_GB2312" w:cs="Times New Roman"/>
          <w:sz w:val="32"/>
          <w:szCs w:val="32"/>
        </w:rPr>
        <w:t>%，其中：</w:t>
      </w:r>
    </w:p>
    <w:p w14:paraId="134DC7F8">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1、</w:t>
      </w:r>
      <w:r>
        <w:rPr>
          <w:rFonts w:ascii="Times New Roman" w:hAnsi="Times New Roman" w:eastAsia="仿宋_GB2312" w:cs="Times New Roman"/>
          <w:color w:val="auto"/>
          <w:sz w:val="32"/>
          <w:szCs w:val="32"/>
        </w:rPr>
        <w:t>一般公共服务（类）</w:t>
      </w:r>
      <w:r>
        <w:rPr>
          <w:rFonts w:hint="eastAsia" w:ascii="Times New Roman" w:hAnsi="Times New Roman" w:eastAsia="仿宋_GB2312"/>
          <w:color w:val="auto"/>
          <w:sz w:val="32"/>
          <w:szCs w:val="32"/>
          <w:lang w:val="en-US" w:eastAsia="zh-CN"/>
        </w:rPr>
        <w:t>人大事务</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行政运行</w:t>
      </w:r>
      <w:r>
        <w:rPr>
          <w:rFonts w:hint="eastAsia" w:ascii="Times New Roman" w:hAnsi="Times New Roman" w:eastAsia="仿宋_GB2312"/>
          <w:color w:val="auto"/>
          <w:sz w:val="32"/>
          <w:szCs w:val="32"/>
        </w:rPr>
        <w:t>（项）</w:t>
      </w:r>
      <w:r>
        <w:rPr>
          <w:rFonts w:ascii="Times New Roman" w:hAnsi="Times New Roman" w:eastAsia="仿宋_GB2312" w:cs="Times New Roman"/>
          <w:color w:val="auto"/>
          <w:sz w:val="32"/>
          <w:szCs w:val="32"/>
        </w:rPr>
        <w:t>。</w:t>
      </w:r>
    </w:p>
    <w:p w14:paraId="00D5B6AD">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1221.91</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1336.60</w:t>
      </w:r>
      <w:r>
        <w:rPr>
          <w:rFonts w:ascii="Times New Roman" w:hAnsi="Times New Roman" w:eastAsia="仿宋_GB2312" w:cs="Times New Roman"/>
          <w:color w:val="auto"/>
          <w:sz w:val="32"/>
          <w:szCs w:val="32"/>
        </w:rPr>
        <w:t>万元，</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109.38</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人员增加，相关支出增加。</w:t>
      </w:r>
    </w:p>
    <w:p w14:paraId="05C8C827">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color w:val="auto"/>
          <w:sz w:val="32"/>
          <w:szCs w:val="32"/>
        </w:rPr>
        <w:t>一般公共服务（类）</w:t>
      </w:r>
      <w:r>
        <w:rPr>
          <w:rFonts w:hint="eastAsia" w:ascii="Times New Roman" w:hAnsi="Times New Roman" w:eastAsia="仿宋_GB2312"/>
          <w:color w:val="auto"/>
          <w:sz w:val="32"/>
          <w:szCs w:val="32"/>
          <w:lang w:val="en-US" w:eastAsia="zh-CN"/>
        </w:rPr>
        <w:t>人大事务</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其他一般公共服务支出</w:t>
      </w:r>
      <w:r>
        <w:rPr>
          <w:rFonts w:hint="eastAsia" w:ascii="Times New Roman" w:hAnsi="Times New Roman" w:eastAsia="仿宋_GB2312"/>
          <w:color w:val="auto"/>
          <w:sz w:val="32"/>
          <w:szCs w:val="32"/>
        </w:rPr>
        <w:t>（项）</w:t>
      </w:r>
      <w:r>
        <w:rPr>
          <w:rFonts w:ascii="Times New Roman" w:hAnsi="Times New Roman" w:eastAsia="仿宋_GB2312" w:cs="Times New Roman"/>
          <w:color w:val="auto"/>
          <w:sz w:val="32"/>
          <w:szCs w:val="32"/>
        </w:rPr>
        <w:t>。</w:t>
      </w:r>
    </w:p>
    <w:p w14:paraId="5031DD8B">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87</w:t>
      </w:r>
      <w:r>
        <w:rPr>
          <w:rFonts w:ascii="Times New Roman" w:hAnsi="Times New Roman" w:eastAsia="仿宋_GB2312" w:cs="Times New Roman"/>
          <w:color w:val="auto"/>
          <w:sz w:val="32"/>
          <w:szCs w:val="32"/>
        </w:rPr>
        <w:t>万元，</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追加10月份工资及2025年度考核奖支出调整科目。</w:t>
      </w:r>
    </w:p>
    <w:p w14:paraId="5D5F1BE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olor w:val="auto"/>
          <w:sz w:val="32"/>
          <w:szCs w:val="32"/>
          <w:lang w:val="en-US" w:eastAsia="zh-CN"/>
        </w:rPr>
        <w:t>社会保障和就业支出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val="en-US" w:eastAsia="zh-CN"/>
        </w:rPr>
        <w:t>行政事业单位养老支出</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机关事业单位基本养老保险缴费支出</w:t>
      </w:r>
      <w:r>
        <w:rPr>
          <w:rFonts w:hint="eastAsia" w:ascii="Times New Roman" w:hAnsi="Times New Roman" w:eastAsia="仿宋_GB2312"/>
          <w:color w:val="auto"/>
          <w:sz w:val="32"/>
          <w:szCs w:val="32"/>
        </w:rPr>
        <w:t>（项）</w:t>
      </w:r>
      <w:r>
        <w:rPr>
          <w:rFonts w:ascii="Times New Roman" w:hAnsi="Times New Roman" w:eastAsia="仿宋_GB2312" w:cs="Times New Roman"/>
          <w:sz w:val="32"/>
          <w:szCs w:val="32"/>
        </w:rPr>
        <w:t>。</w:t>
      </w:r>
    </w:p>
    <w:p w14:paraId="14F8E99D">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149.99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155.40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103.61</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人员增加，相关支出增加。</w:t>
      </w:r>
    </w:p>
    <w:p w14:paraId="0F212D97">
      <w:pPr>
        <w:pStyle w:val="14"/>
        <w:numPr>
          <w:ilvl w:val="0"/>
          <w:numId w:val="0"/>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color w:val="000000"/>
          <w:sz w:val="32"/>
          <w:szCs w:val="32"/>
          <w:lang w:val="en-US" w:eastAsia="zh-CN" w:bidi="ar-SA"/>
        </w:rPr>
        <w:t>4</w:t>
      </w:r>
      <w:r>
        <w:rPr>
          <w:rFonts w:ascii="Times New Roman" w:hAnsi="Times New Roman" w:eastAsia="仿宋_GB2312" w:cs="Times New Roman"/>
          <w:color w:val="000000"/>
          <w:sz w:val="32"/>
          <w:szCs w:val="32"/>
          <w:lang w:val="en-US" w:eastAsia="zh-CN" w:bidi="ar-SA"/>
        </w:rPr>
        <w:t>、</w:t>
      </w:r>
      <w:r>
        <w:rPr>
          <w:rFonts w:hint="eastAsia" w:ascii="仿宋" w:hAnsi="仿宋" w:eastAsia="仿宋" w:cs="仿宋"/>
          <w:color w:val="auto"/>
          <w:sz w:val="32"/>
          <w:szCs w:val="32"/>
        </w:rPr>
        <w:t>卫生健康支出（类）行政事业单位医疗（款）行政单位医疗（项）</w:t>
      </w:r>
      <w:r>
        <w:rPr>
          <w:rFonts w:hint="eastAsia" w:ascii="仿宋" w:hAnsi="仿宋" w:eastAsia="仿宋" w:cs="仿宋"/>
          <w:color w:val="auto"/>
          <w:sz w:val="32"/>
          <w:szCs w:val="32"/>
          <w:lang w:eastAsia="zh-CN"/>
        </w:rPr>
        <w:t>。</w:t>
      </w:r>
    </w:p>
    <w:p w14:paraId="5DD8E74B">
      <w:pPr>
        <w:pStyle w:val="14"/>
        <w:numPr>
          <w:ilvl w:val="0"/>
          <w:numId w:val="0"/>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59.55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62.26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104.55</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人员增加，相关支出增加。</w:t>
      </w:r>
    </w:p>
    <w:p w14:paraId="4917A706">
      <w:pPr>
        <w:pStyle w:val="14"/>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仿宋" w:hAnsi="仿宋" w:eastAsia="仿宋" w:cs="仿宋"/>
          <w:color w:val="auto"/>
          <w:sz w:val="32"/>
          <w:szCs w:val="32"/>
          <w:lang w:val="en-US" w:eastAsia="zh-CN"/>
        </w:rPr>
        <w:t>5、</w:t>
      </w:r>
      <w:r>
        <w:rPr>
          <w:rFonts w:hint="eastAsia" w:ascii="Times New Roman" w:hAnsi="Times New Roman" w:eastAsia="仿宋_GB2312"/>
          <w:sz w:val="32"/>
          <w:szCs w:val="32"/>
        </w:rPr>
        <w:t>城乡社区支出（类）城乡社区管理事务（款）其他城乡社区管理事务支出（项）</w:t>
      </w:r>
      <w:r>
        <w:rPr>
          <w:rFonts w:hint="eastAsia" w:ascii="Times New Roman" w:hAnsi="Times New Roman" w:eastAsia="仿宋_GB2312"/>
          <w:sz w:val="32"/>
          <w:szCs w:val="32"/>
          <w:lang w:eastAsia="zh-CN"/>
        </w:rPr>
        <w:t>。</w:t>
      </w:r>
    </w:p>
    <w:p w14:paraId="4E9A8E2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193.14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134.89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69.84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于年初预算数的主要原因是：</w:t>
      </w:r>
      <w:r>
        <w:rPr>
          <w:rFonts w:hint="eastAsia" w:ascii="仿宋" w:hAnsi="仿宋" w:eastAsia="仿宋" w:cs="仿宋"/>
          <w:sz w:val="32"/>
          <w:szCs w:val="32"/>
          <w:lang w:val="en-US" w:eastAsia="zh-CN"/>
        </w:rPr>
        <w:t>社保科目调整</w:t>
      </w:r>
      <w:r>
        <w:rPr>
          <w:rFonts w:hint="eastAsia" w:ascii="Times New Roman" w:hAnsi="Times New Roman" w:eastAsia="仿宋_GB2312"/>
          <w:sz w:val="32"/>
          <w:szCs w:val="32"/>
          <w:lang w:val="en-US" w:eastAsia="zh-CN"/>
        </w:rPr>
        <w:t>。</w:t>
      </w:r>
    </w:p>
    <w:p w14:paraId="0F96C653">
      <w:pPr>
        <w:pStyle w:val="14"/>
        <w:numPr>
          <w:ilvl w:val="0"/>
          <w:numId w:val="0"/>
        </w:numPr>
        <w:overflowPunct w:val="0"/>
        <w:autoSpaceDE/>
        <w:autoSpaceDN/>
        <w:spacing w:line="600" w:lineRule="exact"/>
        <w:ind w:left="0" w:leftChars="0"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cs="黑体"/>
          <w:color w:val="000000"/>
          <w:sz w:val="32"/>
          <w:szCs w:val="32"/>
          <w:lang w:val="en-US" w:eastAsia="zh-CN" w:bidi="ar-SA"/>
        </w:rPr>
        <w:t>6、</w:t>
      </w:r>
      <w:r>
        <w:rPr>
          <w:rFonts w:hint="eastAsia" w:ascii="Times New Roman" w:hAnsi="Times New Roman" w:eastAsia="仿宋_GB2312"/>
          <w:sz w:val="32"/>
          <w:szCs w:val="32"/>
        </w:rPr>
        <w:t>城乡社区支出（类）城乡社区公共设施（款）  其他城乡社区公共设施支出（项）</w:t>
      </w:r>
      <w:r>
        <w:rPr>
          <w:rFonts w:hint="eastAsia" w:ascii="Times New Roman" w:hAnsi="Times New Roman" w:eastAsia="仿宋_GB2312"/>
          <w:sz w:val="32"/>
          <w:szCs w:val="32"/>
          <w:lang w:eastAsia="zh-CN"/>
        </w:rPr>
        <w:t>。</w:t>
      </w:r>
    </w:p>
    <w:p w14:paraId="0A454EA7">
      <w:pPr>
        <w:pStyle w:val="14"/>
        <w:numPr>
          <w:ilvl w:val="0"/>
          <w:numId w:val="0"/>
        </w:numPr>
        <w:overflowPunct w:val="0"/>
        <w:autoSpaceDE/>
        <w:autoSpaceDN/>
        <w:spacing w:line="600" w:lineRule="exact"/>
        <w:ind w:left="0" w:leftChars="0"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189.9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“一迎三创”及城区基础设施建设管理维护安排的城区园林绿化提质项目经费安排。</w:t>
      </w:r>
    </w:p>
    <w:p w14:paraId="198107D5">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cs="黑体"/>
          <w:color w:val="000000"/>
          <w:sz w:val="32"/>
          <w:szCs w:val="32"/>
          <w:lang w:val="en-US" w:eastAsia="zh-CN" w:bidi="ar-SA"/>
        </w:rPr>
        <w:t>7、</w:t>
      </w:r>
      <w:r>
        <w:rPr>
          <w:rFonts w:hint="eastAsia" w:ascii="Times New Roman" w:hAnsi="Times New Roman" w:eastAsia="仿宋_GB2312"/>
          <w:sz w:val="32"/>
          <w:szCs w:val="32"/>
        </w:rPr>
        <w:t>城乡社区支出（类）城乡社区环境卫生（款）城乡社区环境卫生（项）</w:t>
      </w:r>
      <w:r>
        <w:rPr>
          <w:rFonts w:hint="eastAsia" w:ascii="Times New Roman" w:hAnsi="Times New Roman" w:eastAsia="仿宋_GB2312"/>
          <w:sz w:val="32"/>
          <w:szCs w:val="32"/>
          <w:lang w:eastAsia="zh-CN"/>
        </w:rPr>
        <w:t>。</w:t>
      </w:r>
    </w:p>
    <w:p w14:paraId="7BA23EF8">
      <w:pPr>
        <w:pStyle w:val="14"/>
        <w:numPr>
          <w:ilvl w:val="0"/>
          <w:numId w:val="0"/>
        </w:numPr>
        <w:overflowPunct w:val="0"/>
        <w:autoSpaceDE/>
        <w:autoSpaceDN/>
        <w:spacing w:line="600" w:lineRule="exact"/>
        <w:ind w:firstLine="640" w:firstLineChars="200"/>
        <w:jc w:val="both"/>
        <w:rPr>
          <w:rFonts w:hint="eastAsia" w:ascii="Times New Roman" w:hAnsi="Times New Roman" w:eastAsia="仿宋"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1985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458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23.07</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城区日常养护</w:t>
      </w:r>
      <w:r>
        <w:rPr>
          <w:rFonts w:hint="eastAsia" w:ascii="仿宋" w:hAnsi="仿宋" w:eastAsia="仿宋" w:cs="仿宋"/>
          <w:sz w:val="32"/>
          <w:szCs w:val="32"/>
          <w:lang w:val="en-US" w:eastAsia="zh-CN"/>
        </w:rPr>
        <w:t>经费未到位</w:t>
      </w:r>
      <w:r>
        <w:rPr>
          <w:rFonts w:hint="eastAsia" w:ascii="仿宋" w:hAnsi="仿宋" w:eastAsia="仿宋" w:cs="仿宋"/>
          <w:sz w:val="32"/>
          <w:szCs w:val="32"/>
          <w:lang w:eastAsia="zh-CN"/>
        </w:rPr>
        <w:t>。</w:t>
      </w:r>
    </w:p>
    <w:p w14:paraId="1BC77AFB">
      <w:pPr>
        <w:pStyle w:val="14"/>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bidi="ar-SA"/>
        </w:rPr>
        <w:t>8、</w:t>
      </w:r>
      <w:r>
        <w:rPr>
          <w:rFonts w:hint="eastAsia" w:ascii="Times New Roman" w:hAnsi="Times New Roman" w:eastAsia="仿宋_GB2312"/>
          <w:sz w:val="32"/>
          <w:szCs w:val="32"/>
        </w:rPr>
        <w:t>城乡社区支出</w:t>
      </w:r>
      <w:r>
        <w:rPr>
          <w:rFonts w:hint="eastAsia" w:ascii="仿宋" w:hAnsi="仿宋" w:eastAsia="仿宋" w:cs="仿宋"/>
          <w:color w:val="auto"/>
          <w:sz w:val="32"/>
          <w:szCs w:val="32"/>
        </w:rPr>
        <w:t>（类）其他城乡社区支出（款）其他城乡社区支出（项）</w:t>
      </w:r>
      <w:r>
        <w:rPr>
          <w:rFonts w:hint="eastAsia" w:ascii="仿宋" w:hAnsi="仿宋" w:eastAsia="仿宋" w:cs="仿宋"/>
          <w:color w:val="auto"/>
          <w:sz w:val="32"/>
          <w:szCs w:val="32"/>
          <w:lang w:eastAsia="zh-CN"/>
        </w:rPr>
        <w:t>。</w:t>
      </w:r>
    </w:p>
    <w:p w14:paraId="4A689B48">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1453.13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专项经费年中追加。</w:t>
      </w:r>
    </w:p>
    <w:p w14:paraId="2E322EC2">
      <w:pPr>
        <w:pStyle w:val="14"/>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lang w:eastAsia="zh-CN"/>
        </w:rPr>
      </w:pPr>
      <w:r>
        <w:rPr>
          <w:rFonts w:hint="eastAsia" w:ascii="Times New Roman" w:hAnsi="Times New Roman" w:eastAsia="仿宋_GB2312" w:cs="Times New Roman"/>
          <w:sz w:val="32"/>
          <w:szCs w:val="32"/>
          <w:lang w:val="en-US" w:eastAsia="zh-CN"/>
        </w:rPr>
        <w:t>9、</w:t>
      </w:r>
      <w:r>
        <w:rPr>
          <w:rFonts w:hint="eastAsia" w:ascii="Times New Roman" w:hAnsi="Times New Roman" w:eastAsia="仿宋_GB2312"/>
          <w:sz w:val="32"/>
          <w:szCs w:val="32"/>
        </w:rPr>
        <w:t>住房保障支出</w:t>
      </w:r>
      <w:r>
        <w:rPr>
          <w:rFonts w:hint="eastAsia" w:ascii="仿宋" w:hAnsi="仿宋" w:eastAsia="仿宋" w:cs="仿宋"/>
          <w:color w:val="auto"/>
          <w:sz w:val="32"/>
          <w:szCs w:val="32"/>
        </w:rPr>
        <w:t>（类）住房改革支出（款）住房公积金（项）</w:t>
      </w:r>
      <w:r>
        <w:rPr>
          <w:rFonts w:hint="eastAsia" w:ascii="仿宋" w:hAnsi="仿宋" w:eastAsia="仿宋" w:cs="仿宋"/>
          <w:color w:val="auto"/>
          <w:sz w:val="32"/>
          <w:szCs w:val="32"/>
          <w:lang w:eastAsia="zh-CN"/>
        </w:rPr>
        <w:t>。</w:t>
      </w:r>
    </w:p>
    <w:p w14:paraId="3562D13E">
      <w:pPr>
        <w:pStyle w:val="14"/>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10.99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科目调整。</w:t>
      </w:r>
    </w:p>
    <w:p w14:paraId="32D89379">
      <w:pPr>
        <w:pStyle w:val="14"/>
        <w:numPr>
          <w:ilvl w:val="0"/>
          <w:numId w:val="1"/>
        </w:numPr>
        <w:overflowPunct w:val="0"/>
        <w:autoSpaceDE/>
        <w:autoSpaceDN/>
        <w:spacing w:line="600" w:lineRule="exact"/>
        <w:ind w:firstLine="640" w:firstLineChars="200"/>
        <w:jc w:val="both"/>
        <w:rPr>
          <w:rFonts w:hint="eastAsia" w:ascii="仿宋" w:hAnsi="仿宋" w:eastAsia="仿宋" w:cs="仿宋"/>
          <w:color w:val="auto"/>
          <w:sz w:val="32"/>
          <w:szCs w:val="32"/>
          <w:lang w:eastAsia="zh-CN"/>
        </w:rPr>
      </w:pPr>
      <w:r>
        <w:rPr>
          <w:rFonts w:ascii="Times New Roman" w:hAnsi="Times New Roman" w:eastAsia="仿宋_GB2312" w:cs="Times New Roman"/>
          <w:sz w:val="32"/>
          <w:szCs w:val="32"/>
        </w:rPr>
        <w:t>灾害防治及应急管理支出</w:t>
      </w:r>
      <w:r>
        <w:rPr>
          <w:rFonts w:hint="eastAsia" w:ascii="Times New Roman" w:hAnsi="Times New Roman" w:eastAsia="仿宋_GB2312" w:cs="Times New Roman"/>
          <w:sz w:val="32"/>
          <w:szCs w:val="32"/>
        </w:rPr>
        <w:t>（类）</w:t>
      </w:r>
      <w:r>
        <w:rPr>
          <w:rFonts w:ascii="Times New Roman" w:hAnsi="Times New Roman" w:eastAsia="仿宋_GB2312" w:cs="Times New Roman"/>
          <w:sz w:val="32"/>
          <w:szCs w:val="32"/>
        </w:rPr>
        <w:t>其他灾害防治及应急管理支出</w:t>
      </w:r>
      <w:r>
        <w:rPr>
          <w:rFonts w:hint="eastAsia" w:ascii="Times New Roman" w:hAnsi="Times New Roman" w:eastAsia="仿宋_GB2312" w:cs="Times New Roman"/>
          <w:sz w:val="32"/>
          <w:szCs w:val="32"/>
        </w:rPr>
        <w:t>（款）</w:t>
      </w:r>
      <w:r>
        <w:rPr>
          <w:rFonts w:hint="eastAsia" w:ascii="仿宋" w:hAnsi="仿宋" w:eastAsia="仿宋" w:cs="仿宋"/>
          <w:color w:val="auto"/>
          <w:sz w:val="32"/>
          <w:szCs w:val="32"/>
        </w:rPr>
        <w:t>其他灾害防治及应急管理支出（项）</w:t>
      </w:r>
      <w:r>
        <w:rPr>
          <w:rFonts w:hint="eastAsia" w:ascii="仿宋" w:hAnsi="仿宋" w:eastAsia="仿宋" w:cs="仿宋"/>
          <w:color w:val="auto"/>
          <w:sz w:val="32"/>
          <w:szCs w:val="32"/>
          <w:lang w:eastAsia="zh-CN"/>
        </w:rPr>
        <w:t>。</w:t>
      </w:r>
    </w:p>
    <w:p w14:paraId="6D30703D">
      <w:pPr>
        <w:pStyle w:val="14"/>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年中追加经费。</w:t>
      </w:r>
    </w:p>
    <w:p w14:paraId="3E14A7A1">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专项工程建设支出</w:t>
      </w:r>
      <w:r>
        <w:rPr>
          <w:rFonts w:hint="eastAsia" w:ascii="Times New Roman" w:hAnsi="Times New Roman" w:eastAsia="仿宋_GB2312" w:cs="Times New Roman"/>
          <w:sz w:val="32"/>
          <w:szCs w:val="32"/>
        </w:rPr>
        <w:t>占财政拨款支出总额的比重较高，主要是：</w:t>
      </w:r>
      <w:r>
        <w:rPr>
          <w:rFonts w:hint="eastAsia" w:ascii="仿宋" w:hAnsi="仿宋" w:eastAsia="仿宋" w:cs="仿宋"/>
          <w:color w:val="auto"/>
          <w:sz w:val="32"/>
          <w:szCs w:val="32"/>
        </w:rPr>
        <w:t>其他城乡社区支</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1453.13</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37.33</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“一迎三创”及旅发大会</w:t>
      </w:r>
      <w:r>
        <w:rPr>
          <w:rFonts w:hint="eastAsia" w:ascii="Times New Roman" w:hAnsi="Times New Roman" w:eastAsia="仿宋_GB2312" w:cs="Times New Roman"/>
          <w:sz w:val="32"/>
          <w:szCs w:val="32"/>
        </w:rPr>
        <w:t>项目建设</w:t>
      </w:r>
      <w:r>
        <w:rPr>
          <w:rFonts w:hint="eastAsia" w:ascii="Times New Roman" w:hAnsi="Times New Roman" w:eastAsia="仿宋_GB2312" w:cs="Times New Roman"/>
          <w:sz w:val="32"/>
          <w:szCs w:val="32"/>
          <w:lang w:eastAsia="zh-CN"/>
        </w:rPr>
        <w:t>。</w:t>
      </w:r>
    </w:p>
    <w:p w14:paraId="7F7077C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13B86DB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1888.74</w:t>
      </w:r>
      <w:r>
        <w:rPr>
          <w:rFonts w:ascii="Times New Roman" w:hAnsi="Times New Roman" w:eastAsia="仿宋_GB2312" w:cs="Times New Roman"/>
          <w:sz w:val="32"/>
          <w:szCs w:val="32"/>
        </w:rPr>
        <w:t>万元，其中：</w:t>
      </w:r>
    </w:p>
    <w:p w14:paraId="7D40FFD7">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1764.17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93.40</w:t>
      </w:r>
      <w:r>
        <w:rPr>
          <w:rFonts w:ascii="Times New Roman" w:hAnsi="Times New Roman" w:eastAsia="仿宋_GB2312" w:cs="Times New Roman"/>
          <w:sz w:val="32"/>
          <w:szCs w:val="32"/>
        </w:rPr>
        <w:t>%,主要包括</w:t>
      </w:r>
      <w:r>
        <w:rPr>
          <w:rFonts w:hint="eastAsia" w:ascii="仿宋" w:hAnsi="仿宋" w:eastAsia="仿宋" w:cs="仿宋"/>
          <w:sz w:val="32"/>
          <w:szCs w:val="32"/>
        </w:rPr>
        <w:t>基本工资、津贴补贴、奖金、伙食补助费</w:t>
      </w:r>
      <w:r>
        <w:rPr>
          <w:rFonts w:hint="eastAsia" w:ascii="仿宋" w:hAnsi="仿宋" w:eastAsia="仿宋" w:cs="仿宋"/>
          <w:sz w:val="32"/>
          <w:szCs w:val="32"/>
          <w:lang w:eastAsia="zh-CN"/>
        </w:rPr>
        <w:t>、</w:t>
      </w:r>
      <w:r>
        <w:rPr>
          <w:rFonts w:hint="eastAsia" w:ascii="仿宋" w:hAnsi="仿宋" w:eastAsia="仿宋" w:cs="仿宋"/>
          <w:sz w:val="32"/>
          <w:szCs w:val="32"/>
        </w:rPr>
        <w:t>机关事业单位基本养老保险费、职业年金缴费、职工基本医疗保险缴费、其他社会保障缴费、住房公积金、医疗费补助、其他工资福利支出、离休费、退休费、抚恤金、生活补助、奖励金、其他对个人和家庭的补助</w:t>
      </w:r>
      <w:r>
        <w:rPr>
          <w:rFonts w:hint="eastAsia" w:ascii="Times New Roman" w:hAnsi="Times New Roman" w:eastAsia="仿宋_GB2312"/>
          <w:sz w:val="32"/>
          <w:szCs w:val="32"/>
          <w:lang w:eastAsia="zh-CN"/>
        </w:rPr>
        <w:t>。</w:t>
      </w:r>
    </w:p>
    <w:p w14:paraId="50F68B14">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124.57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6.6</w:t>
      </w:r>
      <w:r>
        <w:rPr>
          <w:rFonts w:ascii="Times New Roman" w:hAnsi="Times New Roman" w:eastAsia="仿宋_GB2312" w:cs="Times New Roman"/>
          <w:sz w:val="32"/>
          <w:szCs w:val="32"/>
        </w:rPr>
        <w:t>%，主要包括</w:t>
      </w:r>
      <w:r>
        <w:rPr>
          <w:rFonts w:hint="eastAsia" w:ascii="仿宋" w:hAnsi="仿宋" w:eastAsia="仿宋" w:cs="仿宋"/>
          <w:sz w:val="32"/>
          <w:szCs w:val="32"/>
        </w:rPr>
        <w:t>办公费、印刷费、咨询费、水费、电费、邮电费、差旅费、维修（护）费、租赁费、公务接待费、专用材料费、劳务费、工会经费、福利费、公务用车维护费、其他交通费用、其他商品和服务支出及资本性支出。</w:t>
      </w:r>
    </w:p>
    <w:p w14:paraId="3FF10CC2">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17D17D90">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AE5FD82">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75.90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2.91</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sz w:val="32"/>
          <w:szCs w:val="32"/>
          <w:lang w:val="en-US" w:eastAsia="zh-CN"/>
        </w:rPr>
        <w:t>严格控制支出</w:t>
      </w:r>
      <w:r>
        <w:rPr>
          <w:rFonts w:ascii="Times New Roman" w:hAnsi="Times New Roman" w:eastAsia="仿宋_GB2312" w:cs="Times New Roman"/>
          <w:sz w:val="32"/>
          <w:szCs w:val="32"/>
        </w:rPr>
        <w:t>。</w:t>
      </w:r>
    </w:p>
    <w:p w14:paraId="7BF66572">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E57815E">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E9DFD8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83.5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2.91</w:t>
      </w:r>
      <w:r>
        <w:rPr>
          <w:rFonts w:ascii="Times New Roman" w:hAnsi="Times New Roman" w:eastAsia="仿宋_GB2312" w:cs="Times New Roman"/>
          <w:sz w:val="32"/>
          <w:szCs w:val="32"/>
        </w:rPr>
        <w:t>%。其中：</w:t>
      </w:r>
    </w:p>
    <w:p w14:paraId="614DD03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全年无公务用车购置</w:t>
      </w:r>
      <w:r>
        <w:rPr>
          <w:rFonts w:ascii="Times New Roman" w:hAnsi="Times New Roman" w:eastAsia="仿宋_GB2312" w:cs="Times New Roman"/>
          <w:sz w:val="32"/>
          <w:szCs w:val="32"/>
        </w:rPr>
        <w:t>。</w:t>
      </w:r>
    </w:p>
    <w:p w14:paraId="5D43900D">
      <w:pPr>
        <w:pStyle w:val="14"/>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1.67</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val="en-US" w:eastAsia="zh-CN"/>
        </w:rPr>
        <w:t>车辆维修、车辆年检、车辆保险等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83.5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2.91</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sz w:val="32"/>
          <w:szCs w:val="32"/>
          <w:lang w:val="en-US" w:eastAsia="zh-CN"/>
        </w:rPr>
        <w:t>严格控制支出</w:t>
      </w:r>
      <w:r>
        <w:rPr>
          <w:rFonts w:hint="eastAsia" w:ascii="Times New Roman" w:hAnsi="Times New Roman" w:eastAsia="仿宋_GB2312"/>
          <w:sz w:val="32"/>
          <w:szCs w:val="32"/>
        </w:rPr>
        <w:t>，规范</w:t>
      </w:r>
      <w:r>
        <w:rPr>
          <w:rFonts w:hint="eastAsia" w:ascii="Times New Roman" w:hAnsi="Times New Roman" w:eastAsia="仿宋_GB2312"/>
          <w:sz w:val="32"/>
          <w:szCs w:val="32"/>
          <w:lang w:val="en-US" w:eastAsia="zh-CN"/>
        </w:rPr>
        <w:t>使用</w:t>
      </w:r>
      <w:r>
        <w:rPr>
          <w:rFonts w:hint="eastAsia" w:ascii="Times New Roman" w:hAnsi="Times New Roman" w:eastAsia="仿宋_GB2312"/>
          <w:sz w:val="32"/>
          <w:szCs w:val="32"/>
        </w:rPr>
        <w:t>公务用车</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w:t>
      </w:r>
    </w:p>
    <w:p w14:paraId="20FE916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w:t>
      </w:r>
      <w:r>
        <w:rPr>
          <w:rFonts w:hint="eastAsia" w:ascii="Times New Roman" w:hAnsi="Times New Roman" w:eastAsia="仿宋_GB2312" w:cs="Times New Roman"/>
          <w:sz w:val="32"/>
          <w:szCs w:val="32"/>
          <w:lang w:val="en-US" w:eastAsia="zh-CN"/>
        </w:rPr>
        <w:t>未</w:t>
      </w:r>
      <w:r>
        <w:rPr>
          <w:rFonts w:ascii="Times New Roman" w:hAnsi="Times New Roman" w:eastAsia="仿宋_GB2312" w:cs="Times New Roman"/>
          <w:sz w:val="32"/>
          <w:szCs w:val="32"/>
        </w:rPr>
        <w:t>发生接待支出。</w:t>
      </w:r>
    </w:p>
    <w:p w14:paraId="4DFF881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8269D4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58.5</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58.5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58.5</w:t>
      </w:r>
      <w:r>
        <w:rPr>
          <w:rFonts w:ascii="Times New Roman" w:hAnsi="Times New Roman" w:eastAsia="仿宋_GB2312" w:cs="Times New Roman"/>
          <w:sz w:val="32"/>
          <w:szCs w:val="32"/>
        </w:rPr>
        <w:t>万元；年末结转和结</w:t>
      </w:r>
      <w:r>
        <w:rPr>
          <w:rFonts w:hint="eastAsia" w:ascii="Times New Roman" w:hAnsi="Times New Roman" w:eastAsia="仿宋_GB2312" w:cs="Times New Roman"/>
          <w:sz w:val="32"/>
          <w:szCs w:val="32"/>
          <w:lang w:eastAsia="zh-CN"/>
        </w:rPr>
        <w:t>余</w:t>
      </w:r>
      <w:bookmarkStart w:id="0" w:name="_GoBack"/>
      <w:bookmarkEnd w:id="0"/>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2535A80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rPr>
        <w:t>城乡社区支出（类）城市基础设施配套费安排的支出（款）城市环境卫生（项）</w:t>
      </w:r>
      <w:r>
        <w:rPr>
          <w:rFonts w:ascii="Times New Roman" w:hAnsi="Times New Roman" w:eastAsia="仿宋_GB2312" w:cs="Times New Roman"/>
          <w:sz w:val="32"/>
          <w:szCs w:val="32"/>
        </w:rPr>
        <w:t>。</w:t>
      </w:r>
    </w:p>
    <w:p w14:paraId="26E650E0">
      <w:pPr>
        <w:pStyle w:val="14"/>
        <w:overflowPunct w:val="0"/>
        <w:autoSpaceDE/>
        <w:autoSpaceDN/>
        <w:spacing w:line="600" w:lineRule="exact"/>
        <w:ind w:firstLine="640" w:firstLineChars="200"/>
        <w:jc w:val="both"/>
        <w:rPr>
          <w:rFonts w:hint="eastAsia" w:ascii="仿宋" w:hAnsi="仿宋" w:eastAsia="仿宋" w:cs="仿宋"/>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仿宋" w:hAnsi="仿宋" w:eastAsia="仿宋" w:cs="仿宋"/>
          <w:sz w:val="32"/>
          <w:szCs w:val="32"/>
          <w:lang w:val="en-US" w:eastAsia="zh-CN"/>
        </w:rPr>
        <w:t>财政统筹安排，年初未编制预算。</w:t>
      </w:r>
    </w:p>
    <w:p w14:paraId="18A9AF9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sz w:val="32"/>
          <w:szCs w:val="32"/>
        </w:rPr>
        <w:t>城乡社区支出（类）城市基础设施配套费安排的支出（款）其他城市基础设施配套费安排的支出（项）</w:t>
      </w:r>
      <w:r>
        <w:rPr>
          <w:rFonts w:ascii="Times New Roman" w:hAnsi="Times New Roman" w:eastAsia="仿宋_GB2312" w:cs="Times New Roman"/>
          <w:sz w:val="32"/>
          <w:szCs w:val="32"/>
        </w:rPr>
        <w:t>。</w:t>
      </w:r>
    </w:p>
    <w:p w14:paraId="422C34F2">
      <w:pPr>
        <w:pStyle w:val="14"/>
        <w:overflowPunct w:val="0"/>
        <w:autoSpaceDE/>
        <w:autoSpaceDN/>
        <w:spacing w:line="600" w:lineRule="exact"/>
        <w:ind w:firstLine="640" w:firstLineChars="200"/>
        <w:jc w:val="both"/>
        <w:rPr>
          <w:rFonts w:hint="eastAsia" w:ascii="仿宋" w:hAnsi="仿宋" w:eastAsia="仿宋" w:cs="仿宋"/>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52.5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10.09</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经费未到位</w:t>
      </w:r>
      <w:r>
        <w:rPr>
          <w:rFonts w:hint="eastAsia" w:ascii="仿宋" w:hAnsi="仿宋" w:eastAsia="仿宋" w:cs="仿宋"/>
          <w:sz w:val="32"/>
          <w:szCs w:val="32"/>
          <w:lang w:val="en-US" w:eastAsia="zh-CN"/>
        </w:rPr>
        <w:t>。</w:t>
      </w:r>
    </w:p>
    <w:p w14:paraId="5D1F966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82C28DE">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124.57</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11.41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资产运行维护支出增加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人员编制数量增加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专项工作任务增加</w:t>
      </w:r>
      <w:r>
        <w:rPr>
          <w:rFonts w:ascii="Times New Roman" w:hAnsi="Times New Roman" w:eastAsia="仿宋_GB2312" w:cs="Times New Roman"/>
          <w:sz w:val="32"/>
          <w:szCs w:val="32"/>
        </w:rPr>
        <w:t>。</w:t>
      </w:r>
    </w:p>
    <w:p w14:paraId="50CAF82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36F29982">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1.82</w:t>
      </w:r>
      <w:r>
        <w:rPr>
          <w:rFonts w:ascii="Times New Roman" w:hAnsi="Times New Roman" w:eastAsia="仿宋_GB2312" w:cs="Times New Roman"/>
          <w:sz w:val="32"/>
          <w:szCs w:val="32"/>
        </w:rPr>
        <w:t>万元，用于开展</w:t>
      </w:r>
      <w:r>
        <w:rPr>
          <w:rFonts w:hint="eastAsia" w:ascii="仿宋" w:hAnsi="仿宋" w:eastAsia="仿宋" w:cs="仿宋"/>
          <w:sz w:val="32"/>
          <w:szCs w:val="32"/>
          <w:lang w:val="en-US" w:eastAsia="zh-CN"/>
        </w:rPr>
        <w:t>事业单位人员继续教育线上培训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人，内容为</w:t>
      </w:r>
      <w:r>
        <w:rPr>
          <w:rFonts w:hint="eastAsia" w:ascii="Times New Roman" w:hAnsi="Times New Roman" w:eastAsia="仿宋_GB2312"/>
          <w:sz w:val="32"/>
          <w:szCs w:val="32"/>
          <w:lang w:val="en-US" w:eastAsia="zh-CN"/>
        </w:rPr>
        <w:t>公需课和专业技能的继续教育</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2E422FC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0B27EB3A">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2204.40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24.09</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1813.27</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367.03</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1004.40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45.56</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1004.40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1.09</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82.26</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16.65</w:t>
      </w:r>
      <w:r>
        <w:rPr>
          <w:rFonts w:ascii="Times New Roman" w:hAnsi="Times New Roman" w:eastAsia="仿宋_GB2312" w:cs="Times New Roman"/>
          <w:color w:val="auto"/>
          <w:sz w:val="32"/>
          <w:szCs w:val="32"/>
        </w:rPr>
        <w:t>%。</w:t>
      </w:r>
    </w:p>
    <w:p w14:paraId="711F93E2">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4FE80230">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25</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19</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1025D347">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20D92442">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12</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2099.25</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12</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2004.44</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54.49</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58.5</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2A78D0C1">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4365.61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4086.99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93.62</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94.44</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”。绩效目标完成情况：一是</w:t>
      </w:r>
      <w:r>
        <w:rPr>
          <w:rFonts w:hint="eastAsia" w:ascii="Times New Roman Regular" w:hAnsi="Times New Roman Regular" w:eastAsia="仿宋_GB2312" w:cs="Times New Roman Regular"/>
          <w:sz w:val="32"/>
          <w:szCs w:val="32"/>
          <w:lang w:val="en-US" w:eastAsia="zh-CN"/>
        </w:rPr>
        <w:t>全面完成自管绿地日常养护，累计修剪行道树约2.5万株、绿篱2.8万平方米、球类植物1859株，清除杂草4.27万平方米，清理园林废弃物128.5吨，维修设施245处</w:t>
      </w:r>
      <w:r>
        <w:rPr>
          <w:rFonts w:ascii="Times New Roman" w:hAnsi="Times New Roman" w:eastAsia="仿宋_GB2312" w:cs="Times New Roman"/>
          <w:sz w:val="32"/>
          <w:szCs w:val="32"/>
        </w:rPr>
        <w:t>；二是</w:t>
      </w:r>
      <w:r>
        <w:rPr>
          <w:rFonts w:hint="eastAsia" w:ascii="Times New Roman Regular" w:hAnsi="Times New Roman Regular" w:eastAsia="仿宋_GB2312" w:cs="Times New Roman Regular"/>
          <w:sz w:val="32"/>
          <w:szCs w:val="32"/>
          <w:lang w:val="en-US" w:eastAsia="zh-CN"/>
        </w:rPr>
        <w:t>持续加强承包绿地综合管养，累计修剪行道树及绿地内乔木2.95万株，补植行道树280余株，补植绿篱及草皮近7万平方米，栽植鲜花181万余盆，完成设施维修780处，病虫害防治施药127.47吨，树木涂白6万余株，施肥5.84万吨，清理垃圾1380余吨。全年累计完成行道树修剪5.45万余株，绿地补植约7万平方米，维修设施超千处，养护工作实现常态化、全覆盖；三是完善考核机制，实行月度与季度相结合的考核方式，由分管领导按月、主要领导按季度带队开展督查，全年组织暗检7次、明检12次，持续推动养护质量提升；四是根据考核结果下发督办函21件，对评分较低的3家养管单位进行约谈，督促全面整改，同步开展了雨雪冰冻、高温抗旱、施肥及病虫害防治等专项考核，增强养护针对性与应急能力；五是迎丰公园修建了怀化名人文化墙，隆平植物博物园修建了隆平纪念馆，粟裕公园完善了粟裕大将生平事迹陈列馆，其中粟裕大将生平事迹陈列馆接待党性教育、亲子活动等公益活动40余次，成了怀化城区的红色教育场所；六是全年共办理城区绿化移植、修剪、抢救等技术服务事项19件，积极处理各类群众诉求，共办结市长热线250余件、政协微建议20余件、红网百姓呼声及市长信箱4件，接待来电来访60余次，确保事事有回应、件件有着落；七是</w:t>
      </w:r>
      <w:r>
        <w:rPr>
          <w:rFonts w:hint="eastAsia" w:ascii="Times New Roman Regular" w:hAnsi="Times New Roman Regular" w:eastAsia="仿宋_GB2312" w:cs="Times New Roman Regular"/>
          <w:b w:val="0"/>
          <w:kern w:val="2"/>
          <w:sz w:val="32"/>
          <w:szCs w:val="32"/>
          <w:lang w:val="en-US" w:eastAsia="zh-CN" w:bidi="ar-SA"/>
        </w:rPr>
        <w:t>实施绿化提质改造项目21个，风貌美化项目6个，其中新增口袋公园5个，新增绿地面积26.5万平方米，打造高铁站塑石景观1处，新建花海2处，新建小微绿地10余处，提质交通渠化岛12处，安装照明路灯345盏，打造景观小品5处，美化、拆除主干道边围墙、围挡42处11000余米，累计实施主城区老旧房屋外墙美化78栋1800余户约5.86万平方米，拆除防盗网及雨棚5400余个，规范安装空调外挂机1000余处</w:t>
      </w:r>
      <w:r>
        <w:rPr>
          <w:rFonts w:ascii="Times New Roman" w:hAnsi="Times New Roman" w:eastAsia="仿宋_GB2312" w:cs="Times New Roman"/>
          <w:kern w:val="0"/>
          <w:sz w:val="32"/>
          <w:szCs w:val="32"/>
        </w:rPr>
        <w:t>。</w:t>
      </w:r>
    </w:p>
    <w:p w14:paraId="46ECAB0D">
      <w:pPr>
        <w:pStyle w:val="14"/>
        <w:numPr>
          <w:ilvl w:val="0"/>
          <w:numId w:val="0"/>
        </w:numPr>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3F18163A">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预算安排</w:t>
      </w:r>
      <w:r>
        <w:rPr>
          <w:rFonts w:hint="eastAsia" w:ascii="Times New Roman" w:hAnsi="Times New Roman" w:eastAsia="仿宋_GB2312" w:cs="Times New Roman"/>
          <w:color w:val="auto"/>
          <w:sz w:val="32"/>
          <w:szCs w:val="32"/>
          <w:lang w:val="en-US" w:eastAsia="zh-CN"/>
        </w:rPr>
        <w:t>方面</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对绩效评价结果为"优"的项目，优先保障202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年度预算安排</w:t>
      </w:r>
      <w:r>
        <w:rPr>
          <w:rFonts w:hint="eastAsia" w:ascii="Times New Roman" w:hAnsi="Times New Roman" w:eastAsia="仿宋_GB2312" w:cs="Times New Roman"/>
          <w:color w:val="auto"/>
          <w:sz w:val="32"/>
          <w:szCs w:val="32"/>
          <w:lang w:eastAsia="zh-CN"/>
        </w:rPr>
        <w:t>，对拟新增项目开展事前绩效评估，评估结果作为项目入库和申请预算的必备条件</w:t>
      </w:r>
    </w:p>
    <w:p w14:paraId="68ACB99F">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支出结构调整</w:t>
      </w:r>
      <w:r>
        <w:rPr>
          <w:rFonts w:hint="eastAsia" w:ascii="Times New Roman" w:hAnsi="Times New Roman" w:eastAsia="仿宋_GB2312" w:cs="Times New Roman"/>
          <w:color w:val="auto"/>
          <w:sz w:val="32"/>
          <w:szCs w:val="32"/>
          <w:lang w:val="en-US" w:eastAsia="zh-CN"/>
        </w:rPr>
        <w:t>方面，严格区分人员类、运转类和特定目标类支出，分类制定管理标准，对人员类支出实行刚性保障，确保工资福利等按时足额发放，对运转类支出实行弹性管理，根据绩效监控结果及时调整，对特定目标类支出实行精细化管控，确保专项资金专款专用。</w:t>
      </w:r>
    </w:p>
    <w:p w14:paraId="736452C4">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bidi="ar-SA"/>
        </w:rPr>
        <w:t>3</w:t>
      </w:r>
      <w:r>
        <w:rPr>
          <w:rFonts w:ascii="Times New Roman" w:hAnsi="Times New Roman" w:eastAsia="仿宋_GB2312" w:cs="Times New Roman"/>
          <w:color w:val="auto"/>
          <w:sz w:val="32"/>
          <w:szCs w:val="32"/>
          <w:lang w:val="en-US" w:eastAsia="zh-CN" w:bidi="ar-SA"/>
        </w:rPr>
        <w:t>、</w:t>
      </w:r>
      <w:r>
        <w:rPr>
          <w:rFonts w:ascii="Times New Roman" w:hAnsi="Times New Roman" w:eastAsia="仿宋_GB2312" w:cs="Times New Roman"/>
          <w:color w:val="auto"/>
          <w:sz w:val="32"/>
          <w:szCs w:val="32"/>
        </w:rPr>
        <w:t>资金管理</w:t>
      </w:r>
      <w:r>
        <w:rPr>
          <w:rFonts w:hint="eastAsia" w:ascii="Times New Roman" w:hAnsi="Times New Roman" w:eastAsia="仿宋_GB2312" w:cs="Times New Roman"/>
          <w:color w:val="auto"/>
          <w:sz w:val="32"/>
          <w:szCs w:val="32"/>
          <w:lang w:val="en-US" w:eastAsia="zh-CN"/>
        </w:rPr>
        <w:t>方面，建立专项资金使用负面清单，明确禁止性支出范围，加强专项资金绩效目标管理，确保资金使用与目标一致，完善专项资金调剂使用机制，对闲置资金及时收回并重新安排。</w:t>
      </w:r>
    </w:p>
    <w:p w14:paraId="41DA131E">
      <w:pPr>
        <w:pStyle w:val="14"/>
        <w:numPr>
          <w:ilvl w:val="0"/>
          <w:numId w:val="0"/>
        </w:numPr>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hint="eastAsia" w:ascii="Times New Roman" w:hAnsi="Times New Roman" w:eastAsia="仿宋_GB2312" w:cs="Times New Roman"/>
          <w:color w:val="auto"/>
          <w:sz w:val="32"/>
          <w:szCs w:val="32"/>
          <w:lang w:val="en-US" w:eastAsia="zh-CN"/>
        </w:rPr>
        <w:t>4、</w:t>
      </w:r>
      <w:r>
        <w:rPr>
          <w:rFonts w:ascii="Times New Roman" w:hAnsi="Times New Roman" w:eastAsia="仿宋_GB2312" w:cs="Times New Roman"/>
          <w:color w:val="auto"/>
          <w:sz w:val="32"/>
          <w:szCs w:val="32"/>
        </w:rPr>
        <w:t>制度建设方面</w:t>
      </w:r>
      <w:r>
        <w:rPr>
          <w:rFonts w:hint="eastAsia" w:ascii="Times New Roman" w:hAnsi="Times New Roman" w:eastAsia="仿宋_GB2312" w:cs="Times New Roman"/>
          <w:color w:val="auto"/>
          <w:sz w:val="32"/>
          <w:szCs w:val="32"/>
          <w:lang w:eastAsia="zh-CN"/>
        </w:rPr>
        <w:t>，构建"事前评估+事中监控+事后评价"的全周期绩效管理闭环，制定《部门预算绩效管理实施细则》，明确各环节操作规范，建立预算绩效管理与部门考核、干部考核相结合的"四挂钩"机制。</w:t>
      </w:r>
    </w:p>
    <w:p w14:paraId="60449EE4">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10082048">
      <w:pPr>
        <w:pStyle w:val="14"/>
        <w:jc w:val="center"/>
        <w:rPr>
          <w:rFonts w:ascii="Times New Roman" w:hAnsi="Times New Roman" w:cs="Times New Roman"/>
          <w:sz w:val="72"/>
          <w:szCs w:val="72"/>
        </w:rPr>
      </w:pPr>
    </w:p>
    <w:p w14:paraId="08753498">
      <w:pPr>
        <w:pStyle w:val="14"/>
        <w:jc w:val="center"/>
        <w:rPr>
          <w:rFonts w:ascii="Times New Roman" w:hAnsi="Times New Roman" w:cs="Times New Roman"/>
          <w:sz w:val="72"/>
          <w:szCs w:val="72"/>
        </w:rPr>
      </w:pPr>
    </w:p>
    <w:p w14:paraId="04971B61">
      <w:pPr>
        <w:pStyle w:val="14"/>
        <w:jc w:val="center"/>
        <w:rPr>
          <w:rFonts w:ascii="Times New Roman" w:hAnsi="Times New Roman" w:cs="Times New Roman"/>
          <w:sz w:val="72"/>
          <w:szCs w:val="72"/>
        </w:rPr>
      </w:pPr>
    </w:p>
    <w:p w14:paraId="02F2D90D">
      <w:pPr>
        <w:pStyle w:val="14"/>
        <w:jc w:val="both"/>
        <w:rPr>
          <w:rFonts w:ascii="Times New Roman" w:hAnsi="Times New Roman" w:cs="Times New Roman"/>
          <w:sz w:val="72"/>
          <w:szCs w:val="72"/>
        </w:rPr>
      </w:pPr>
    </w:p>
    <w:p w14:paraId="0DB1B866">
      <w:pPr>
        <w:pStyle w:val="14"/>
        <w:jc w:val="both"/>
        <w:rPr>
          <w:rFonts w:ascii="Times New Roman" w:hAnsi="Times New Roman" w:cs="Times New Roman"/>
          <w:sz w:val="72"/>
          <w:szCs w:val="72"/>
        </w:rPr>
      </w:pPr>
    </w:p>
    <w:p w14:paraId="38E335C3">
      <w:pPr>
        <w:pStyle w:val="14"/>
        <w:jc w:val="both"/>
        <w:rPr>
          <w:rFonts w:ascii="Times New Roman" w:hAnsi="Times New Roman" w:cs="Times New Roman"/>
          <w:sz w:val="72"/>
          <w:szCs w:val="72"/>
        </w:rPr>
      </w:pPr>
    </w:p>
    <w:p w14:paraId="2A8A84BF">
      <w:pPr>
        <w:pStyle w:val="14"/>
        <w:jc w:val="both"/>
        <w:rPr>
          <w:rFonts w:ascii="Times New Roman" w:hAnsi="Times New Roman" w:cs="Times New Roman"/>
          <w:sz w:val="72"/>
          <w:szCs w:val="72"/>
        </w:rPr>
      </w:pPr>
    </w:p>
    <w:p w14:paraId="158AD0DD">
      <w:pPr>
        <w:pStyle w:val="14"/>
        <w:jc w:val="both"/>
        <w:rPr>
          <w:rFonts w:ascii="Times New Roman" w:hAnsi="Times New Roman" w:cs="Times New Roman"/>
          <w:sz w:val="72"/>
          <w:szCs w:val="72"/>
        </w:rPr>
      </w:pPr>
    </w:p>
    <w:p w14:paraId="76301979">
      <w:pPr>
        <w:pStyle w:val="14"/>
        <w:jc w:val="both"/>
        <w:rPr>
          <w:rFonts w:ascii="Times New Roman" w:hAnsi="Times New Roman" w:cs="Times New Roman"/>
          <w:sz w:val="72"/>
          <w:szCs w:val="72"/>
        </w:rPr>
      </w:pPr>
    </w:p>
    <w:p w14:paraId="4F58628A">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69A779E">
      <w:pPr>
        <w:widowControl/>
        <w:jc w:val="left"/>
        <w:rPr>
          <w:rFonts w:ascii="Times New Roman" w:hAnsi="Times New Roman" w:cs="Times New Roman"/>
          <w:color w:val="000000"/>
          <w:kern w:val="0"/>
          <w:sz w:val="32"/>
          <w:szCs w:val="32"/>
        </w:rPr>
      </w:pPr>
    </w:p>
    <w:p w14:paraId="3449A4BA">
      <w:pPr>
        <w:pStyle w:val="2"/>
        <w:rPr>
          <w:rFonts w:ascii="Times New Roman" w:hAnsi="Times New Roman" w:cs="Times New Roman"/>
          <w:color w:val="000000"/>
          <w:kern w:val="0"/>
          <w:sz w:val="32"/>
          <w:szCs w:val="32"/>
        </w:rPr>
      </w:pPr>
    </w:p>
    <w:p w14:paraId="3C7B1CEC">
      <w:pPr>
        <w:pStyle w:val="3"/>
        <w:rPr>
          <w:rFonts w:ascii="Times New Roman" w:hAnsi="Times New Roman" w:cs="Times New Roman"/>
          <w:color w:val="000000"/>
          <w:kern w:val="0"/>
          <w:sz w:val="32"/>
          <w:szCs w:val="32"/>
        </w:rPr>
      </w:pPr>
    </w:p>
    <w:p w14:paraId="41004D81">
      <w:pPr>
        <w:pStyle w:val="5"/>
        <w:rPr>
          <w:rFonts w:ascii="Times New Roman" w:hAnsi="Times New Roman" w:cs="Times New Roman"/>
          <w:color w:val="000000"/>
          <w:kern w:val="0"/>
          <w:sz w:val="32"/>
          <w:szCs w:val="32"/>
        </w:rPr>
      </w:pPr>
    </w:p>
    <w:p w14:paraId="10D50C76">
      <w:pPr>
        <w:rPr>
          <w:rFonts w:ascii="Times New Roman" w:hAnsi="Times New Roman" w:cs="Times New Roman"/>
          <w:color w:val="000000"/>
          <w:kern w:val="0"/>
          <w:sz w:val="32"/>
          <w:szCs w:val="32"/>
        </w:rPr>
      </w:pPr>
    </w:p>
    <w:p w14:paraId="247C02F4">
      <w:pPr>
        <w:pStyle w:val="2"/>
        <w:rPr>
          <w:rFonts w:ascii="Times New Roman" w:hAnsi="Times New Roman" w:cs="Times New Roman"/>
          <w:color w:val="000000"/>
          <w:kern w:val="0"/>
          <w:sz w:val="32"/>
          <w:szCs w:val="32"/>
        </w:rPr>
      </w:pPr>
    </w:p>
    <w:p w14:paraId="34844E00">
      <w:pPr>
        <w:pStyle w:val="3"/>
        <w:rPr>
          <w:rFonts w:ascii="Times New Roman" w:hAnsi="Times New Roman" w:cs="Times New Roman"/>
          <w:color w:val="000000"/>
          <w:kern w:val="0"/>
          <w:sz w:val="32"/>
          <w:szCs w:val="32"/>
        </w:rPr>
      </w:pPr>
    </w:p>
    <w:p w14:paraId="54F2EBCC">
      <w:pPr>
        <w:pStyle w:val="5"/>
        <w:rPr>
          <w:rFonts w:ascii="Times New Roman" w:hAnsi="Times New Roman" w:cs="Times New Roman"/>
          <w:color w:val="000000"/>
          <w:kern w:val="0"/>
          <w:sz w:val="32"/>
          <w:szCs w:val="32"/>
        </w:rPr>
      </w:pPr>
    </w:p>
    <w:p w14:paraId="25942BEC">
      <w:pPr>
        <w:rPr>
          <w:rFonts w:ascii="Times New Roman" w:hAnsi="Times New Roman" w:cs="Times New Roman"/>
          <w:color w:val="000000"/>
          <w:kern w:val="0"/>
          <w:sz w:val="32"/>
          <w:szCs w:val="32"/>
        </w:rPr>
      </w:pPr>
    </w:p>
    <w:p w14:paraId="16FAB408">
      <w:pPr>
        <w:pStyle w:val="2"/>
        <w:rPr>
          <w:rFonts w:ascii="Times New Roman" w:hAnsi="Times New Roman" w:cs="Times New Roman"/>
          <w:color w:val="000000"/>
          <w:kern w:val="0"/>
          <w:sz w:val="32"/>
          <w:szCs w:val="32"/>
        </w:rPr>
      </w:pPr>
    </w:p>
    <w:p w14:paraId="2DF3C664">
      <w:pPr>
        <w:pStyle w:val="3"/>
        <w:rPr>
          <w:rFonts w:ascii="Times New Roman" w:hAnsi="Times New Roman" w:cs="Times New Roman"/>
          <w:color w:val="000000"/>
          <w:kern w:val="0"/>
          <w:sz w:val="32"/>
          <w:szCs w:val="32"/>
        </w:rPr>
      </w:pPr>
    </w:p>
    <w:p w14:paraId="0F4639B8">
      <w:pPr>
        <w:pStyle w:val="5"/>
        <w:rPr>
          <w:rFonts w:ascii="Times New Roman" w:hAnsi="Times New Roman" w:cs="Times New Roman"/>
          <w:color w:val="000000"/>
          <w:kern w:val="0"/>
          <w:sz w:val="32"/>
          <w:szCs w:val="32"/>
        </w:rPr>
      </w:pPr>
    </w:p>
    <w:p w14:paraId="41678308"/>
    <w:p w14:paraId="381BDF70">
      <w:pPr>
        <w:keepNext w:val="0"/>
        <w:keepLines w:val="0"/>
        <w:pageBreakBefore w:val="0"/>
        <w:widowControl/>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一、财政拨款收入：指财政当年拨付的资金。 </w:t>
      </w:r>
    </w:p>
    <w:p w14:paraId="31F7AA55">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二、事业收入：指事业单位开展专业业务活动及辅助活动所取得的收入。如：中国财政杂志社的刊物发行收入，中国注册会计师协会、中国资产评估协会、中国国债协会、中国会计学会收取的会费收入等。 </w:t>
      </w:r>
    </w:p>
    <w:p w14:paraId="2F0E69F9">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三、经营收入：指事业单位在专业业务活动及其辅助活动之外开展非独立核算经营活动取得的收入。如：中国财政杂志社广告收入等。 </w:t>
      </w:r>
    </w:p>
    <w:p w14:paraId="1C75CAED">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四、其他收入：指除上述“财政拨款收入”、“事业收入”、“经营收入”等以外的收入。主要是按规定动用的售房收入、存款利息收入等。 </w:t>
      </w:r>
    </w:p>
    <w:p w14:paraId="31A28AE3">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五、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32C50D8C">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六、年初结转和结余：指以前年度尚未完成、结转到本年按有关规定继续使用的资金。 </w:t>
      </w:r>
    </w:p>
    <w:p w14:paraId="1035E550">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七、结余分配：指事业单位按规定提取的职工福利基金、事业基金和缴纳的所得税，以及建设单位按规定应交回的基本建设竣工项目结余资金。</w:t>
      </w:r>
    </w:p>
    <w:p w14:paraId="555A4BAC">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八、年末结转和结余：指本年度或以前年度预算安排、因客观条件发生变化无法按原计划实施，需要延迟到以后年度按有关规定继续使用的资金。 </w:t>
      </w:r>
    </w:p>
    <w:p w14:paraId="6D71DD0E">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九、基本支出：指为保障机构正常运转、完成日常工作任务而发生的人员支出和公用支出。 </w:t>
      </w:r>
    </w:p>
    <w:p w14:paraId="79D9BAB2">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十、项目支出：指在基本支出之外为完成特定行政任务和事业发展目标所发生的支出。 </w:t>
      </w:r>
    </w:p>
    <w:p w14:paraId="255F3D08">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十一、经营支出：指事业单位在专业业务活动及其辅助活动之外开展非独立核算经营活动发生的支出。 </w:t>
      </w:r>
    </w:p>
    <w:p w14:paraId="061CDE40">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十二、“三公”经费：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55A4417C">
      <w:pPr>
        <w:keepNext w:val="0"/>
        <w:keepLines w:val="0"/>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eastAsia="仿宋"/>
          <w:sz w:val="72"/>
          <w:szCs w:val="72"/>
          <w:lang w:eastAsia="zh-CN"/>
        </w:rPr>
      </w:pPr>
      <w:r>
        <w:rPr>
          <w:rFonts w:hint="eastAsia" w:ascii="仿宋" w:hAnsi="仿宋" w:eastAsia="仿宋" w:cs="仿宋"/>
          <w:color w:val="000000"/>
          <w:kern w:val="0"/>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 w:hAnsi="仿宋" w:eastAsia="仿宋" w:cs="仿宋"/>
          <w:color w:val="000000"/>
          <w:kern w:val="0"/>
          <w:sz w:val="32"/>
          <w:szCs w:val="32"/>
          <w:lang w:val="en-US" w:eastAsia="zh-CN"/>
        </w:rPr>
        <w:t>。</w:t>
      </w:r>
    </w:p>
    <w:p w14:paraId="4646C253">
      <w:pPr>
        <w:pStyle w:val="14"/>
        <w:jc w:val="center"/>
        <w:rPr>
          <w:rFonts w:ascii="Times New Roman" w:hAnsi="Times New Roman" w:cs="Times New Roman"/>
          <w:sz w:val="72"/>
          <w:szCs w:val="72"/>
        </w:rPr>
      </w:pPr>
    </w:p>
    <w:p w14:paraId="4EB03CF9">
      <w:pPr>
        <w:pStyle w:val="14"/>
        <w:jc w:val="center"/>
        <w:rPr>
          <w:rFonts w:ascii="Times New Roman" w:hAnsi="Times New Roman" w:cs="Times New Roman"/>
          <w:sz w:val="72"/>
          <w:szCs w:val="72"/>
        </w:rPr>
      </w:pPr>
    </w:p>
    <w:p w14:paraId="2E3AA350">
      <w:pPr>
        <w:pStyle w:val="14"/>
        <w:jc w:val="center"/>
        <w:rPr>
          <w:rFonts w:ascii="Times New Roman" w:hAnsi="Times New Roman" w:cs="Times New Roman"/>
          <w:sz w:val="72"/>
          <w:szCs w:val="72"/>
        </w:rPr>
      </w:pPr>
    </w:p>
    <w:p w14:paraId="302727E4">
      <w:pPr>
        <w:pStyle w:val="14"/>
        <w:jc w:val="center"/>
        <w:rPr>
          <w:rFonts w:ascii="Times New Roman" w:hAnsi="Times New Roman" w:cs="Times New Roman"/>
          <w:sz w:val="72"/>
          <w:szCs w:val="72"/>
        </w:rPr>
      </w:pPr>
    </w:p>
    <w:p w14:paraId="312B98BC">
      <w:pPr>
        <w:pStyle w:val="14"/>
        <w:jc w:val="center"/>
        <w:rPr>
          <w:rFonts w:ascii="Times New Roman" w:hAnsi="Times New Roman" w:cs="Times New Roman"/>
          <w:sz w:val="72"/>
          <w:szCs w:val="72"/>
        </w:rPr>
      </w:pPr>
    </w:p>
    <w:p w14:paraId="22D63BAE">
      <w:pPr>
        <w:pStyle w:val="14"/>
        <w:jc w:val="center"/>
        <w:rPr>
          <w:rFonts w:ascii="Times New Roman" w:hAnsi="Times New Roman" w:cs="Times New Roman"/>
          <w:sz w:val="72"/>
          <w:szCs w:val="72"/>
        </w:rPr>
      </w:pPr>
    </w:p>
    <w:p w14:paraId="6F1E7892">
      <w:pPr>
        <w:pStyle w:val="14"/>
        <w:jc w:val="center"/>
        <w:rPr>
          <w:rFonts w:ascii="Times New Roman" w:hAnsi="Times New Roman" w:cs="Times New Roman"/>
          <w:sz w:val="72"/>
          <w:szCs w:val="72"/>
        </w:rPr>
      </w:pPr>
    </w:p>
    <w:p w14:paraId="52CCE884">
      <w:pPr>
        <w:pStyle w:val="14"/>
        <w:jc w:val="both"/>
        <w:rPr>
          <w:rFonts w:ascii="Times New Roman" w:hAnsi="Times New Roman" w:cs="Times New Roman"/>
          <w:sz w:val="72"/>
          <w:szCs w:val="72"/>
        </w:rPr>
      </w:pPr>
    </w:p>
    <w:p w14:paraId="4832D832">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7C28B3A">
      <w:pPr>
        <w:rPr>
          <w:rFonts w:ascii="Times New Roman" w:hAnsi="Times New Roman" w:cs="Times New Roman"/>
          <w:sz w:val="72"/>
          <w:szCs w:val="72"/>
        </w:rPr>
      </w:pPr>
    </w:p>
    <w:p w14:paraId="3A246310">
      <w:pPr>
        <w:pStyle w:val="2"/>
        <w:rPr>
          <w:rFonts w:ascii="Times New Roman" w:hAnsi="Times New Roman" w:cs="Times New Roman"/>
          <w:sz w:val="72"/>
          <w:szCs w:val="72"/>
        </w:rPr>
      </w:pPr>
    </w:p>
    <w:p w14:paraId="3FF93426">
      <w:pPr>
        <w:pStyle w:val="3"/>
        <w:rPr>
          <w:rFonts w:ascii="Times New Roman" w:hAnsi="Times New Roman" w:cs="Times New Roman"/>
          <w:sz w:val="72"/>
          <w:szCs w:val="72"/>
        </w:rPr>
      </w:pPr>
    </w:p>
    <w:p w14:paraId="6AD333AA">
      <w:pPr>
        <w:pStyle w:val="5"/>
        <w:rPr>
          <w:rFonts w:ascii="Times New Roman" w:hAnsi="Times New Roman" w:cs="Times New Roman"/>
          <w:sz w:val="72"/>
          <w:szCs w:val="72"/>
        </w:rPr>
      </w:pPr>
    </w:p>
    <w:p w14:paraId="19C79C98">
      <w:pPr>
        <w:rPr>
          <w:rFonts w:ascii="Times New Roman" w:hAnsi="Times New Roman" w:cs="Times New Roman"/>
          <w:sz w:val="72"/>
          <w:szCs w:val="72"/>
        </w:rPr>
      </w:pPr>
    </w:p>
    <w:p w14:paraId="3E8EA441">
      <w:pPr>
        <w:pStyle w:val="3"/>
        <w:ind w:left="0" w:leftChars="0" w:firstLine="0" w:firstLineChars="0"/>
      </w:pPr>
    </w:p>
    <w:p w14:paraId="5EF5873A">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77ADF484">
      <w:pPr>
        <w:pStyle w:val="14"/>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二、怀化市园林绿化服务中心2025年决算公开表</w:t>
      </w:r>
    </w:p>
    <w:p w14:paraId="32B91072">
      <w:pPr>
        <w:pStyle w:val="14"/>
        <w:spacing w:line="600" w:lineRule="exact"/>
        <w:ind w:firstLine="640" w:firstLineChars="200"/>
        <w:rPr>
          <w:rFonts w:hint="eastAsia" w:ascii="Times New Roman" w:hAnsi="Times New Roman" w:eastAsia="仿宋_GB2312" w:cs="Times New Roman"/>
          <w:sz w:val="32"/>
          <w:szCs w:val="32"/>
          <w:lang w:val="en-US" w:eastAsia="zh-CN"/>
        </w:rPr>
      </w:pPr>
    </w:p>
    <w:p w14:paraId="14E561F1">
      <w:pPr>
        <w:pStyle w:val="14"/>
        <w:jc w:val="center"/>
        <w:rPr>
          <w:rFonts w:ascii="Times New Roman" w:hAnsi="Times New Roman" w:cs="Times New Roman"/>
          <w:sz w:val="72"/>
          <w:szCs w:val="72"/>
        </w:rPr>
      </w:pPr>
    </w:p>
    <w:p w14:paraId="1DC3162B">
      <w:pPr>
        <w:pStyle w:val="14"/>
        <w:jc w:val="center"/>
        <w:rPr>
          <w:rFonts w:ascii="Times New Roman" w:hAnsi="Times New Roman" w:cs="Times New Roman"/>
          <w:sz w:val="72"/>
          <w:szCs w:val="72"/>
        </w:rPr>
      </w:pPr>
    </w:p>
    <w:p w14:paraId="3BB4DD05">
      <w:pPr>
        <w:jc w:val="left"/>
        <w:rPr>
          <w:rFonts w:ascii="Times New Roman" w:hAnsi="Times New Roman" w:cs="Times New Roman"/>
          <w:color w:val="000000"/>
          <w:kern w:val="0"/>
          <w:sz w:val="32"/>
          <w:szCs w:val="32"/>
        </w:rPr>
      </w:pPr>
    </w:p>
    <w:sectPr>
      <w:footerReference r:id="rId7" w:type="default"/>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 New Roman Regular">
    <w:altName w:val="Times New Roman"/>
    <w:panose1 w:val="00000000000000000000"/>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6D9EA">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D4DFD">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D7FAB">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55F29">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F27EB3">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F27EB3">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6D878">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E9A4C1">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5E9A4C1">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9909F6"/>
    <w:multiLevelType w:val="singleLevel"/>
    <w:tmpl w:val="4B9909F6"/>
    <w:lvl w:ilvl="0" w:tentative="0">
      <w:start w:val="10"/>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7950AEB"/>
    <w:rsid w:val="11BE7346"/>
    <w:rsid w:val="1D97DEFF"/>
    <w:rsid w:val="1DFF72E5"/>
    <w:rsid w:val="1EFC6F07"/>
    <w:rsid w:val="242B764B"/>
    <w:rsid w:val="2FDF85B8"/>
    <w:rsid w:val="2FFFEE04"/>
    <w:rsid w:val="311D568F"/>
    <w:rsid w:val="34DF85B0"/>
    <w:rsid w:val="3B8F36BC"/>
    <w:rsid w:val="491FF225"/>
    <w:rsid w:val="4A637A18"/>
    <w:rsid w:val="4FFD214C"/>
    <w:rsid w:val="551C3E05"/>
    <w:rsid w:val="5777D4F5"/>
    <w:rsid w:val="586A0C32"/>
    <w:rsid w:val="59DD8326"/>
    <w:rsid w:val="5DEF592A"/>
    <w:rsid w:val="5FC6BB1E"/>
    <w:rsid w:val="5FF720F1"/>
    <w:rsid w:val="64BD08E1"/>
    <w:rsid w:val="67FF5C0B"/>
    <w:rsid w:val="6EFC0924"/>
    <w:rsid w:val="6FB74722"/>
    <w:rsid w:val="6FEF8B7E"/>
    <w:rsid w:val="6FFC2607"/>
    <w:rsid w:val="71A6591B"/>
    <w:rsid w:val="737D59BA"/>
    <w:rsid w:val="77C37683"/>
    <w:rsid w:val="79D19834"/>
    <w:rsid w:val="79FF515B"/>
    <w:rsid w:val="7A5E5D5D"/>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qFormat="1" w:unhideWhenUsed="0" w:uiPriority="0" w:semiHidden="0"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5"/>
    <w:unhideWhenUsed/>
    <w:qFormat/>
    <w:uiPriority w:val="99"/>
    <w:pPr>
      <w:ind w:firstLine="420" w:firstLineChars="200"/>
    </w:pPr>
  </w:style>
  <w:style w:type="paragraph" w:styleId="4">
    <w:name w:val="Body Text Indent"/>
    <w:basedOn w:val="1"/>
    <w:next w:val="1"/>
    <w:unhideWhenUsed/>
    <w:qFormat/>
    <w:uiPriority w:val="99"/>
    <w:pPr>
      <w:widowControl/>
      <w:spacing w:after="120"/>
      <w:ind w:left="420" w:leftChars="200"/>
      <w:jc w:val="left"/>
    </w:pPr>
    <w:rPr>
      <w:rFonts w:ascii="宋体" w:hAnsi="宋体" w:eastAsia="宋体" w:cs="宋体"/>
      <w:kern w:val="0"/>
      <w:sz w:val="24"/>
    </w:rPr>
  </w:style>
  <w:style w:type="paragraph" w:styleId="5">
    <w:name w:val="index 7"/>
    <w:basedOn w:val="1"/>
    <w:next w:val="1"/>
    <w:qFormat/>
    <w:uiPriority w:val="0"/>
    <w:pPr>
      <w:ind w:left="2520"/>
    </w:pPr>
    <w:rPr>
      <w:rFonts w:ascii="Calibri" w:hAnsi="Calibri" w:eastAsia="宋体" w:cs="Times New Roman"/>
      <w:szCs w:val="24"/>
    </w:r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cs="宋体"/>
      <w:kern w:val="0"/>
      <w:sz w:val="24"/>
      <w:lang w:bidi="ar-SA"/>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21</Words>
  <Characters>24</Characters>
  <Lines>69</Lines>
  <Paragraphs>19</Paragraphs>
  <TotalTime>7</TotalTime>
  <ScaleCrop>false</ScaleCrop>
  <LinksUpToDate>false</LinksUpToDate>
  <CharactersWithSpaces>24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2026-10-12T16:19:12Z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eyJoZGlkIjoiODhjNjk1MTBkYzEwYTA5NjFjYTBlYWI5ZDI5MWVjYmEiLCJ1c2VySWQiOiIzNzI2NjY5NjgifQ==</vt:lpwstr>
  </property>
</Properties>
</file>