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2973BC">
      <w:pPr>
        <w:pStyle w:val="16"/>
        <w:jc w:val="center"/>
        <w:rPr>
          <w:rFonts w:ascii="Times New Roman" w:hAnsi="Times New Roman" w:cs="Times New Roman"/>
          <w:sz w:val="56"/>
          <w:szCs w:val="56"/>
        </w:rPr>
      </w:pPr>
    </w:p>
    <w:p w14:paraId="540126CD">
      <w:pPr>
        <w:pStyle w:val="16"/>
        <w:jc w:val="center"/>
        <w:rPr>
          <w:rFonts w:ascii="Times New Roman" w:hAnsi="Times New Roman" w:cs="Times New Roman"/>
          <w:sz w:val="84"/>
          <w:szCs w:val="84"/>
        </w:rPr>
      </w:pPr>
    </w:p>
    <w:p w14:paraId="793D7DCB">
      <w:pPr>
        <w:pStyle w:val="16"/>
        <w:jc w:val="center"/>
        <w:rPr>
          <w:rFonts w:ascii="Times New Roman" w:hAnsi="Times New Roman" w:cs="Times New Roman"/>
          <w:sz w:val="84"/>
          <w:szCs w:val="84"/>
        </w:rPr>
      </w:pPr>
    </w:p>
    <w:p w14:paraId="4D1F1AAF">
      <w:pPr>
        <w:pStyle w:val="16"/>
        <w:jc w:val="center"/>
        <w:rPr>
          <w:rFonts w:hint="eastAsia" w:asciiTheme="majorEastAsia" w:hAnsiTheme="majorEastAsia" w:eastAsiaTheme="majorEastAsia" w:cstheme="majorEastAsia"/>
          <w:b/>
          <w:bCs/>
          <w:sz w:val="72"/>
          <w:szCs w:val="72"/>
        </w:rPr>
      </w:pPr>
      <w:r>
        <w:rPr>
          <w:rFonts w:hint="eastAsia" w:asciiTheme="majorEastAsia" w:hAnsiTheme="majorEastAsia" w:eastAsiaTheme="majorEastAsia" w:cstheme="majorEastAsia"/>
          <w:b/>
          <w:bCs/>
          <w:sz w:val="72"/>
          <w:szCs w:val="72"/>
        </w:rPr>
        <w:t>202</w:t>
      </w:r>
      <w:r>
        <w:rPr>
          <w:rFonts w:hint="eastAsia" w:asciiTheme="majorEastAsia" w:hAnsiTheme="majorEastAsia" w:eastAsiaTheme="majorEastAsia" w:cstheme="majorEastAsia"/>
          <w:b/>
          <w:bCs/>
          <w:sz w:val="72"/>
          <w:szCs w:val="72"/>
          <w:lang w:val="en-US" w:eastAsia="zh-CN"/>
        </w:rPr>
        <w:t>5</w:t>
      </w:r>
      <w:r>
        <w:rPr>
          <w:rFonts w:hint="eastAsia" w:asciiTheme="majorEastAsia" w:hAnsiTheme="majorEastAsia" w:eastAsiaTheme="majorEastAsia" w:cstheme="majorEastAsia"/>
          <w:b/>
          <w:bCs/>
          <w:sz w:val="72"/>
          <w:szCs w:val="72"/>
        </w:rPr>
        <w:t>年度</w:t>
      </w:r>
    </w:p>
    <w:p w14:paraId="5E6992EA">
      <w:pPr>
        <w:pStyle w:val="16"/>
        <w:jc w:val="center"/>
        <w:rPr>
          <w:rFonts w:hint="eastAsia" w:asciiTheme="majorEastAsia" w:hAnsiTheme="majorEastAsia" w:eastAsiaTheme="majorEastAsia" w:cstheme="majorEastAsia"/>
          <w:b/>
          <w:bCs/>
          <w:sz w:val="72"/>
          <w:szCs w:val="72"/>
        </w:rPr>
      </w:pPr>
      <w:r>
        <w:rPr>
          <w:rFonts w:hint="eastAsia" w:asciiTheme="majorEastAsia" w:hAnsiTheme="majorEastAsia" w:eastAsiaTheme="majorEastAsia" w:cstheme="majorEastAsia"/>
          <w:b/>
          <w:bCs/>
          <w:sz w:val="72"/>
          <w:szCs w:val="72"/>
        </w:rPr>
        <w:t>怀化市城市管理事务中心</w:t>
      </w:r>
    </w:p>
    <w:p w14:paraId="008FF68A">
      <w:pPr>
        <w:pStyle w:val="16"/>
        <w:jc w:val="center"/>
        <w:rPr>
          <w:rFonts w:hint="eastAsia" w:asciiTheme="majorEastAsia" w:hAnsiTheme="majorEastAsia" w:eastAsiaTheme="majorEastAsia" w:cstheme="majorEastAsia"/>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r>
        <w:rPr>
          <w:rFonts w:hint="eastAsia" w:asciiTheme="majorEastAsia" w:hAnsiTheme="majorEastAsia" w:eastAsiaTheme="majorEastAsia" w:cstheme="majorEastAsia"/>
          <w:b/>
          <w:bCs/>
          <w:sz w:val="72"/>
          <w:szCs w:val="72"/>
        </w:rPr>
        <w:t>部门决算</w:t>
      </w:r>
    </w:p>
    <w:p w14:paraId="1162B99D">
      <w:pPr>
        <w:pStyle w:val="16"/>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70E249E">
      <w:pPr>
        <w:pStyle w:val="16"/>
        <w:spacing w:line="600" w:lineRule="exact"/>
        <w:jc w:val="center"/>
        <w:rPr>
          <w:rFonts w:ascii="Times New Roman" w:hAnsi="Times New Roman" w:cs="Times New Roman"/>
          <w:b/>
          <w:sz w:val="36"/>
          <w:szCs w:val="28"/>
        </w:rPr>
      </w:pPr>
    </w:p>
    <w:p w14:paraId="176E08AF">
      <w:pPr>
        <w:pStyle w:val="16"/>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怀化市城市管理事务中心</w:t>
      </w:r>
      <w:r>
        <w:rPr>
          <w:rFonts w:ascii="Times New Roman" w:hAnsi="Times New Roman" w:cs="Times New Roman"/>
          <w:bCs/>
          <w:sz w:val="32"/>
          <w:szCs w:val="32"/>
        </w:rPr>
        <w:t>概况</w:t>
      </w:r>
    </w:p>
    <w:p w14:paraId="25AB3815">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7542770">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4BE3955">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6437EDD9">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59BA41A">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BA48CE2">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29D5ED10">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118FC6D">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728FCC0">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73AE754A">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DC0C5D6">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95C4152">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14C72A9">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4C09732">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9B3B2CD">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1B5848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1327D3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40CE21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62C98BF4">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79A3C52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F19242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BA0066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5ADFA6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九、国有资本经营预算收入支出</w:t>
      </w:r>
      <w:r>
        <w:rPr>
          <w:rFonts w:hint="eastAsia" w:ascii="Times New Roman" w:hAnsi="Times New Roman" w:eastAsia="仿宋_GB2312" w:cs="Times New Roman"/>
          <w:color w:val="000000"/>
          <w:kern w:val="0"/>
          <w:sz w:val="32"/>
          <w:szCs w:val="32"/>
        </w:rPr>
        <w:t>决算情况</w:t>
      </w:r>
      <w:r>
        <w:rPr>
          <w:rFonts w:hint="eastAsia" w:ascii="Times New Roman" w:hAnsi="Times New Roman" w:eastAsia="仿宋_GB2312" w:cs="Times New Roman"/>
          <w:color w:val="000000"/>
          <w:kern w:val="0"/>
          <w:sz w:val="32"/>
          <w:szCs w:val="32"/>
          <w:lang w:val="en-US" w:eastAsia="zh-CN"/>
        </w:rPr>
        <w:t>说明</w:t>
      </w:r>
    </w:p>
    <w:p w14:paraId="1C12EA3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十、关于机关运行经费支出说明</w:t>
      </w:r>
    </w:p>
    <w:p w14:paraId="4F3FB30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十一、一般性支出情况说明</w:t>
      </w:r>
    </w:p>
    <w:p w14:paraId="577986D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sz w:val="32"/>
          <w:szCs w:val="32"/>
        </w:rPr>
        <w:t>十二</w:t>
      </w:r>
      <w:r>
        <w:rPr>
          <w:rFonts w:ascii="Times New Roman" w:hAnsi="Times New Roman" w:eastAsia="仿宋_GB2312" w:cs="Times New Roman"/>
          <w:color w:val="000000"/>
          <w:kern w:val="0"/>
          <w:sz w:val="32"/>
          <w:szCs w:val="32"/>
        </w:rPr>
        <w:t>、关于政府采购支出说明</w:t>
      </w:r>
    </w:p>
    <w:p w14:paraId="5CEF54C0">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十三、关于国有资产占用情况说明</w:t>
      </w:r>
    </w:p>
    <w:p w14:paraId="0595FCA0">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0810E0ED">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D0F392E">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167CFA1F">
      <w:pPr>
        <w:pStyle w:val="16"/>
        <w:spacing w:line="600" w:lineRule="exact"/>
        <w:rPr>
          <w:rFonts w:ascii="Times New Roman" w:hAnsi="Times New Roman" w:cs="Times New Roman"/>
          <w:bCs/>
          <w:sz w:val="28"/>
          <w:szCs w:val="28"/>
        </w:rPr>
      </w:pPr>
    </w:p>
    <w:p w14:paraId="58E22913">
      <w:pPr>
        <w:jc w:val="center"/>
        <w:rPr>
          <w:rFonts w:ascii="Times New Roman" w:hAnsi="Times New Roman" w:cs="Times New Roman"/>
          <w:sz w:val="72"/>
          <w:szCs w:val="72"/>
        </w:rPr>
      </w:pPr>
    </w:p>
    <w:p w14:paraId="23CC767B">
      <w:pPr>
        <w:jc w:val="center"/>
        <w:rPr>
          <w:rFonts w:ascii="Times New Roman" w:hAnsi="Times New Roman" w:cs="Times New Roman"/>
          <w:sz w:val="72"/>
          <w:szCs w:val="72"/>
        </w:rPr>
      </w:pPr>
    </w:p>
    <w:p w14:paraId="39B99AA9">
      <w:pPr>
        <w:jc w:val="center"/>
        <w:rPr>
          <w:rFonts w:ascii="Times New Roman" w:hAnsi="Times New Roman" w:cs="Times New Roman"/>
          <w:sz w:val="72"/>
          <w:szCs w:val="72"/>
        </w:rPr>
      </w:pPr>
    </w:p>
    <w:p w14:paraId="00686C8F">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5AB9A12">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4FB5734">
      <w:pPr>
        <w:pStyle w:val="16"/>
        <w:spacing w:line="360" w:lineRule="auto"/>
        <w:jc w:val="center"/>
        <w:rPr>
          <w:rFonts w:hint="eastAsia" w:asciiTheme="minorEastAsia" w:hAnsiTheme="minorEastAsia" w:eastAsiaTheme="minorEastAsia" w:cstheme="minorEastAsia"/>
          <w:sz w:val="52"/>
          <w:szCs w:val="52"/>
        </w:rPr>
      </w:pPr>
      <w:r>
        <w:rPr>
          <w:rFonts w:hint="eastAsia" w:asciiTheme="minorEastAsia" w:hAnsiTheme="minorEastAsia" w:eastAsiaTheme="minorEastAsia" w:cstheme="minorEastAsia"/>
          <w:sz w:val="52"/>
          <w:szCs w:val="52"/>
        </w:rPr>
        <w:t>怀化市城市管理事务中心概况</w:t>
      </w:r>
    </w:p>
    <w:p w14:paraId="0DE42E76">
      <w:pPr>
        <w:pStyle w:val="4"/>
        <w:ind w:left="0" w:leftChars="0" w:firstLine="0" w:firstLineChars="0"/>
        <w:rPr>
          <w:rFonts w:ascii="Times New Roman" w:hAnsi="Times New Roman" w:cs="Times New Roman"/>
        </w:rPr>
      </w:pPr>
    </w:p>
    <w:p w14:paraId="7360C578">
      <w:pPr>
        <w:pStyle w:val="17"/>
        <w:spacing w:line="600" w:lineRule="exact"/>
        <w:ind w:firstLine="0" w:firstLineChars="0"/>
        <w:jc w:val="left"/>
        <w:rPr>
          <w:rFonts w:ascii="Times New Roman" w:hAnsi="Times New Roman" w:eastAsia="黑体" w:cs="Times New Roman"/>
          <w:b/>
          <w:bCs/>
          <w:sz w:val="32"/>
          <w:szCs w:val="32"/>
        </w:rPr>
      </w:pPr>
      <w:r>
        <w:rPr>
          <w:rFonts w:hint="eastAsia" w:ascii="Times New Roman" w:hAnsi="Times New Roman" w:eastAsia="黑体" w:cs="Times New Roman"/>
          <w:b/>
          <w:bCs/>
          <w:sz w:val="32"/>
          <w:szCs w:val="32"/>
        </w:rPr>
        <w:t>一、</w:t>
      </w:r>
      <w:r>
        <w:rPr>
          <w:rFonts w:ascii="Times New Roman" w:hAnsi="Times New Roman" w:eastAsia="黑体" w:cs="Times New Roman"/>
          <w:b/>
          <w:bCs/>
          <w:sz w:val="32"/>
          <w:szCs w:val="32"/>
        </w:rPr>
        <w:t>部门职责</w:t>
      </w:r>
    </w:p>
    <w:p w14:paraId="601CA3F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9" w:lineRule="auto"/>
        <w:ind w:left="0" w:right="0" w:firstLine="627"/>
        <w:jc w:val="left"/>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（一）宣传和贯彻落实国家、省有关城市管理的方针政策和法律法规，为建设城市、经营城市、管理城市提供服务保障。</w:t>
      </w:r>
    </w:p>
    <w:p w14:paraId="4ED2178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9" w:lineRule="auto"/>
        <w:ind w:left="0" w:right="0" w:firstLine="627"/>
        <w:jc w:val="left"/>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（二）</w:t>
      </w:r>
      <w:r>
        <w:rPr>
          <w:rFonts w:hint="default" w:ascii="Times New Roman" w:hAnsi="Times New Roman" w:eastAsia="仿宋_GB2312" w:cs="Times New Roman"/>
          <w:kern w:val="2"/>
          <w:sz w:val="32"/>
          <w:szCs w:val="32"/>
          <w:lang w:val="en-US" w:eastAsia="zh-CN" w:bidi="ar-SA"/>
        </w:rPr>
        <w:t>负责拟定市本级环境卫生行业中长期规划、年度计划和怀化市环境卫生行业作业规范及标准，并指导实施；负责拟定市本级城区环境卫生基础设施建设方案，并对环境卫生基础设施建设、改造提供技术指导服务；负责环境卫生行业基础数据采集及先进技术的引进和推广运用。</w:t>
      </w:r>
    </w:p>
    <w:p w14:paraId="3A0CFC3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9" w:lineRule="auto"/>
        <w:ind w:left="0" w:right="0" w:firstLine="627"/>
        <w:jc w:val="left"/>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（三）</w:t>
      </w:r>
      <w:r>
        <w:rPr>
          <w:rFonts w:hint="default" w:ascii="Times New Roman" w:hAnsi="Times New Roman" w:eastAsia="仿宋_GB2312" w:cs="Times New Roman"/>
          <w:kern w:val="2"/>
          <w:sz w:val="32"/>
          <w:szCs w:val="32"/>
          <w:lang w:val="en-US" w:eastAsia="zh-CN" w:bidi="ar-SA"/>
        </w:rPr>
        <w:t>负责宣传普及城市环境卫生法律法规和环境卫生科学知识；指导全市环境卫生工作的开展和环境卫生作业社会化、市场化服务工作；负责全市环境卫生从业人员技能培训等工作。</w:t>
      </w:r>
    </w:p>
    <w:p w14:paraId="5DF1E38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9" w:lineRule="auto"/>
        <w:ind w:left="0" w:right="0" w:firstLine="627"/>
        <w:jc w:val="left"/>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（四）</w:t>
      </w:r>
      <w:r>
        <w:rPr>
          <w:rFonts w:hint="default" w:ascii="Times New Roman" w:hAnsi="Times New Roman" w:eastAsia="仿宋_GB2312" w:cs="Times New Roman"/>
          <w:kern w:val="2"/>
          <w:sz w:val="32"/>
          <w:szCs w:val="32"/>
          <w:lang w:val="en-US" w:eastAsia="zh-CN" w:bidi="ar-SA"/>
        </w:rPr>
        <w:t>承担市本级生活垃圾填埋处理日常事务工作；负责生活垃圾焚烧发电、餐厨垃圾处理的服务工作；负责指导各县市区开展生活垃圾、餐厨垃圾无害化处理工作。</w:t>
      </w:r>
    </w:p>
    <w:p w14:paraId="1F7D620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9" w:lineRule="auto"/>
        <w:ind w:left="0" w:right="0" w:firstLine="627"/>
        <w:jc w:val="left"/>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（五）</w:t>
      </w:r>
      <w:r>
        <w:rPr>
          <w:rFonts w:hint="default" w:ascii="Times New Roman" w:hAnsi="Times New Roman" w:eastAsia="仿宋_GB2312" w:cs="Times New Roman"/>
          <w:kern w:val="2"/>
          <w:sz w:val="32"/>
          <w:szCs w:val="32"/>
          <w:lang w:val="en-US" w:eastAsia="zh-CN" w:bidi="ar-SA"/>
        </w:rPr>
        <w:t>负责跨区域生活垃圾、餐厨垃圾运输处理的指导服务工作;负责生活垃圾收集、清运、处置等许可的服务工作。</w:t>
      </w:r>
    </w:p>
    <w:p w14:paraId="2DA83919">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27" w:firstLineChars="196"/>
        <w:jc w:val="left"/>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（六）</w:t>
      </w:r>
      <w:r>
        <w:rPr>
          <w:rFonts w:hint="eastAsia" w:ascii="仿宋" w:hAnsi="仿宋" w:eastAsia="仿宋" w:cs="仿宋"/>
          <w:spacing w:val="-2"/>
          <w:kern w:val="2"/>
          <w:sz w:val="32"/>
          <w:szCs w:val="21"/>
          <w:lang w:val="en-US" w:eastAsia="zh-CN" w:bidi="ar-SA"/>
        </w:rPr>
        <w:t>承担城市生活垃圾分类管理法律法规、政策规定的宣传贯彻执行工作；负责生活垃圾分类指导服务等工作；负责县市区生活垃圾分类设施建设指导工作。</w:t>
      </w:r>
    </w:p>
    <w:p w14:paraId="2F21F60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9" w:lineRule="auto"/>
        <w:ind w:left="0" w:right="0" w:firstLine="627"/>
        <w:jc w:val="left"/>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（七）</w:t>
      </w:r>
      <w:r>
        <w:rPr>
          <w:rFonts w:hint="default" w:ascii="Times New Roman" w:hAnsi="Times New Roman" w:eastAsia="仿宋_GB2312" w:cs="Times New Roman"/>
          <w:kern w:val="2"/>
          <w:sz w:val="32"/>
          <w:szCs w:val="32"/>
          <w:lang w:val="en-US" w:eastAsia="zh-CN" w:bidi="ar-SA"/>
        </w:rPr>
        <w:t>负责生活垃圾分类指导服务工作，协助主管部门指导、协调、监督建筑垃圾的处置工作。</w:t>
      </w:r>
    </w:p>
    <w:p w14:paraId="2369870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9" w:lineRule="auto"/>
        <w:ind w:left="0" w:right="0" w:firstLine="627"/>
        <w:jc w:val="left"/>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（八）</w:t>
      </w:r>
      <w:r>
        <w:rPr>
          <w:rFonts w:hint="default" w:ascii="Times New Roman" w:hAnsi="Times New Roman" w:eastAsia="仿宋_GB2312" w:cs="Times New Roman"/>
          <w:kern w:val="2"/>
          <w:sz w:val="32"/>
          <w:szCs w:val="32"/>
          <w:lang w:val="en-US" w:eastAsia="zh-CN" w:bidi="ar-SA"/>
        </w:rPr>
        <w:t>指导怀化环境卫生协会工作。</w:t>
      </w:r>
    </w:p>
    <w:p w14:paraId="564A074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9" w:lineRule="auto"/>
        <w:ind w:left="0" w:right="0" w:firstLine="627"/>
        <w:jc w:val="left"/>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（九）</w:t>
      </w:r>
      <w:r>
        <w:rPr>
          <w:rFonts w:hint="default" w:ascii="Times New Roman" w:hAnsi="Times New Roman" w:eastAsia="仿宋_GB2312" w:cs="Times New Roman"/>
          <w:kern w:val="2"/>
          <w:sz w:val="32"/>
          <w:szCs w:val="32"/>
          <w:lang w:val="en-US" w:eastAsia="zh-CN" w:bidi="ar-SA"/>
        </w:rPr>
        <w:t>承担城区户外广告规划编制、城市公益广告投放、城区户外广告审批的相关服务职责。</w:t>
      </w:r>
    </w:p>
    <w:p w14:paraId="57A5689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9" w:lineRule="auto"/>
        <w:ind w:left="0" w:right="0" w:firstLine="627"/>
        <w:jc w:val="left"/>
        <w:rPr>
          <w:rFonts w:hint="eastAsia" w:ascii="仿宋" w:hAnsi="仿宋" w:eastAsia="仿宋" w:cs="仿宋"/>
          <w:b/>
          <w:bCs/>
          <w:sz w:val="32"/>
          <w:szCs w:val="32"/>
          <w:lang w:eastAsia="zh-CN"/>
        </w:rPr>
      </w:pPr>
      <w:r>
        <w:rPr>
          <w:rFonts w:hint="eastAsia" w:ascii="Times New Roman" w:eastAsia="仿宋_GB2312" w:cs="Times New Roman"/>
          <w:kern w:val="2"/>
          <w:sz w:val="32"/>
          <w:szCs w:val="32"/>
          <w:lang w:val="en-US" w:eastAsia="zh-CN" w:bidi="ar-SA"/>
        </w:rPr>
        <w:t>（十）</w:t>
      </w:r>
      <w:r>
        <w:rPr>
          <w:rFonts w:hint="default" w:ascii="Times New Roman" w:hAnsi="Times New Roman" w:eastAsia="仿宋_GB2312" w:cs="Times New Roman"/>
          <w:kern w:val="2"/>
          <w:sz w:val="32"/>
          <w:szCs w:val="32"/>
          <w:lang w:val="en-US" w:eastAsia="zh-CN" w:bidi="ar-SA"/>
        </w:rPr>
        <w:t>承办市城市管理和综合执法局交办的其他事项。</w:t>
      </w:r>
    </w:p>
    <w:p w14:paraId="133E2988">
      <w:pPr>
        <w:widowControl/>
        <w:spacing w:line="600" w:lineRule="exact"/>
        <w:rPr>
          <w:rFonts w:ascii="Times New Roman" w:hAnsi="Times New Roman" w:eastAsia="黑体" w:cs="Times New Roman"/>
          <w:b/>
          <w:bCs w:val="0"/>
          <w:kern w:val="0"/>
          <w:sz w:val="32"/>
          <w:szCs w:val="32"/>
        </w:rPr>
      </w:pPr>
      <w:r>
        <w:rPr>
          <w:rFonts w:ascii="Times New Roman" w:hAnsi="Times New Roman" w:eastAsia="黑体" w:cs="Times New Roman"/>
          <w:b/>
          <w:bCs w:val="0"/>
          <w:kern w:val="0"/>
          <w:sz w:val="32"/>
          <w:szCs w:val="32"/>
        </w:rPr>
        <w:t>二、机构设置及决算单位构成</w:t>
      </w:r>
    </w:p>
    <w:p w14:paraId="7F142607">
      <w:pPr>
        <w:keepNext w:val="0"/>
        <w:keepLines w:val="0"/>
        <w:pageBreakBefore w:val="0"/>
        <w:widowControl/>
        <w:kinsoku/>
        <w:wordWrap/>
        <w:overflowPunct/>
        <w:topLinePunct w:val="0"/>
        <w:autoSpaceDE/>
        <w:autoSpaceDN/>
        <w:bidi w:val="0"/>
        <w:adjustRightInd/>
        <w:snapToGrid/>
        <w:spacing w:line="500" w:lineRule="auto"/>
        <w:ind w:right="0" w:rightChars="0" w:firstLine="640" w:firstLineChars="200"/>
        <w:jc w:val="left"/>
        <w:textAlignment w:val="auto"/>
        <w:outlineLvl w:val="9"/>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w:t>
      </w: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Cs/>
          <w:kern w:val="0"/>
          <w:sz w:val="32"/>
          <w:szCs w:val="32"/>
        </w:rPr>
        <w:t>怀化市城市管理事务中心内设机构包括：</w:t>
      </w:r>
      <w:r>
        <w:rPr>
          <w:rFonts w:hint="default" w:ascii="Times New Roman" w:hAnsi="Times New Roman" w:eastAsia="仿宋_GB2312" w:cs="Times New Roman"/>
          <w:kern w:val="2"/>
          <w:sz w:val="32"/>
          <w:szCs w:val="32"/>
          <w:lang w:val="en-US" w:eastAsia="zh-CN" w:bidi="ar-SA"/>
        </w:rPr>
        <w:t>办公室、人事教育培训部、财务部、环卫业务服务部、</w:t>
      </w:r>
      <w:r>
        <w:rPr>
          <w:rFonts w:hint="eastAsia" w:eastAsia="仿宋_GB2312" w:cs="Times New Roman"/>
          <w:kern w:val="2"/>
          <w:sz w:val="32"/>
          <w:szCs w:val="32"/>
          <w:lang w:val="en-US" w:eastAsia="zh-CN" w:bidi="ar-SA"/>
        </w:rPr>
        <w:t>生活垃圾分类</w:t>
      </w:r>
      <w:r>
        <w:rPr>
          <w:rFonts w:hint="default" w:ascii="Times New Roman" w:hAnsi="Times New Roman" w:eastAsia="仿宋_GB2312" w:cs="Times New Roman"/>
          <w:kern w:val="2"/>
          <w:sz w:val="32"/>
          <w:szCs w:val="32"/>
          <w:lang w:val="en-US" w:eastAsia="zh-CN" w:bidi="ar-SA"/>
        </w:rPr>
        <w:t>服务部、生活垃圾处理部、环卫基础设施建设服务部、环卫科技推广服务部、广告服务部。</w:t>
      </w:r>
    </w:p>
    <w:p w14:paraId="644F574D">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怀化市城市管理事务中心</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eastAsia="zh-CN"/>
        </w:rPr>
        <w:t>怀化市城市管理事务中心单位本级。</w:t>
      </w:r>
    </w:p>
    <w:p w14:paraId="052045DC">
      <w:pPr>
        <w:widowControl/>
        <w:spacing w:line="600" w:lineRule="exact"/>
        <w:ind w:firstLine="640" w:firstLineChars="200"/>
        <w:rPr>
          <w:rFonts w:ascii="Times New Roman" w:hAnsi="Times New Roman" w:eastAsia="仿宋_GB2312" w:cs="Times New Roman"/>
          <w:bCs/>
          <w:kern w:val="0"/>
          <w:sz w:val="32"/>
          <w:szCs w:val="32"/>
        </w:rPr>
      </w:pPr>
    </w:p>
    <w:p w14:paraId="5505DACD">
      <w:pPr>
        <w:jc w:val="left"/>
        <w:rPr>
          <w:rFonts w:ascii="Times New Roman" w:hAnsi="Times New Roman" w:eastAsia="仿宋_GB2312" w:cs="Times New Roman"/>
          <w:sz w:val="28"/>
          <w:szCs w:val="32"/>
        </w:rPr>
      </w:pPr>
    </w:p>
    <w:p w14:paraId="7D1DF8F5">
      <w:pPr>
        <w:jc w:val="center"/>
        <w:rPr>
          <w:rFonts w:ascii="Times New Roman" w:hAnsi="Times New Roman" w:eastAsia="黑体" w:cs="Times New Roman"/>
          <w:sz w:val="28"/>
          <w:szCs w:val="28"/>
        </w:rPr>
      </w:pPr>
    </w:p>
    <w:p w14:paraId="0354A005">
      <w:pPr>
        <w:jc w:val="center"/>
        <w:rPr>
          <w:rFonts w:ascii="Times New Roman" w:hAnsi="Times New Roman" w:eastAsia="黑体" w:cs="Times New Roman"/>
          <w:sz w:val="28"/>
          <w:szCs w:val="28"/>
        </w:rPr>
      </w:pPr>
    </w:p>
    <w:p w14:paraId="6C61CA5B">
      <w:pPr>
        <w:jc w:val="center"/>
        <w:rPr>
          <w:rFonts w:ascii="Times New Roman" w:hAnsi="Times New Roman" w:eastAsia="黑体" w:cs="Times New Roman"/>
          <w:sz w:val="28"/>
          <w:szCs w:val="28"/>
        </w:rPr>
      </w:pPr>
    </w:p>
    <w:p w14:paraId="3BA0B548">
      <w:pPr>
        <w:pStyle w:val="16"/>
        <w:jc w:val="center"/>
        <w:rPr>
          <w:rFonts w:ascii="Times New Roman" w:hAnsi="Times New Roman" w:eastAsia="方正小标宋_GBK" w:cs="Times New Roman"/>
          <w:sz w:val="52"/>
          <w:szCs w:val="52"/>
        </w:rPr>
      </w:pPr>
    </w:p>
    <w:p w14:paraId="1042BECF">
      <w:pPr>
        <w:pStyle w:val="16"/>
        <w:jc w:val="center"/>
        <w:rPr>
          <w:rFonts w:ascii="Times New Roman" w:hAnsi="Times New Roman" w:eastAsia="方正小标宋_GBK" w:cs="Times New Roman"/>
          <w:sz w:val="52"/>
          <w:szCs w:val="52"/>
        </w:rPr>
      </w:pPr>
    </w:p>
    <w:p w14:paraId="13E4C3A9">
      <w:pPr>
        <w:pStyle w:val="16"/>
        <w:jc w:val="center"/>
        <w:rPr>
          <w:rFonts w:ascii="Times New Roman" w:hAnsi="Times New Roman" w:eastAsia="方正小标宋_GBK" w:cs="Times New Roman"/>
          <w:sz w:val="52"/>
          <w:szCs w:val="52"/>
        </w:rPr>
      </w:pPr>
    </w:p>
    <w:p w14:paraId="2556370D">
      <w:pPr>
        <w:pStyle w:val="16"/>
        <w:jc w:val="center"/>
        <w:rPr>
          <w:rFonts w:ascii="Times New Roman" w:hAnsi="Times New Roman" w:eastAsia="方正小标宋_GBK" w:cs="Times New Roman"/>
          <w:sz w:val="52"/>
          <w:szCs w:val="52"/>
        </w:rPr>
      </w:pPr>
    </w:p>
    <w:p w14:paraId="24567C15">
      <w:pPr>
        <w:pStyle w:val="16"/>
        <w:jc w:val="center"/>
        <w:rPr>
          <w:rFonts w:ascii="Times New Roman" w:hAnsi="Times New Roman" w:eastAsia="方正小标宋_GBK" w:cs="Times New Roman"/>
          <w:sz w:val="52"/>
          <w:szCs w:val="52"/>
        </w:rPr>
      </w:pPr>
    </w:p>
    <w:p w14:paraId="66631D07">
      <w:pPr>
        <w:pStyle w:val="16"/>
        <w:jc w:val="center"/>
        <w:rPr>
          <w:rFonts w:ascii="Times New Roman" w:hAnsi="Times New Roman" w:eastAsia="方正小标宋_GBK" w:cs="Times New Roman"/>
          <w:sz w:val="52"/>
          <w:szCs w:val="52"/>
        </w:rPr>
      </w:pPr>
    </w:p>
    <w:p w14:paraId="20D85176">
      <w:pPr>
        <w:pStyle w:val="16"/>
        <w:jc w:val="center"/>
        <w:rPr>
          <w:rFonts w:ascii="Times New Roman" w:hAnsi="Times New Roman" w:eastAsia="方正小标宋_GBK" w:cs="Times New Roman"/>
          <w:sz w:val="52"/>
          <w:szCs w:val="52"/>
        </w:rPr>
      </w:pPr>
    </w:p>
    <w:p w14:paraId="4B9DFF07">
      <w:pPr>
        <w:pStyle w:val="16"/>
        <w:jc w:val="center"/>
        <w:rPr>
          <w:rFonts w:ascii="Times New Roman" w:hAnsi="Times New Roman" w:eastAsia="方正小标宋_GBK" w:cs="Times New Roman"/>
          <w:sz w:val="52"/>
          <w:szCs w:val="52"/>
        </w:rPr>
      </w:pPr>
    </w:p>
    <w:p w14:paraId="1E3330D8">
      <w:pPr>
        <w:pStyle w:val="16"/>
        <w:jc w:val="center"/>
        <w:rPr>
          <w:rFonts w:hint="eastAsia" w:asciiTheme="majorEastAsia" w:hAnsiTheme="majorEastAsia" w:eastAsiaTheme="majorEastAsia" w:cstheme="majorEastAsia"/>
          <w:sz w:val="52"/>
          <w:szCs w:val="52"/>
        </w:rPr>
      </w:pPr>
      <w:r>
        <w:rPr>
          <w:rFonts w:hint="eastAsia" w:asciiTheme="majorEastAsia" w:hAnsiTheme="majorEastAsia" w:eastAsiaTheme="majorEastAsia" w:cstheme="majorEastAsia"/>
          <w:sz w:val="52"/>
          <w:szCs w:val="52"/>
        </w:rPr>
        <w:t>第二部分    部门决算表</w:t>
      </w:r>
    </w:p>
    <w:p w14:paraId="1A6C47A4">
      <w:pPr>
        <w:jc w:val="center"/>
        <w:rPr>
          <w:rFonts w:hint="eastAsia" w:asciiTheme="majorEastAsia" w:hAnsiTheme="majorEastAsia" w:eastAsiaTheme="majorEastAsia" w:cstheme="majorEastAsia"/>
          <w:color w:val="000000"/>
          <w:kern w:val="0"/>
          <w:sz w:val="52"/>
          <w:szCs w:val="52"/>
          <w:lang w:val="en-US" w:eastAsia="zh-CN" w:bidi="ar-SA"/>
        </w:rPr>
      </w:pPr>
      <w:r>
        <w:rPr>
          <w:rFonts w:hint="eastAsia" w:asciiTheme="majorEastAsia" w:hAnsiTheme="majorEastAsia" w:eastAsiaTheme="majorEastAsia" w:cstheme="majorEastAsia"/>
          <w:color w:val="000000"/>
          <w:kern w:val="0"/>
          <w:sz w:val="52"/>
          <w:szCs w:val="52"/>
          <w:lang w:val="en-US" w:eastAsia="zh-CN" w:bidi="ar-SA"/>
        </w:rPr>
        <w:t>（详见附件）</w:t>
      </w:r>
    </w:p>
    <w:p w14:paraId="504A3BED">
      <w:pPr>
        <w:jc w:val="center"/>
        <w:rPr>
          <w:rFonts w:ascii="Times New Roman" w:hAnsi="Times New Roman" w:eastAsia="黑体" w:cs="Times New Roman"/>
          <w:sz w:val="28"/>
          <w:szCs w:val="28"/>
        </w:rPr>
      </w:pPr>
    </w:p>
    <w:p w14:paraId="3E480DDF">
      <w:pPr>
        <w:jc w:val="center"/>
        <w:rPr>
          <w:rFonts w:ascii="Times New Roman" w:hAnsi="Times New Roman" w:eastAsia="黑体" w:cs="Times New Roman"/>
          <w:sz w:val="28"/>
          <w:szCs w:val="28"/>
        </w:rPr>
      </w:pPr>
    </w:p>
    <w:p w14:paraId="6DF13A72">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1E900F5F">
      <w:pPr>
        <w:pStyle w:val="16"/>
        <w:spacing w:line="360" w:lineRule="auto"/>
        <w:jc w:val="center"/>
        <w:rPr>
          <w:rFonts w:ascii="Times New Roman" w:hAnsi="Times New Roman" w:eastAsia="方正小标宋_GBK" w:cs="Times New Roman"/>
          <w:sz w:val="52"/>
          <w:szCs w:val="52"/>
        </w:rPr>
      </w:pPr>
    </w:p>
    <w:p w14:paraId="4708B9D1">
      <w:pPr>
        <w:pStyle w:val="16"/>
        <w:spacing w:line="360" w:lineRule="auto"/>
        <w:jc w:val="center"/>
        <w:rPr>
          <w:rFonts w:ascii="Times New Roman" w:hAnsi="Times New Roman" w:eastAsia="方正小标宋_GBK" w:cs="Times New Roman"/>
          <w:sz w:val="52"/>
          <w:szCs w:val="52"/>
        </w:rPr>
      </w:pPr>
    </w:p>
    <w:p w14:paraId="544CCBBB">
      <w:pPr>
        <w:pStyle w:val="16"/>
        <w:spacing w:line="360" w:lineRule="auto"/>
        <w:jc w:val="center"/>
        <w:rPr>
          <w:rFonts w:ascii="Times New Roman" w:hAnsi="Times New Roman" w:eastAsia="方正小标宋_GBK" w:cs="Times New Roman"/>
          <w:sz w:val="52"/>
          <w:szCs w:val="52"/>
        </w:rPr>
      </w:pPr>
    </w:p>
    <w:p w14:paraId="6FD84D89">
      <w:pPr>
        <w:pStyle w:val="16"/>
        <w:spacing w:line="360" w:lineRule="auto"/>
        <w:jc w:val="center"/>
        <w:rPr>
          <w:rFonts w:ascii="Times New Roman" w:hAnsi="Times New Roman" w:eastAsia="方正小标宋_GBK" w:cs="Times New Roman"/>
          <w:sz w:val="52"/>
          <w:szCs w:val="52"/>
        </w:rPr>
      </w:pPr>
    </w:p>
    <w:p w14:paraId="056F2AE2">
      <w:pPr>
        <w:pStyle w:val="16"/>
        <w:spacing w:line="360" w:lineRule="auto"/>
        <w:jc w:val="center"/>
        <w:rPr>
          <w:rFonts w:ascii="Times New Roman" w:hAnsi="Times New Roman" w:eastAsia="方正小标宋_GBK" w:cs="Times New Roman"/>
          <w:sz w:val="52"/>
          <w:szCs w:val="52"/>
        </w:rPr>
      </w:pPr>
    </w:p>
    <w:p w14:paraId="2AE7E141">
      <w:pPr>
        <w:pStyle w:val="16"/>
        <w:spacing w:line="360" w:lineRule="auto"/>
        <w:jc w:val="center"/>
        <w:rPr>
          <w:rFonts w:ascii="Times New Roman" w:hAnsi="Times New Roman" w:eastAsia="方正小标宋_GBK" w:cs="Times New Roman"/>
          <w:sz w:val="52"/>
          <w:szCs w:val="52"/>
        </w:rPr>
      </w:pPr>
    </w:p>
    <w:p w14:paraId="40BB86CF">
      <w:pPr>
        <w:pStyle w:val="16"/>
        <w:spacing w:line="360" w:lineRule="auto"/>
        <w:jc w:val="center"/>
        <w:rPr>
          <w:rFonts w:ascii="Times New Roman" w:hAnsi="Times New Roman" w:eastAsia="方正小标宋_GBK" w:cs="Times New Roman"/>
          <w:sz w:val="52"/>
          <w:szCs w:val="52"/>
        </w:rPr>
      </w:pPr>
    </w:p>
    <w:p w14:paraId="78CE9CFF">
      <w:pPr>
        <w:pStyle w:val="16"/>
        <w:spacing w:line="360" w:lineRule="auto"/>
        <w:jc w:val="center"/>
        <w:rPr>
          <w:rFonts w:ascii="Times New Roman" w:hAnsi="Times New Roman" w:eastAsia="方正小标宋_GBK" w:cs="Times New Roman"/>
          <w:sz w:val="52"/>
          <w:szCs w:val="52"/>
        </w:rPr>
      </w:pPr>
    </w:p>
    <w:p w14:paraId="0E20BAD0">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79208C2">
      <w:pPr>
        <w:pStyle w:val="16"/>
        <w:spacing w:line="360" w:lineRule="auto"/>
        <w:jc w:val="center"/>
        <w:rPr>
          <w:rFonts w:hint="eastAsia" w:asciiTheme="majorEastAsia" w:hAnsiTheme="majorEastAsia" w:eastAsiaTheme="majorEastAsia" w:cstheme="majorEastAsia"/>
          <w:sz w:val="52"/>
          <w:szCs w:val="52"/>
        </w:rPr>
      </w:pPr>
      <w:r>
        <w:rPr>
          <w:rFonts w:hint="eastAsia" w:asciiTheme="majorEastAsia" w:hAnsiTheme="majorEastAsia" w:eastAsiaTheme="majorEastAsia" w:cstheme="majorEastAsia"/>
          <w:sz w:val="52"/>
          <w:szCs w:val="52"/>
        </w:rPr>
        <w:t>202</w:t>
      </w:r>
      <w:r>
        <w:rPr>
          <w:rFonts w:hint="eastAsia" w:asciiTheme="majorEastAsia" w:hAnsiTheme="majorEastAsia" w:eastAsiaTheme="majorEastAsia" w:cstheme="majorEastAsia"/>
          <w:sz w:val="52"/>
          <w:szCs w:val="52"/>
          <w:lang w:val="en-US" w:eastAsia="zh-CN"/>
        </w:rPr>
        <w:t>5</w:t>
      </w:r>
      <w:r>
        <w:rPr>
          <w:rFonts w:hint="eastAsia" w:asciiTheme="majorEastAsia" w:hAnsiTheme="majorEastAsia" w:eastAsiaTheme="majorEastAsia" w:cstheme="majorEastAsia"/>
          <w:sz w:val="52"/>
          <w:szCs w:val="52"/>
        </w:rPr>
        <w:t>年度部门决算情况说明</w:t>
      </w:r>
    </w:p>
    <w:p w14:paraId="0232184B">
      <w:pPr>
        <w:widowControl/>
        <w:jc w:val="left"/>
        <w:rPr>
          <w:rFonts w:ascii="Times New Roman" w:hAnsi="Times New Roman" w:cs="Times New Roman"/>
          <w:sz w:val="32"/>
          <w:szCs w:val="32"/>
        </w:rPr>
      </w:pPr>
      <w:r>
        <w:br w:type="page"/>
      </w:r>
    </w:p>
    <w:p w14:paraId="4CB989A8">
      <w:pPr>
        <w:pStyle w:val="16"/>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一、收入支出决算总体情况说明</w:t>
      </w:r>
    </w:p>
    <w:p w14:paraId="23B8DF6D">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1727.08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2605.22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60.13</w:t>
      </w:r>
      <w:r>
        <w:rPr>
          <w:rFonts w:ascii="Times New Roman" w:hAnsi="Times New Roman" w:eastAsia="仿宋_GB2312" w:cs="Times New Roman"/>
          <w:sz w:val="32"/>
          <w:szCs w:val="32"/>
        </w:rPr>
        <w:t>%，主要是因为</w:t>
      </w:r>
      <w:r>
        <w:rPr>
          <w:rFonts w:hint="eastAsia" w:ascii="仿宋" w:hAnsi="仿宋" w:eastAsia="仿宋" w:cs="仿宋"/>
          <w:color w:val="auto"/>
          <w:spacing w:val="-2"/>
          <w:sz w:val="32"/>
          <w:szCs w:val="32"/>
          <w:highlight w:val="none"/>
          <w:lang w:val="en-US" w:eastAsia="zh-CN"/>
        </w:rPr>
        <w:t>本年度部分财政资金年终集中下达，资金到位时间较晚，叠加年末财务封账、停止支付等时间限制，项目结算、款项支付无法按期完成</w:t>
      </w:r>
      <w:r>
        <w:rPr>
          <w:rFonts w:hint="eastAsia" w:ascii="Times New Roman" w:hAnsi="Times New Roman" w:eastAsia="仿宋_GB2312" w:cs="Times New Roman"/>
          <w:sz w:val="32"/>
          <w:szCs w:val="32"/>
          <w:lang w:eastAsia="zh-CN"/>
        </w:rPr>
        <w:t>。</w:t>
      </w:r>
    </w:p>
    <w:p w14:paraId="18DB46EA">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餐厨垃圾收集运输处理、</w:t>
      </w:r>
      <w:r>
        <w:rPr>
          <w:rFonts w:hint="eastAsia" w:ascii="Times New Roman" w:hAnsi="Times New Roman" w:eastAsia="仿宋_GB2312" w:cs="Times New Roman"/>
          <w:sz w:val="32"/>
          <w:szCs w:val="32"/>
          <w:lang w:eastAsia="zh-CN"/>
        </w:rPr>
        <w:t>生活垃圾焚烧处理、渗滤液处理等重点支出，体现在有关支出科目中。</w:t>
      </w:r>
    </w:p>
    <w:p w14:paraId="1A64E536">
      <w:pPr>
        <w:pStyle w:val="16"/>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二、收入决算情况说明</w:t>
      </w:r>
    </w:p>
    <w:p w14:paraId="224D9CD7">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1727.08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1576.44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91.28</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150.64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8.72</w:t>
      </w:r>
      <w:r>
        <w:rPr>
          <w:rFonts w:ascii="Times New Roman" w:hAnsi="Times New Roman" w:eastAsia="仿宋_GB2312" w:cs="Times New Roman"/>
          <w:sz w:val="32"/>
          <w:szCs w:val="32"/>
        </w:rPr>
        <w:t>%。</w:t>
      </w:r>
    </w:p>
    <w:p w14:paraId="6F214E35">
      <w:pPr>
        <w:pStyle w:val="16"/>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三、支出决算情况说明</w:t>
      </w:r>
    </w:p>
    <w:p w14:paraId="26DF8F5D">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1727.08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1518.51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87.92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208.57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12.08</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733E4E7">
      <w:pPr>
        <w:pStyle w:val="16"/>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四、财政拨款收入支出决算总体情况说明</w:t>
      </w:r>
    </w:p>
    <w:p w14:paraId="4667AB34">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1576.44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2632.96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62.55</w:t>
      </w:r>
      <w:r>
        <w:rPr>
          <w:rFonts w:ascii="Times New Roman" w:hAnsi="Times New Roman" w:eastAsia="仿宋_GB2312" w:cs="Times New Roman"/>
          <w:sz w:val="32"/>
          <w:szCs w:val="32"/>
        </w:rPr>
        <w:t>%，主要是因为</w:t>
      </w:r>
      <w:r>
        <w:rPr>
          <w:rFonts w:hint="eastAsia" w:ascii="仿宋_GB2312" w:hAnsi="仿宋" w:eastAsia="仿宋_GB2312" w:cs="Times New Roman"/>
          <w:sz w:val="32"/>
          <w:szCs w:val="32"/>
          <w:highlight w:val="none"/>
          <w:lang w:val="en-US" w:eastAsia="zh-CN"/>
        </w:rPr>
        <w:t>2025年项目经费减少</w:t>
      </w:r>
      <w:r>
        <w:rPr>
          <w:rFonts w:hint="eastAsia" w:ascii="Times New Roman" w:hAnsi="Times New Roman" w:eastAsia="仿宋_GB2312" w:cs="Times New Roman"/>
          <w:sz w:val="32"/>
          <w:szCs w:val="32"/>
          <w:lang w:eastAsia="zh-CN"/>
        </w:rPr>
        <w:t>。</w:t>
      </w:r>
    </w:p>
    <w:p w14:paraId="194C3F2D">
      <w:pPr>
        <w:pStyle w:val="16"/>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五、一般公共预算财政拨款支出决算情况说明</w:t>
      </w:r>
    </w:p>
    <w:p w14:paraId="73550A77">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2143B374">
      <w:pPr>
        <w:pStyle w:val="16"/>
        <w:overflowPunct w:val="0"/>
        <w:autoSpaceDE/>
        <w:autoSpaceDN/>
        <w:spacing w:line="600" w:lineRule="exact"/>
        <w:ind w:firstLine="640" w:firstLineChars="200"/>
        <w:jc w:val="both"/>
        <w:rPr>
          <w:rFonts w:hint="eastAsia" w:ascii="仿宋" w:hAnsi="仿宋" w:eastAsia="仿宋" w:cs="Times New Roman"/>
          <w:spacing w:val="-2"/>
          <w:sz w:val="32"/>
          <w:szCs w:val="32"/>
          <w:highlight w:val="none"/>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1576.44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897.80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36.29</w:t>
      </w:r>
      <w:r>
        <w:rPr>
          <w:rFonts w:ascii="Times New Roman" w:hAnsi="Times New Roman" w:eastAsia="仿宋_GB2312" w:cs="Times New Roman"/>
          <w:sz w:val="32"/>
          <w:szCs w:val="32"/>
        </w:rPr>
        <w:t>%，主要是因为</w:t>
      </w:r>
      <w:r>
        <w:rPr>
          <w:rFonts w:hint="eastAsia" w:ascii="仿宋_GB2312" w:hAnsi="仿宋" w:eastAsia="仿宋_GB2312" w:cs="Times New Roman"/>
          <w:sz w:val="32"/>
          <w:szCs w:val="32"/>
          <w:highlight w:val="none"/>
          <w:lang w:val="en-US" w:eastAsia="zh-CN"/>
        </w:rPr>
        <w:t>2025年项目经费减少。</w:t>
      </w:r>
    </w:p>
    <w:p w14:paraId="3744C436">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7072B62">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1576.44</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94.0</w:t>
      </w:r>
      <w:r>
        <w:rPr>
          <w:rFonts w:hint="eastAsia" w:ascii="Times New Roman" w:hAnsi="Times New Roman" w:eastAsia="仿宋_GB2312" w:cs="Times New Roman"/>
          <w:sz w:val="32"/>
          <w:szCs w:val="32"/>
          <w:highlight w:val="none"/>
        </w:rPr>
        <w:t>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5.97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318.85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20.23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40.</w:t>
      </w:r>
      <w:r>
        <w:rPr>
          <w:rFonts w:hint="eastAsia" w:ascii="Times New Roman" w:hAnsi="Times New Roman" w:eastAsia="仿宋_GB2312" w:cs="Times New Roman"/>
          <w:sz w:val="32"/>
          <w:szCs w:val="32"/>
          <w:highlight w:val="none"/>
        </w:rPr>
        <w:t>1</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2.54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1114.5</w:t>
      </w:r>
      <w:r>
        <w:rPr>
          <w:rFonts w:hint="eastAsia" w:ascii="Times New Roman" w:hAnsi="Times New Roman" w:eastAsia="仿宋_GB2312" w:cs="Times New Roman"/>
          <w:sz w:val="32"/>
          <w:szCs w:val="32"/>
          <w:highlight w:val="none"/>
          <w:lang w:val="en-US" w:eastAsia="zh-CN"/>
        </w:rPr>
        <w:t>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70.7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8.87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0.56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7D7BE50D">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26DD05A">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w:t>
      </w:r>
      <w:r>
        <w:rPr>
          <w:rFonts w:hint="eastAsia" w:ascii="Times New Roman" w:hAnsi="Times New Roman" w:eastAsia="仿宋_GB2312" w:cs="Times New Roman"/>
          <w:sz w:val="32"/>
          <w:szCs w:val="32"/>
          <w:lang w:val="en-US" w:eastAsia="zh-CN"/>
        </w:rPr>
        <w:t>算数为4245.87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1576.44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37.13</w:t>
      </w:r>
      <w:r>
        <w:rPr>
          <w:rFonts w:ascii="Times New Roman" w:hAnsi="Times New Roman" w:eastAsia="仿宋_GB2312" w:cs="Times New Roman"/>
          <w:sz w:val="32"/>
          <w:szCs w:val="32"/>
        </w:rPr>
        <w:t>%，其中：</w:t>
      </w:r>
    </w:p>
    <w:p w14:paraId="3065F703">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ascii="Times New Roman" w:hAnsi="Times New Roman" w:eastAsia="仿宋_GB2312" w:cs="Times New Roman"/>
          <w:sz w:val="32"/>
          <w:szCs w:val="32"/>
          <w:highlight w:val="none"/>
        </w:rPr>
        <w:t>一般公共服务（类）</w:t>
      </w:r>
      <w:r>
        <w:rPr>
          <w:rFonts w:hint="eastAsia" w:ascii="Times New Roman" w:hAnsi="Times New Roman" w:eastAsia="仿宋_GB2312" w:cs="Times New Roman"/>
          <w:sz w:val="32"/>
          <w:szCs w:val="32"/>
          <w:highlight w:val="none"/>
        </w:rPr>
        <w:t>其他一般公共服务支出</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rPr>
        <w:t>其他一般公共服务支出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项）。</w:t>
      </w:r>
    </w:p>
    <w:p w14:paraId="2D24CFB2">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94.09</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olor w:val="000000" w:themeColor="text1"/>
          <w:sz w:val="32"/>
          <w:szCs w:val="32"/>
          <w14:textFill>
            <w14:solidFill>
              <w14:schemeClr w14:val="tx1"/>
            </w14:solidFill>
          </w14:textFill>
        </w:rPr>
        <w:t>本年收到追加的</w:t>
      </w:r>
      <w:r>
        <w:rPr>
          <w:rFonts w:hint="eastAsia" w:ascii="Times New Roman" w:hAnsi="Times New Roman" w:eastAsia="仿宋_GB2312" w:cs="Times New Roman"/>
          <w:sz w:val="32"/>
          <w:szCs w:val="32"/>
        </w:rPr>
        <w:t>2025年人才引导资金</w:t>
      </w:r>
      <w:r>
        <w:rPr>
          <w:rFonts w:hint="eastAsia" w:ascii="Times New Roman" w:hAnsi="Times New Roman" w:eastAsia="仿宋_GB2312" w:cs="Times New Roman"/>
          <w:sz w:val="32"/>
          <w:szCs w:val="32"/>
          <w:lang w:eastAsia="zh-CN"/>
        </w:rPr>
        <w:t>、2025年度考核奖、</w:t>
      </w:r>
      <w:r>
        <w:rPr>
          <w:rFonts w:hint="eastAsia" w:ascii="Times New Roman" w:hAnsi="Times New Roman" w:eastAsia="仿宋_GB2312" w:cs="Times New Roman"/>
          <w:sz w:val="32"/>
          <w:szCs w:val="32"/>
        </w:rPr>
        <w:t>在职人员工资等工资福利支出</w:t>
      </w:r>
      <w:r>
        <w:rPr>
          <w:rFonts w:hint="eastAsia" w:ascii="Times New Roman" w:hAnsi="Times New Roman" w:eastAsia="仿宋_GB2312" w:cs="Times New Roman"/>
          <w:sz w:val="32"/>
          <w:szCs w:val="32"/>
          <w:lang w:eastAsia="zh-CN"/>
        </w:rPr>
        <w:t>。</w:t>
      </w:r>
    </w:p>
    <w:p w14:paraId="20732A6B">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事业单位离退休</w:t>
      </w:r>
      <w:r>
        <w:rPr>
          <w:rFonts w:ascii="Times New Roman" w:hAnsi="Times New Roman" w:eastAsia="仿宋_GB2312" w:cs="Times New Roman"/>
          <w:sz w:val="32"/>
          <w:szCs w:val="32"/>
        </w:rPr>
        <w:t>（项）。</w:t>
      </w:r>
    </w:p>
    <w:p w14:paraId="70DB6CD9">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244.5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218.79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89.48</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highlight w:val="none"/>
          <w:lang w:val="en-US" w:eastAsia="zh-CN"/>
        </w:rPr>
        <w:t>实际发放退休人员补助平均数小于预算</w:t>
      </w:r>
      <w:r>
        <w:rPr>
          <w:rFonts w:hint="eastAsia" w:ascii="Times New Roman" w:hAnsi="Times New Roman" w:eastAsia="仿宋_GB2312" w:cs="Times New Roman"/>
          <w:sz w:val="32"/>
          <w:szCs w:val="32"/>
          <w:highlight w:val="none"/>
        </w:rPr>
        <w:t>。</w:t>
      </w:r>
    </w:p>
    <w:p w14:paraId="6788CAD6">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427A63B5">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96.48</w:t>
      </w:r>
      <w:r>
        <w:rPr>
          <w:rFonts w:hint="eastAsia" w:ascii="Times New Roman" w:hAnsi="Times New Roman" w:eastAsia="仿宋_GB2312" w:cs="Times New Roman"/>
          <w:sz w:val="32"/>
          <w:szCs w:val="32"/>
        </w:rPr>
        <w:t>万元，支出决算为100.07万元，完成年初预算的</w:t>
      </w:r>
      <w:r>
        <w:rPr>
          <w:rFonts w:hint="eastAsia" w:ascii="Times New Roman" w:hAnsi="Times New Roman" w:eastAsia="仿宋_GB2312" w:cs="Times New Roman"/>
          <w:sz w:val="32"/>
          <w:szCs w:val="32"/>
          <w:lang w:val="en-US" w:eastAsia="zh-CN"/>
        </w:rPr>
        <w:t>103.72</w:t>
      </w:r>
      <w:r>
        <w:rPr>
          <w:rFonts w:hint="eastAsia"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highlight w:val="none"/>
          <w:lang w:val="en-US" w:eastAsia="zh-CN"/>
        </w:rPr>
        <w:t>财政保障职工养老保险缴费单位部分，根据本年实际支出财政追加预算。</w:t>
      </w:r>
    </w:p>
    <w:p w14:paraId="71D6AEE1">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 xml:space="preserve"> 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73C4F9B2">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1.79</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olor w:val="000000" w:themeColor="text1"/>
          <w:sz w:val="32"/>
          <w:szCs w:val="32"/>
          <w:highlight w:val="none"/>
          <w14:textFill>
            <w14:solidFill>
              <w14:schemeClr w14:val="tx1"/>
            </w14:solidFill>
          </w14:textFill>
        </w:rPr>
        <w:t>预决算功能科目差异，</w:t>
      </w:r>
      <w:r>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t>财政保障职工基本医疗保险缴费单位部分，根据本年实际支出追加预算</w:t>
      </w:r>
      <w:r>
        <w:rPr>
          <w:rFonts w:hint="eastAsia" w:ascii="Times New Roman" w:hAnsi="Times New Roman" w:eastAsia="仿宋_GB2312" w:cs="Times New Roman"/>
          <w:sz w:val="32"/>
          <w:szCs w:val="32"/>
          <w:highlight w:val="none"/>
          <w:lang w:val="en-US" w:eastAsia="zh-CN"/>
        </w:rPr>
        <w:t>。</w:t>
      </w:r>
      <w:r>
        <w:rPr>
          <w:rFonts w:hint="eastAsia" w:ascii="Times New Roman" w:hAnsi="Times New Roman" w:eastAsia="仿宋_GB2312"/>
          <w:sz w:val="32"/>
          <w:szCs w:val="32"/>
          <w:highlight w:val="none"/>
        </w:rPr>
        <w:t>年初预算计入</w:t>
      </w:r>
      <w:r>
        <w:rPr>
          <w:rFonts w:hint="eastAsia" w:ascii="Times New Roman" w:hAnsi="Times New Roman" w:eastAsia="仿宋_GB2312" w:cs="Times New Roman"/>
          <w:sz w:val="32"/>
          <w:szCs w:val="32"/>
          <w:highlight w:val="none"/>
        </w:rPr>
        <w:t>事业单位医疗</w:t>
      </w:r>
      <w:r>
        <w:rPr>
          <w:rFonts w:hint="eastAsia" w:ascii="Times New Roman" w:hAnsi="Times New Roman" w:eastAsia="仿宋_GB2312"/>
          <w:sz w:val="32"/>
          <w:szCs w:val="32"/>
          <w:highlight w:val="none"/>
        </w:rPr>
        <w:t>（项），实际</w:t>
      </w:r>
      <w:r>
        <w:rPr>
          <w:rFonts w:hint="eastAsia" w:ascii="Times New Roman" w:hAnsi="Times New Roman" w:eastAsia="仿宋_GB2312"/>
          <w:color w:val="000000" w:themeColor="text1"/>
          <w:sz w:val="32"/>
          <w:szCs w:val="32"/>
          <w:highlight w:val="none"/>
          <w14:textFill>
            <w14:solidFill>
              <w14:schemeClr w14:val="tx1"/>
            </w14:solidFill>
          </w14:textFill>
        </w:rPr>
        <w:t>下达至</w:t>
      </w:r>
      <w:r>
        <w:rPr>
          <w:rFonts w:hint="eastAsia" w:ascii="Times New Roman" w:hAnsi="Times New Roman" w:eastAsia="仿宋_GB2312" w:cs="Times New Roman"/>
          <w:sz w:val="32"/>
          <w:szCs w:val="32"/>
          <w:highlight w:val="none"/>
        </w:rPr>
        <w:t>行政单位医疗</w:t>
      </w:r>
      <w:r>
        <w:rPr>
          <w:rFonts w:ascii="Times New Roman" w:hAnsi="Times New Roman" w:eastAsia="仿宋_GB2312" w:cs="Times New Roman"/>
          <w:sz w:val="32"/>
          <w:szCs w:val="32"/>
          <w:highlight w:val="none"/>
        </w:rPr>
        <w:t>（项）。</w:t>
      </w:r>
    </w:p>
    <w:p w14:paraId="14384C0B">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 xml:space="preserve"> 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事业单位医疗</w:t>
      </w:r>
      <w:r>
        <w:rPr>
          <w:rFonts w:ascii="Times New Roman" w:hAnsi="Times New Roman" w:eastAsia="仿宋_GB2312" w:cs="Times New Roman"/>
          <w:sz w:val="32"/>
          <w:szCs w:val="32"/>
        </w:rPr>
        <w:t>（项）。</w:t>
      </w:r>
    </w:p>
    <w:p w14:paraId="28F3DB0B">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38.31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38.31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%，决算数与年初预算数相同</w:t>
      </w:r>
      <w:r>
        <w:rPr>
          <w:rFonts w:hint="eastAsia" w:ascii="Times New Roman" w:hAnsi="Times New Roman" w:eastAsia="仿宋_GB2312" w:cs="Times New Roman"/>
          <w:sz w:val="32"/>
          <w:szCs w:val="32"/>
          <w:lang w:eastAsia="zh-CN"/>
        </w:rPr>
        <w:t>。</w:t>
      </w:r>
    </w:p>
    <w:p w14:paraId="61DF23E6">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45FEF22B">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875.89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906.84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103.53</w:t>
      </w:r>
      <w:r>
        <w:rPr>
          <w:rFonts w:ascii="Times New Roman" w:hAnsi="Times New Roman" w:eastAsia="仿宋_GB2312" w:cs="Times New Roman"/>
          <w:sz w:val="32"/>
          <w:szCs w:val="32"/>
        </w:rPr>
        <w:t>%，决算数大于年初预算数的主要原因是：本年集中发放 2024、2025 两个年度绩效考核奖，年初预算仅安排当年考核奖，上年考核奖未纳入年初预算，形成支出差额。</w:t>
      </w:r>
    </w:p>
    <w:p w14:paraId="5343F57E">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其他城乡社区管理事务支出</w:t>
      </w:r>
      <w:r>
        <w:rPr>
          <w:rFonts w:ascii="Times New Roman" w:hAnsi="Times New Roman" w:eastAsia="仿宋_GB2312" w:cs="Times New Roman"/>
          <w:sz w:val="32"/>
          <w:szCs w:val="32"/>
        </w:rPr>
        <w:t>（项）。</w:t>
      </w:r>
    </w:p>
    <w:p w14:paraId="3A733B20">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%，决算数与年初预算数相同</w:t>
      </w:r>
      <w:r>
        <w:rPr>
          <w:rFonts w:hint="eastAsia" w:ascii="Times New Roman" w:hAnsi="Times New Roman" w:eastAsia="仿宋_GB2312" w:cs="Times New Roman"/>
          <w:sz w:val="32"/>
          <w:szCs w:val="32"/>
          <w:lang w:eastAsia="zh-CN"/>
        </w:rPr>
        <w:t>。</w:t>
      </w:r>
    </w:p>
    <w:p w14:paraId="2A2A7F6D">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 xml:space="preserve"> 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 xml:space="preserve"> 城乡社区环境卫生</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城乡社区环境卫生</w:t>
      </w:r>
      <w:r>
        <w:rPr>
          <w:rFonts w:ascii="Times New Roman" w:hAnsi="Times New Roman" w:eastAsia="仿宋_GB2312" w:cs="Times New Roman"/>
          <w:sz w:val="32"/>
          <w:szCs w:val="32"/>
        </w:rPr>
        <w:t>（项）。</w:t>
      </w:r>
    </w:p>
    <w:p w14:paraId="681E9E4F">
      <w:pPr>
        <w:pStyle w:val="16"/>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2990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206.97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6.92</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rPr>
        <w:t>财政资金</w:t>
      </w:r>
      <w:r>
        <w:rPr>
          <w:rFonts w:hint="eastAsia" w:ascii="Times New Roman" w:hAnsi="Times New Roman" w:eastAsia="仿宋_GB2312" w:cs="Times New Roman"/>
          <w:sz w:val="32"/>
          <w:szCs w:val="32"/>
          <w:lang w:val="en-US" w:eastAsia="zh-CN"/>
        </w:rPr>
        <w:t>紧张，年初预算安排的</w:t>
      </w:r>
      <w:r>
        <w:rPr>
          <w:rFonts w:hint="eastAsia" w:ascii="Times New Roman" w:hAnsi="Times New Roman" w:eastAsia="仿宋_GB2312" w:cs="Times New Roman"/>
          <w:sz w:val="32"/>
          <w:szCs w:val="32"/>
        </w:rPr>
        <w:t>项目资金未能按进度</w:t>
      </w:r>
      <w:r>
        <w:rPr>
          <w:rFonts w:hint="eastAsia" w:ascii="Times New Roman" w:hAnsi="Times New Roman" w:eastAsia="仿宋_GB2312" w:cs="Times New Roman"/>
          <w:sz w:val="32"/>
          <w:szCs w:val="32"/>
          <w:lang w:val="en-US" w:eastAsia="zh-CN"/>
        </w:rPr>
        <w:t>下达</w:t>
      </w:r>
      <w:r>
        <w:rPr>
          <w:rFonts w:hint="eastAsia" w:ascii="Times New Roman" w:hAnsi="Times New Roman" w:eastAsia="仿宋_GB2312" w:cs="Times New Roman"/>
          <w:sz w:val="32"/>
          <w:szCs w:val="32"/>
        </w:rPr>
        <w:t>。</w:t>
      </w:r>
    </w:p>
    <w:p w14:paraId="4AE22BF4">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highlight w:val="none"/>
        </w:rPr>
        <w:t>住房改革支出</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680F6ED4">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8.87</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olor w:val="000000" w:themeColor="text1"/>
          <w:sz w:val="32"/>
          <w:szCs w:val="32"/>
          <w:highlight w:val="none"/>
          <w14:textFill>
            <w14:solidFill>
              <w14:schemeClr w14:val="tx1"/>
            </w14:solidFill>
          </w14:textFill>
        </w:rPr>
        <w:t>预决算功能科目差异，</w:t>
      </w:r>
      <w:r>
        <w:rPr>
          <w:rFonts w:hint="eastAsia" w:ascii="Times New Roman" w:hAnsi="Times New Roman" w:eastAsia="仿宋_GB2312" w:cs="Times New Roman"/>
          <w:sz w:val="32"/>
          <w:szCs w:val="32"/>
          <w:highlight w:val="none"/>
          <w:lang w:val="en-US" w:eastAsia="zh-CN"/>
        </w:rPr>
        <w:t>财政保障住房公积金单位部分，根据本年实际支出财政追加预算。</w:t>
      </w:r>
      <w:r>
        <w:rPr>
          <w:rFonts w:hint="eastAsia" w:ascii="Times New Roman" w:hAnsi="Times New Roman" w:eastAsia="仿宋_GB2312"/>
          <w:sz w:val="32"/>
          <w:szCs w:val="32"/>
          <w:highlight w:val="none"/>
        </w:rPr>
        <w:t>年初预算计入行政运行（项），实际</w:t>
      </w:r>
      <w:r>
        <w:rPr>
          <w:rFonts w:hint="eastAsia" w:ascii="Times New Roman" w:hAnsi="Times New Roman" w:eastAsia="仿宋_GB2312"/>
          <w:color w:val="000000" w:themeColor="text1"/>
          <w:sz w:val="32"/>
          <w:szCs w:val="32"/>
          <w:highlight w:val="none"/>
          <w14:textFill>
            <w14:solidFill>
              <w14:schemeClr w14:val="tx1"/>
            </w14:solidFill>
          </w14:textFill>
        </w:rPr>
        <w:t>下达至</w:t>
      </w:r>
      <w:r>
        <w:rPr>
          <w:rFonts w:hint="eastAsia" w:ascii="Times New Roman" w:hAnsi="Times New Roman" w:eastAsia="仿宋_GB2312" w:cs="Times New Roman"/>
          <w:sz w:val="32"/>
          <w:szCs w:val="32"/>
          <w:highlight w:val="none"/>
        </w:rPr>
        <w:t>住房公积金</w:t>
      </w:r>
      <w:r>
        <w:rPr>
          <w:rFonts w:ascii="Times New Roman" w:hAnsi="Times New Roman" w:eastAsia="仿宋_GB2312" w:cs="Times New Roman"/>
          <w:sz w:val="32"/>
          <w:szCs w:val="32"/>
          <w:highlight w:val="none"/>
        </w:rPr>
        <w:t>（项）。</w:t>
      </w:r>
    </w:p>
    <w:p w14:paraId="3ED9EE92">
      <w:pPr>
        <w:pStyle w:val="16"/>
        <w:overflowPunct w:val="0"/>
        <w:autoSpaceDE/>
        <w:autoSpaceDN/>
        <w:spacing w:line="600" w:lineRule="exact"/>
        <w:ind w:firstLine="640" w:firstLineChars="200"/>
        <w:jc w:val="both"/>
        <w:rPr>
          <w:rFonts w:ascii="宋体" w:hAnsi="宋体" w:eastAsia="宋体" w:cs="宋体"/>
          <w:sz w:val="24"/>
          <w:szCs w:val="24"/>
        </w:rPr>
      </w:pPr>
      <w:r>
        <w:rPr>
          <w:rFonts w:hint="eastAsia" w:ascii="Times New Roman" w:hAnsi="Times New Roman" w:eastAsia="仿宋_GB2312" w:cs="Times New Roman"/>
          <w:sz w:val="32"/>
          <w:szCs w:val="32"/>
        </w:rPr>
        <w:t>按照支出功能分类，城乡社区支出占财政拨款支出总额的比重较高，主要是：城乡社区管理事务，2025年度决算数为1114.51万元，占财政拨款支出总额的</w:t>
      </w:r>
      <w:r>
        <w:rPr>
          <w:rFonts w:hint="eastAsia" w:ascii="Times New Roman" w:hAnsi="Times New Roman" w:eastAsia="仿宋_GB2312" w:cs="Times New Roman"/>
          <w:sz w:val="32"/>
          <w:szCs w:val="32"/>
          <w:lang w:val="en-US" w:eastAsia="zh-CN"/>
        </w:rPr>
        <w:t>70.70</w:t>
      </w:r>
      <w:r>
        <w:rPr>
          <w:rFonts w:hint="eastAsia" w:ascii="Times New Roman" w:hAnsi="Times New Roman" w:eastAsia="仿宋_GB2312" w:cs="Times New Roman"/>
          <w:sz w:val="32"/>
          <w:szCs w:val="32"/>
        </w:rPr>
        <w:t>%，</w:t>
      </w:r>
      <w:bookmarkStart w:id="0" w:name="_GoBack"/>
      <w:bookmarkEnd w:id="0"/>
      <w:r>
        <w:rPr>
          <w:rFonts w:hint="eastAsia" w:ascii="Times New Roman" w:hAnsi="Times New Roman" w:eastAsia="仿宋_GB2312" w:cs="Times New Roman"/>
          <w:sz w:val="32"/>
          <w:szCs w:val="32"/>
        </w:rPr>
        <w:t>主要用于保障本单位人员经费、日常运行及履职相关工作开展。</w:t>
      </w:r>
    </w:p>
    <w:p w14:paraId="7F92D796">
      <w:pPr>
        <w:pStyle w:val="16"/>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六、一般公共预算财政拨款基本支出决算情况说明</w:t>
      </w:r>
    </w:p>
    <w:p w14:paraId="5DAD1937">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1367.87</w:t>
      </w:r>
      <w:r>
        <w:rPr>
          <w:rFonts w:ascii="Times New Roman" w:hAnsi="Times New Roman" w:eastAsia="仿宋_GB2312" w:cs="Times New Roman"/>
          <w:sz w:val="32"/>
          <w:szCs w:val="32"/>
        </w:rPr>
        <w:t>万元，其中：</w:t>
      </w:r>
    </w:p>
    <w:p w14:paraId="19D165E2">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1306.88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95.54</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rPr>
        <w:t>绩效工资</w:t>
      </w:r>
      <w:r>
        <w:rPr>
          <w:rFonts w:hint="eastAsia" w:ascii="Times New Roman" w:hAnsi="Times New Roman" w:eastAsia="仿宋_GB2312" w:cs="Times New Roman"/>
          <w:sz w:val="32"/>
          <w:szCs w:val="32"/>
          <w:lang w:eastAsia="zh-CN"/>
        </w:rPr>
        <w:t>、机关事业单位基本养老保险缴费、职工基本医疗保险缴费、其他社会保障缴费、住房公积金、 生活补助、 其他对个人和家庭的补助</w:t>
      </w:r>
      <w:r>
        <w:rPr>
          <w:rFonts w:ascii="Times New Roman" w:hAnsi="Times New Roman" w:eastAsia="仿宋_GB2312" w:cs="Times New Roman"/>
          <w:sz w:val="32"/>
          <w:szCs w:val="32"/>
        </w:rPr>
        <w:t>。</w:t>
      </w:r>
    </w:p>
    <w:p w14:paraId="282B11ED">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60.99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4.46</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rPr>
        <w:t>邮电费</w:t>
      </w:r>
      <w:r>
        <w:rPr>
          <w:rFonts w:hint="eastAsia" w:ascii="Times New Roman" w:hAnsi="Times New Roman" w:eastAsia="仿宋_GB2312" w:cs="Times New Roman"/>
          <w:sz w:val="32"/>
          <w:szCs w:val="32"/>
          <w:lang w:eastAsia="zh-CN"/>
        </w:rPr>
        <w:t>、差旅费、维修（护）费、专用材料费、工会经费、福利费、公务用车运行维护费、其他商品和服务支出</w:t>
      </w:r>
      <w:r>
        <w:rPr>
          <w:rFonts w:ascii="Times New Roman" w:hAnsi="Times New Roman" w:eastAsia="仿宋_GB2312" w:cs="Times New Roman"/>
          <w:sz w:val="32"/>
          <w:szCs w:val="32"/>
        </w:rPr>
        <w:t>。</w:t>
      </w:r>
    </w:p>
    <w:p w14:paraId="029DF4D5">
      <w:pPr>
        <w:pStyle w:val="16"/>
        <w:numPr>
          <w:ilvl w:val="0"/>
          <w:numId w:val="1"/>
        </w:numPr>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财政拨款“三公”经费支出决算情况说明</w:t>
      </w:r>
    </w:p>
    <w:p w14:paraId="276DCF33">
      <w:pPr>
        <w:pStyle w:val="16"/>
        <w:numPr>
          <w:ilvl w:val="0"/>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E35AE7E">
      <w:pPr>
        <w:keepNext w:val="0"/>
        <w:keepLines w:val="0"/>
        <w:pageBreakBefore w:val="0"/>
        <w:widowControl/>
        <w:shd w:val="clear" w:color="auto" w:fill="FFFFFF"/>
        <w:kinsoku/>
        <w:wordWrap/>
        <w:overflowPunct/>
        <w:topLinePunct w:val="0"/>
        <w:autoSpaceDE/>
        <w:autoSpaceDN/>
        <w:bidi w:val="0"/>
        <w:adjustRightInd/>
        <w:spacing w:line="550" w:lineRule="exact"/>
        <w:ind w:firstLine="640"/>
        <w:textAlignment w:val="auto"/>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7.7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0.35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4.8</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持平</w:t>
      </w:r>
      <w:r>
        <w:rPr>
          <w:rFonts w:hint="eastAsia" w:ascii="仿宋" w:hAnsi="仿宋" w:eastAsia="仿宋"/>
          <w:spacing w:val="-2"/>
          <w:sz w:val="32"/>
          <w:szCs w:val="32"/>
          <w:lang w:eastAsia="zh-CN"/>
        </w:rPr>
        <w:t>。</w:t>
      </w:r>
      <w:r>
        <w:rPr>
          <w:rFonts w:ascii="Times New Roman" w:hAnsi="Times New Roman" w:eastAsia="仿宋_GB2312" w:cs="Times New Roman"/>
          <w:sz w:val="32"/>
          <w:szCs w:val="32"/>
        </w:rPr>
        <w:t>决算数大于上年数的主要原因是</w:t>
      </w:r>
      <w:r>
        <w:rPr>
          <w:rFonts w:hint="eastAsia" w:ascii="仿宋" w:hAnsi="仿宋" w:eastAsia="仿宋"/>
          <w:spacing w:val="-2"/>
          <w:sz w:val="32"/>
          <w:szCs w:val="32"/>
          <w:lang w:eastAsia="zh-CN"/>
        </w:rPr>
        <w:t>公务用车购置及运行维护费增加</w:t>
      </w:r>
      <w:r>
        <w:rPr>
          <w:rFonts w:hint="eastAsia" w:ascii="仿宋" w:hAnsi="仿宋" w:eastAsia="仿宋"/>
          <w:spacing w:val="-2"/>
          <w:sz w:val="32"/>
          <w:szCs w:val="32"/>
          <w:lang w:val="en-US" w:eastAsia="zh-CN"/>
        </w:rPr>
        <w:t>0.35</w:t>
      </w:r>
      <w:r>
        <w:rPr>
          <w:rFonts w:hint="eastAsia" w:ascii="仿宋" w:hAnsi="仿宋" w:eastAsia="仿宋"/>
          <w:spacing w:val="-2"/>
          <w:sz w:val="32"/>
          <w:szCs w:val="32"/>
          <w:lang w:eastAsia="zh-CN"/>
        </w:rPr>
        <w:t>万元，</w:t>
      </w:r>
      <w:r>
        <w:rPr>
          <w:rFonts w:hint="eastAsia" w:ascii="仿宋" w:hAnsi="仿宋" w:eastAsia="仿宋"/>
          <w:spacing w:val="-2"/>
          <w:sz w:val="32"/>
          <w:szCs w:val="32"/>
          <w:lang w:val="en-US" w:eastAsia="zh-CN"/>
        </w:rPr>
        <w:t>本年燃油费增加等</w:t>
      </w:r>
      <w:r>
        <w:rPr>
          <w:rFonts w:hint="eastAsia" w:ascii="仿宋" w:hAnsi="仿宋" w:eastAsia="仿宋"/>
          <w:spacing w:val="-2"/>
          <w:sz w:val="32"/>
          <w:szCs w:val="32"/>
          <w:lang w:eastAsia="zh-CN"/>
        </w:rPr>
        <w:t>。</w:t>
      </w:r>
    </w:p>
    <w:p w14:paraId="0799D172">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19573C5">
      <w:pPr>
        <w:pStyle w:val="16"/>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决算数与年初预算数持平，与上年数持平，主要原因</w:t>
      </w:r>
      <w:r>
        <w:rPr>
          <w:rFonts w:hint="eastAsia" w:ascii="Times New Roman" w:hAnsi="Times New Roman" w:eastAsia="仿宋_GB2312"/>
          <w:sz w:val="32"/>
          <w:szCs w:val="32"/>
          <w:lang w:val="en-US" w:eastAsia="zh-CN"/>
        </w:rPr>
        <w:t>是</w:t>
      </w:r>
      <w:r>
        <w:rPr>
          <w:rFonts w:hint="eastAsia" w:ascii="Times New Roman" w:hAnsi="Times New Roman" w:eastAsia="仿宋_GB2312"/>
          <w:sz w:val="32"/>
          <w:szCs w:val="32"/>
        </w:rPr>
        <w:t>本年度未安排因公出国</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活动。</w:t>
      </w:r>
    </w:p>
    <w:p w14:paraId="1D0639EE">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7.7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0.35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4.8</w:t>
      </w:r>
      <w:r>
        <w:rPr>
          <w:rFonts w:ascii="Times New Roman" w:hAnsi="Times New Roman" w:eastAsia="仿宋_GB2312" w:cs="Times New Roman"/>
          <w:sz w:val="32"/>
          <w:szCs w:val="32"/>
        </w:rPr>
        <w:t>%。其中：</w:t>
      </w:r>
    </w:p>
    <w:p w14:paraId="3D1164A3">
      <w:pPr>
        <w:pStyle w:val="16"/>
        <w:spacing w:line="600" w:lineRule="exact"/>
        <w:ind w:firstLine="640" w:firstLineChars="200"/>
        <w:rPr>
          <w:rFonts w:ascii="Times New Roman" w:hAnsi="Times New Roman" w:eastAsia="仿宋_GB2312"/>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决算数与年初预算数持平，与上年数持平，主要原因是未购置公务用车。</w:t>
      </w:r>
    </w:p>
    <w:p w14:paraId="5784792A">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7.7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7.7</w:t>
      </w:r>
      <w:r>
        <w:rPr>
          <w:rFonts w:ascii="Times New Roman" w:hAnsi="Times New Roman" w:eastAsia="仿宋_GB2312" w:cs="Times New Roman"/>
          <w:sz w:val="32"/>
          <w:szCs w:val="32"/>
        </w:rPr>
        <w:t>万元，主要</w:t>
      </w:r>
      <w:r>
        <w:rPr>
          <w:rFonts w:ascii="Times New Roman" w:hAnsi="Times New Roman" w:eastAsia="仿宋_GB2312" w:cs="Times New Roman"/>
          <w:sz w:val="32"/>
          <w:szCs w:val="32"/>
          <w:highlight w:val="none"/>
        </w:rPr>
        <w:t>是</w:t>
      </w:r>
      <w:r>
        <w:rPr>
          <w:rFonts w:hint="eastAsia" w:ascii="Times New Roman" w:hAnsi="Times New Roman" w:eastAsia="仿宋_GB2312" w:cs="Times New Roman"/>
          <w:sz w:val="32"/>
          <w:szCs w:val="32"/>
          <w:highlight w:val="none"/>
          <w:lang w:val="en-US" w:eastAsia="zh-CN"/>
        </w:rPr>
        <w:t>车辆燃油费、维修费、保险费、过路费和年检费等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0.35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4.8</w:t>
      </w:r>
      <w:r>
        <w:rPr>
          <w:rFonts w:ascii="Times New Roman" w:hAnsi="Times New Roman" w:eastAsia="仿宋_GB2312" w:cs="Times New Roman"/>
          <w:sz w:val="32"/>
          <w:szCs w:val="32"/>
        </w:rPr>
        <w:t>%。</w:t>
      </w:r>
      <w:r>
        <w:rPr>
          <w:rFonts w:hint="eastAsia" w:ascii="Times New Roman" w:hAnsi="Times New Roman" w:eastAsia="仿宋_GB2312"/>
          <w:sz w:val="32"/>
          <w:szCs w:val="32"/>
        </w:rPr>
        <w:t>决算数与年初预算数持平</w:t>
      </w:r>
      <w:r>
        <w:rPr>
          <w:rFonts w:ascii="Times New Roman" w:hAnsi="Times New Roman" w:eastAsia="仿宋_GB2312" w:cs="Times New Roman"/>
          <w:sz w:val="32"/>
          <w:szCs w:val="32"/>
        </w:rPr>
        <w:t>。决算数大于上年数的主要原因是</w:t>
      </w:r>
      <w:r>
        <w:rPr>
          <w:rFonts w:hint="eastAsia" w:ascii="仿宋" w:hAnsi="仿宋" w:eastAsia="仿宋"/>
          <w:spacing w:val="-2"/>
          <w:sz w:val="32"/>
          <w:szCs w:val="32"/>
          <w:lang w:val="en-US" w:eastAsia="zh-CN"/>
        </w:rPr>
        <w:t>本年燃油费增加等</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辆。</w:t>
      </w:r>
    </w:p>
    <w:p w14:paraId="433361FC">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决算数与年初预算数持平，与上年数持平，主要原因本年度未安排</w:t>
      </w:r>
      <w:r>
        <w:rPr>
          <w:rFonts w:ascii="Times New Roman" w:hAnsi="Times New Roman" w:eastAsia="仿宋_GB2312" w:cs="Times New Roman"/>
          <w:sz w:val="32"/>
          <w:szCs w:val="32"/>
        </w:rPr>
        <w:t>公务接待</w:t>
      </w:r>
      <w:r>
        <w:rPr>
          <w:rFonts w:hint="eastAsia" w:ascii="Times New Roman" w:hAnsi="Times New Roman" w:eastAsia="仿宋_GB2312"/>
          <w:sz w:val="32"/>
          <w:szCs w:val="32"/>
        </w:rPr>
        <w:t>。</w:t>
      </w:r>
    </w:p>
    <w:p w14:paraId="414C5C20">
      <w:pPr>
        <w:pStyle w:val="16"/>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八、政府性基金预算收入支出决算情况</w:t>
      </w:r>
    </w:p>
    <w:p w14:paraId="28CE1579">
      <w:pPr>
        <w:pStyle w:val="16"/>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本年度无</w:t>
      </w:r>
      <w:r>
        <w:rPr>
          <w:rFonts w:hint="eastAsia" w:ascii="Times New Roman" w:hAnsi="Times New Roman" w:eastAsia="仿宋_GB2312"/>
          <w:sz w:val="32"/>
          <w:szCs w:val="32"/>
          <w:lang w:val="en-US" w:eastAsia="zh-CN"/>
        </w:rPr>
        <w:t>政府性基金预算收支。</w:t>
      </w:r>
    </w:p>
    <w:p w14:paraId="3234A646">
      <w:pPr>
        <w:autoSpaceDE w:val="0"/>
        <w:autoSpaceDN w:val="0"/>
        <w:adjustRightInd w:val="0"/>
        <w:spacing w:line="600" w:lineRule="exact"/>
        <w:ind w:firstLine="640" w:firstLineChars="200"/>
        <w:jc w:val="left"/>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b/>
          <w:bCs/>
          <w:color w:val="000000"/>
          <w:kern w:val="0"/>
          <w:sz w:val="32"/>
          <w:szCs w:val="32"/>
          <w:lang w:val="en-US" w:eastAsia="zh-CN"/>
        </w:rPr>
        <w:t>九、国有资本经营预算收入支出</w:t>
      </w:r>
      <w:r>
        <w:rPr>
          <w:rFonts w:hint="eastAsia" w:ascii="Times New Roman" w:hAnsi="Times New Roman" w:eastAsia="仿宋_GB2312" w:cs="Times New Roman"/>
          <w:b/>
          <w:bCs/>
          <w:color w:val="000000"/>
          <w:kern w:val="0"/>
          <w:sz w:val="32"/>
          <w:szCs w:val="32"/>
        </w:rPr>
        <w:t>决算情况</w:t>
      </w:r>
      <w:r>
        <w:rPr>
          <w:rFonts w:hint="eastAsia" w:ascii="Times New Roman" w:hAnsi="Times New Roman" w:eastAsia="仿宋_GB2312" w:cs="Times New Roman"/>
          <w:b/>
          <w:bCs/>
          <w:color w:val="000000"/>
          <w:kern w:val="0"/>
          <w:sz w:val="32"/>
          <w:szCs w:val="32"/>
          <w:lang w:val="en-US" w:eastAsia="zh-CN"/>
        </w:rPr>
        <w:t>说明</w:t>
      </w:r>
    </w:p>
    <w:p w14:paraId="46176D98">
      <w:pPr>
        <w:pStyle w:val="16"/>
        <w:spacing w:line="600" w:lineRule="exact"/>
        <w:ind w:firstLine="640" w:firstLineChars="200"/>
        <w:rPr>
          <w:rFonts w:ascii="Times New Roman" w:hAnsi="Times New Roman" w:cs="Times New Roman"/>
          <w:bCs/>
          <w:sz w:val="32"/>
          <w:szCs w:val="32"/>
        </w:rPr>
      </w:pPr>
      <w:r>
        <w:rPr>
          <w:rFonts w:ascii="Times New Roman" w:hAnsi="Times New Roman" w:eastAsia="仿宋_GB2312" w:cs="Times New Roman"/>
          <w:color w:val="auto"/>
          <w:kern w:val="2"/>
          <w:sz w:val="32"/>
          <w:szCs w:val="32"/>
        </w:rPr>
        <w:t>202</w:t>
      </w:r>
      <w:r>
        <w:rPr>
          <w:rFonts w:hint="eastAsia" w:ascii="Times New Roman" w:hAnsi="Times New Roman" w:eastAsia="仿宋_GB2312" w:cs="Times New Roman"/>
          <w:color w:val="auto"/>
          <w:kern w:val="2"/>
          <w:sz w:val="32"/>
          <w:szCs w:val="32"/>
          <w:lang w:val="en-US" w:eastAsia="zh-CN"/>
        </w:rPr>
        <w:t>5</w:t>
      </w:r>
      <w:r>
        <w:rPr>
          <w:rFonts w:hint="eastAsia" w:ascii="Times New Roman" w:hAnsi="Times New Roman" w:eastAsia="仿宋_GB2312" w:cs="Times New Roman"/>
          <w:color w:val="auto"/>
          <w:kern w:val="2"/>
          <w:sz w:val="32"/>
          <w:szCs w:val="32"/>
        </w:rPr>
        <w:t>年度本</w:t>
      </w:r>
      <w:r>
        <w:rPr>
          <w:rFonts w:hint="eastAsia" w:ascii="Times New Roman" w:hAnsi="Times New Roman" w:eastAsia="仿宋_GB2312"/>
          <w:sz w:val="32"/>
          <w:szCs w:val="32"/>
          <w:lang w:val="en-US" w:eastAsia="zh-CN"/>
        </w:rPr>
        <w:t>单位</w:t>
      </w:r>
      <w:r>
        <w:rPr>
          <w:rFonts w:hint="eastAsia" w:ascii="Times New Roman" w:hAnsi="Times New Roman" w:eastAsia="仿宋_GB2312" w:cs="Times New Roman"/>
          <w:color w:val="auto"/>
          <w:kern w:val="2"/>
          <w:sz w:val="32"/>
          <w:szCs w:val="32"/>
        </w:rPr>
        <w:t>无国有资本经营预算收入支出。</w:t>
      </w:r>
    </w:p>
    <w:p w14:paraId="536C3055">
      <w:pPr>
        <w:pStyle w:val="16"/>
        <w:overflowPunct w:val="0"/>
        <w:autoSpaceDE/>
        <w:autoSpaceDN/>
        <w:spacing w:line="600" w:lineRule="exact"/>
        <w:ind w:firstLine="640" w:firstLineChars="200"/>
        <w:jc w:val="both"/>
        <w:rPr>
          <w:rFonts w:ascii="Times New Roman" w:hAnsi="Times New Roman" w:cs="Times New Roman"/>
          <w:b/>
          <w:bCs w:val="0"/>
          <w:sz w:val="32"/>
          <w:szCs w:val="32"/>
        </w:rPr>
      </w:pPr>
      <w:r>
        <w:rPr>
          <w:rFonts w:hint="eastAsia" w:ascii="Times New Roman" w:hAnsi="Times New Roman" w:cs="Times New Roman"/>
          <w:b/>
          <w:bCs w:val="0"/>
          <w:sz w:val="32"/>
          <w:szCs w:val="32"/>
          <w:lang w:eastAsia="zh-CN"/>
        </w:rPr>
        <w:t>十</w:t>
      </w:r>
      <w:r>
        <w:rPr>
          <w:rFonts w:ascii="Times New Roman" w:hAnsi="Times New Roman" w:cs="Times New Roman"/>
          <w:b/>
          <w:bCs w:val="0"/>
          <w:sz w:val="32"/>
          <w:szCs w:val="32"/>
        </w:rPr>
        <w:t>、关于机关运行经费支出说明</w:t>
      </w:r>
    </w:p>
    <w:p w14:paraId="57B3F6C9">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年度机关运行经费支出60.99万元，比年初预算数减少</w:t>
      </w:r>
      <w:r>
        <w:rPr>
          <w:rFonts w:hint="eastAsia" w:ascii="Times New Roman" w:hAnsi="Times New Roman" w:eastAsia="仿宋_GB2312" w:cs="Times New Roman"/>
          <w:sz w:val="32"/>
          <w:szCs w:val="32"/>
          <w:lang w:val="en-US" w:eastAsia="zh-CN"/>
        </w:rPr>
        <w:t>40.57</w:t>
      </w:r>
      <w:r>
        <w:rPr>
          <w:rFonts w:hint="eastAsia"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39.95</w:t>
      </w:r>
      <w:r>
        <w:rPr>
          <w:rFonts w:hint="eastAsia" w:ascii="Times New Roman" w:hAnsi="Times New Roman" w:eastAsia="仿宋_GB2312" w:cs="Times New Roman"/>
          <w:sz w:val="32"/>
          <w:szCs w:val="32"/>
        </w:rPr>
        <w:t>%。主要原因是：厉行节约，严控一般性支出，部分公用经费支出节约，部分事项暂缓实施，当年未发生支出。比上年决算数</w:t>
      </w:r>
      <w:r>
        <w:rPr>
          <w:rFonts w:hint="eastAsia" w:ascii="Times New Roman" w:hAnsi="Times New Roman" w:eastAsia="仿宋_GB2312" w:cs="Times New Roman"/>
          <w:sz w:val="32"/>
          <w:szCs w:val="32"/>
          <w:lang w:val="en-US" w:eastAsia="zh-CN"/>
        </w:rPr>
        <w:t>增加13.71</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增加29.00</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主要原因是人员工资基数增长，按规定计提的工会经费相应增加</w:t>
      </w:r>
      <w:r>
        <w:rPr>
          <w:rFonts w:hint="eastAsia" w:ascii="Times New Roman" w:hAnsi="Times New Roman" w:eastAsia="仿宋_GB2312" w:cs="Times New Roman"/>
          <w:sz w:val="32"/>
          <w:szCs w:val="32"/>
          <w:lang w:eastAsia="zh-CN"/>
        </w:rPr>
        <w:t>。</w:t>
      </w:r>
    </w:p>
    <w:p w14:paraId="223F6C38">
      <w:pPr>
        <w:pStyle w:val="16"/>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十</w:t>
      </w:r>
      <w:r>
        <w:rPr>
          <w:rFonts w:hint="eastAsia" w:ascii="Times New Roman" w:hAnsi="Times New Roman" w:cs="Times New Roman"/>
          <w:b/>
          <w:bCs w:val="0"/>
          <w:sz w:val="32"/>
          <w:szCs w:val="32"/>
          <w:lang w:eastAsia="zh-CN"/>
        </w:rPr>
        <w:t>一</w:t>
      </w:r>
      <w:r>
        <w:rPr>
          <w:rFonts w:ascii="Times New Roman" w:hAnsi="Times New Roman" w:cs="Times New Roman"/>
          <w:b/>
          <w:bCs w:val="0"/>
          <w:sz w:val="32"/>
          <w:szCs w:val="32"/>
        </w:rPr>
        <w:t>、一般性支出情况说明</w:t>
      </w:r>
    </w:p>
    <w:p w14:paraId="4F7811F7">
      <w:pPr>
        <w:pStyle w:val="16"/>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未开展会议</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未开展培训</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未</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35337020">
      <w:pPr>
        <w:pStyle w:val="16"/>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十</w:t>
      </w:r>
      <w:r>
        <w:rPr>
          <w:rFonts w:hint="eastAsia" w:ascii="Times New Roman" w:hAnsi="Times New Roman" w:cs="Times New Roman"/>
          <w:b/>
          <w:bCs w:val="0"/>
          <w:sz w:val="32"/>
          <w:szCs w:val="32"/>
          <w:lang w:eastAsia="zh-CN"/>
        </w:rPr>
        <w:t>二</w:t>
      </w:r>
      <w:r>
        <w:rPr>
          <w:rFonts w:ascii="Times New Roman" w:hAnsi="Times New Roman" w:cs="Times New Roman"/>
          <w:b/>
          <w:bCs w:val="0"/>
          <w:sz w:val="32"/>
          <w:szCs w:val="32"/>
        </w:rPr>
        <w:t>、关于政府采购支出说明</w:t>
      </w:r>
    </w:p>
    <w:p w14:paraId="711E19F1">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177.00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177.00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177.00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177.00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368D4122">
      <w:pPr>
        <w:pStyle w:val="16"/>
        <w:overflowPunct w:val="0"/>
        <w:autoSpaceDE/>
        <w:autoSpaceDN/>
        <w:spacing w:line="600" w:lineRule="exact"/>
        <w:ind w:firstLine="640" w:firstLineChars="200"/>
        <w:jc w:val="both"/>
        <w:rPr>
          <w:rFonts w:ascii="Times New Roman" w:hAnsi="Times New Roman" w:cs="Times New Roman"/>
          <w:b/>
          <w:bCs w:val="0"/>
          <w:color w:val="auto"/>
          <w:sz w:val="32"/>
          <w:szCs w:val="32"/>
        </w:rPr>
      </w:pPr>
      <w:r>
        <w:rPr>
          <w:rFonts w:ascii="Times New Roman" w:hAnsi="Times New Roman" w:cs="Times New Roman"/>
          <w:b/>
          <w:bCs w:val="0"/>
          <w:color w:val="auto"/>
          <w:sz w:val="32"/>
          <w:szCs w:val="32"/>
        </w:rPr>
        <w:t>十</w:t>
      </w:r>
      <w:r>
        <w:rPr>
          <w:rFonts w:hint="eastAsia" w:ascii="Times New Roman" w:hAnsi="Times New Roman" w:cs="Times New Roman"/>
          <w:b/>
          <w:bCs w:val="0"/>
          <w:color w:val="auto"/>
          <w:sz w:val="32"/>
          <w:szCs w:val="32"/>
          <w:lang w:eastAsia="zh-CN"/>
        </w:rPr>
        <w:t>三</w:t>
      </w:r>
      <w:r>
        <w:rPr>
          <w:rFonts w:ascii="Times New Roman" w:hAnsi="Times New Roman" w:cs="Times New Roman"/>
          <w:b/>
          <w:bCs w:val="0"/>
          <w:color w:val="auto"/>
          <w:sz w:val="32"/>
          <w:szCs w:val="32"/>
        </w:rPr>
        <w:t>、关于国有资产占用情况说明</w:t>
      </w:r>
    </w:p>
    <w:p w14:paraId="3BF1DE4E">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13</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13</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sz w:val="32"/>
          <w:szCs w:val="32"/>
        </w:rPr>
        <w:t>一般业务用车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DCABDBB">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7DD32193">
      <w:pPr>
        <w:overflowPunct w:val="0"/>
        <w:spacing w:line="600" w:lineRule="exact"/>
        <w:ind w:firstLine="640" w:firstLineChars="200"/>
        <w:rPr>
          <w:rFonts w:ascii="Times New Roman" w:hAnsi="Times New Roman" w:eastAsia="仿宋_GB2312" w:cs="Times New Roman"/>
          <w:kern w:val="0"/>
          <w:sz w:val="32"/>
          <w:szCs w:val="32"/>
        </w:rPr>
      </w:pPr>
      <w:r>
        <w:rPr>
          <w:rFonts w:hint="eastAsia" w:asciiTheme="majorEastAsia" w:hAnsiTheme="majorEastAsia" w:eastAsiaTheme="majorEastAsia" w:cstheme="majorEastAsia"/>
          <w:b/>
          <w:bCs/>
          <w:sz w:val="32"/>
          <w:szCs w:val="32"/>
        </w:rPr>
        <w:t>（一）绩效评价工作开展情况。</w:t>
      </w:r>
      <w:r>
        <w:rPr>
          <w:rFonts w:hint="eastAsia" w:asciiTheme="majorEastAsia" w:hAnsiTheme="majorEastAsia" w:eastAsiaTheme="majorEastAsia" w:cstheme="majorEastAsia"/>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个，共涉及资金</w:t>
      </w:r>
      <w:r>
        <w:rPr>
          <w:rFonts w:hint="eastAsia" w:ascii="仿宋" w:hAnsi="仿宋" w:eastAsia="仿宋"/>
          <w:spacing w:val="-2"/>
          <w:sz w:val="32"/>
          <w:szCs w:val="32"/>
          <w:highlight w:val="none"/>
          <w:lang w:val="en-US" w:eastAsia="zh-CN"/>
        </w:rPr>
        <w:t>2991.60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 xml:space="preserve"> 个</w:t>
      </w:r>
      <w:r>
        <w:rPr>
          <w:rFonts w:hint="eastAsia" w:ascii="仿宋" w:hAnsi="仿宋" w:eastAsia="仿宋"/>
          <w:spacing w:val="-2"/>
          <w:sz w:val="32"/>
          <w:szCs w:val="32"/>
          <w:highlight w:val="none"/>
          <w:lang w:val="en-US" w:eastAsia="zh-CN"/>
        </w:rPr>
        <w:t>2991.60</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w:t>
      </w:r>
    </w:p>
    <w:p w14:paraId="4F87AB34">
      <w:pPr>
        <w:pStyle w:val="6"/>
        <w:keepNext w:val="0"/>
        <w:keepLines w:val="0"/>
        <w:pageBreakBefore w:val="0"/>
        <w:numPr>
          <w:ilvl w:val="0"/>
          <w:numId w:val="0"/>
        </w:numPr>
        <w:kinsoku/>
        <w:wordWrap/>
        <w:overflowPunct/>
        <w:topLinePunct w:val="0"/>
        <w:autoSpaceDE/>
        <w:autoSpaceDN/>
        <w:bidi w:val="0"/>
        <w:adjustRightInd/>
        <w:spacing w:line="55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Theme="minorEastAsia" w:hAnsiTheme="minorEastAsia" w:eastAsiaTheme="minorEastAsia" w:cstheme="minorEastAsia"/>
          <w:b/>
          <w:bCs/>
          <w:sz w:val="32"/>
          <w:szCs w:val="32"/>
        </w:rPr>
        <w:t>（二）绩效评价结果</w:t>
      </w:r>
      <w:r>
        <w:rPr>
          <w:rFonts w:ascii="Times New Roman" w:hAnsi="Times New Roman" w:eastAsia="楷体_GB2312" w:cs="Times New Roman"/>
          <w:b/>
          <w:bCs/>
          <w:sz w:val="32"/>
          <w:szCs w:val="32"/>
        </w:rPr>
        <w:t>。</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仿宋" w:hAnsi="仿宋" w:eastAsia="仿宋" w:cs="仿宋"/>
          <w:color w:val="auto"/>
          <w:sz w:val="32"/>
          <w:szCs w:val="32"/>
          <w:highlight w:val="none"/>
          <w:lang w:val="en-US" w:eastAsia="zh-CN"/>
        </w:rPr>
        <w:t>4627.52</w:t>
      </w:r>
      <w:r>
        <w:rPr>
          <w:rFonts w:ascii="Times New Roman" w:hAnsi="Times New Roman" w:eastAsia="仿宋_GB2312" w:cs="Times New Roman"/>
          <w:sz w:val="32"/>
          <w:szCs w:val="32"/>
        </w:rPr>
        <w:t>万元，执行数</w:t>
      </w:r>
      <w:r>
        <w:rPr>
          <w:rFonts w:hint="eastAsia" w:ascii="仿宋" w:hAnsi="仿宋" w:eastAsia="仿宋" w:cs="仿宋"/>
          <w:color w:val="auto"/>
          <w:sz w:val="32"/>
          <w:szCs w:val="32"/>
          <w:highlight w:val="none"/>
          <w:lang w:val="en-US" w:eastAsia="zh-CN"/>
        </w:rPr>
        <w:t>1727.08</w:t>
      </w:r>
      <w:r>
        <w:rPr>
          <w:rFonts w:ascii="Times New Roman" w:hAnsi="Times New Roman" w:eastAsia="仿宋_GB2312" w:cs="Times New Roman"/>
          <w:sz w:val="32"/>
          <w:szCs w:val="32"/>
        </w:rPr>
        <w:t>万元，完</w:t>
      </w:r>
      <w:r>
        <w:rPr>
          <w:rFonts w:hint="eastAsia" w:ascii="仿宋" w:hAnsi="仿宋" w:eastAsia="仿宋" w:cs="仿宋"/>
          <w:color w:val="auto"/>
          <w:sz w:val="32"/>
          <w:szCs w:val="32"/>
          <w:highlight w:val="none"/>
          <w:lang w:val="en-US" w:eastAsia="zh-CN"/>
        </w:rPr>
        <w:t>成预算的37.32%，绩效自评得分93.23　分，评价等级为“</w:t>
      </w:r>
      <w:r>
        <w:rPr>
          <w:rFonts w:hint="default" w:ascii="仿宋" w:hAnsi="仿宋" w:eastAsia="仿宋" w:cs="仿宋"/>
          <w:color w:val="auto"/>
          <w:sz w:val="32"/>
          <w:szCs w:val="32"/>
          <w:highlight w:val="none"/>
          <w:lang w:val="en-US" w:eastAsia="zh-CN"/>
        </w:rPr>
        <w:t>优</w:t>
      </w:r>
      <w:r>
        <w:rPr>
          <w:rFonts w:hint="eastAsia" w:ascii="仿宋" w:hAnsi="仿宋" w:eastAsia="仿宋" w:cs="仿宋"/>
          <w:color w:val="auto"/>
          <w:sz w:val="32"/>
          <w:szCs w:val="32"/>
          <w:highlight w:val="none"/>
          <w:lang w:val="en-US" w:eastAsia="zh-CN"/>
        </w:rPr>
        <w:t>”</w:t>
      </w:r>
      <w:r>
        <w:rPr>
          <w:rFonts w:ascii="Times New Roman" w:hAnsi="Times New Roman" w:eastAsia="仿宋_GB2312" w:cs="Times New Roman"/>
          <w:sz w:val="32"/>
          <w:szCs w:val="32"/>
        </w:rPr>
        <w:t>。绩效目标完成情况：</w:t>
      </w:r>
      <w:r>
        <w:rPr>
          <w:rFonts w:hint="eastAsia" w:ascii="仿宋" w:hAnsi="仿宋" w:eastAsia="仿宋" w:cstheme="minorBidi"/>
          <w:spacing w:val="-2"/>
          <w:kern w:val="2"/>
          <w:sz w:val="32"/>
          <w:szCs w:val="32"/>
          <w:lang w:val="en-US" w:eastAsia="zh-CN" w:bidi="ar-SA"/>
        </w:rPr>
        <w:t>一是生活垃圾焚烧发电项目稳定运行。二是餐厨垃圾收运处置体系运转顺畅。三是生活垃圾填埋场规范管理。四是建筑垃圾治理成效明显。五是环卫业务服务工作稳步推进。六是垃圾分类工作持续开展。</w:t>
      </w:r>
      <w:r>
        <w:rPr>
          <w:rFonts w:ascii="Times New Roman" w:hAnsi="Times New Roman" w:eastAsia="仿宋_GB2312" w:cs="Times New Roman"/>
          <w:sz w:val="32"/>
          <w:szCs w:val="32"/>
        </w:rPr>
        <w:t>发现的主要问题及原因：</w:t>
      </w:r>
      <w:r>
        <w:rPr>
          <w:rFonts w:hint="eastAsia" w:ascii="仿宋" w:hAnsi="仿宋" w:eastAsia="仿宋" w:cs="仿宋"/>
          <w:color w:val="auto"/>
          <w:spacing w:val="-2"/>
          <w:sz w:val="32"/>
          <w:szCs w:val="32"/>
          <w:highlight w:val="none"/>
          <w:lang w:val="en-US" w:eastAsia="zh-CN"/>
        </w:rPr>
        <w:t>年度预算执行率偏低，本年度部分财政资金年终集中下达，资金到位时间较晚，叠加年末财务封账、停止支付等时间限制，项目结算、款项支付无法按期完成。</w:t>
      </w:r>
      <w:r>
        <w:rPr>
          <w:rFonts w:ascii="Times New Roman" w:hAnsi="Times New Roman" w:eastAsia="仿宋_GB2312" w:cs="Times New Roman"/>
          <w:sz w:val="32"/>
          <w:szCs w:val="32"/>
        </w:rPr>
        <w:t>下一步改进措施：</w:t>
      </w:r>
      <w:r>
        <w:rPr>
          <w:rFonts w:hint="eastAsia" w:ascii="仿宋" w:hAnsi="仿宋" w:eastAsia="仿宋" w:cstheme="minorBidi"/>
          <w:spacing w:val="-2"/>
          <w:kern w:val="2"/>
          <w:sz w:val="32"/>
          <w:szCs w:val="32"/>
          <w:lang w:val="en-US" w:eastAsia="zh-CN" w:bidi="ar-SA"/>
        </w:rPr>
        <w:t>对年末资金下达滞后、封账无法支付造成执行率偏低问题，我单位将优化预算编制研判，提前对接财政跟进资金下达进度。统筹项目实施、票据归集和结算流程，全力提升资金执行效率。</w:t>
      </w:r>
    </w:p>
    <w:p w14:paraId="1442645E">
      <w:pPr>
        <w:pStyle w:val="16"/>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w:t>
      </w:r>
      <w:r>
        <w:rPr>
          <w:rFonts w:hint="eastAsia" w:asciiTheme="majorEastAsia" w:hAnsiTheme="majorEastAsia" w:eastAsiaTheme="majorEastAsia" w:cstheme="majorEastAsia"/>
          <w:b/>
          <w:bCs/>
          <w:color w:val="auto"/>
          <w:kern w:val="2"/>
          <w:sz w:val="32"/>
          <w:szCs w:val="32"/>
        </w:rPr>
        <w:t>）评价结果应用情况</w:t>
      </w:r>
      <w:r>
        <w:rPr>
          <w:rFonts w:ascii="Times New Roman" w:hAnsi="Times New Roman" w:eastAsia="楷体_GB2312" w:cs="Times New Roman"/>
          <w:b/>
          <w:bCs/>
          <w:color w:val="auto"/>
          <w:kern w:val="2"/>
          <w:sz w:val="32"/>
          <w:szCs w:val="32"/>
        </w:rPr>
        <w:t>。</w:t>
      </w:r>
    </w:p>
    <w:p w14:paraId="38B7AD26">
      <w:pPr>
        <w:pStyle w:val="16"/>
        <w:overflowPunct w:val="0"/>
        <w:autoSpaceDE/>
        <w:autoSpaceDN/>
        <w:spacing w:line="600" w:lineRule="exact"/>
        <w:ind w:firstLine="632" w:firstLineChars="200"/>
        <w:jc w:val="both"/>
        <w:rPr>
          <w:rFonts w:hint="eastAsia" w:ascii="仿宋" w:hAnsi="仿宋" w:eastAsia="仿宋" w:cs="Times New Roman"/>
          <w:spacing w:val="-2"/>
          <w:sz w:val="32"/>
          <w:szCs w:val="32"/>
          <w:lang w:val="en-US" w:eastAsia="zh-CN"/>
        </w:rPr>
      </w:pPr>
      <w:r>
        <w:rPr>
          <w:rFonts w:hint="eastAsia" w:ascii="仿宋" w:hAnsi="仿宋" w:eastAsia="仿宋" w:cs="Times New Roman"/>
          <w:spacing w:val="-2"/>
          <w:sz w:val="32"/>
          <w:szCs w:val="32"/>
          <w:lang w:val="en-US" w:eastAsia="zh-CN"/>
        </w:rPr>
        <w:t>认真落实预算绩效管理要求，扎实开展绩效监控、绩效自评及绩效评价结果应用工作</w:t>
      </w:r>
      <w:r>
        <w:rPr>
          <w:rFonts w:ascii="宋体" w:hAnsi="宋体" w:eastAsia="宋体" w:cs="宋体"/>
          <w:sz w:val="24"/>
          <w:szCs w:val="24"/>
        </w:rPr>
        <w:t>，</w:t>
      </w:r>
      <w:r>
        <w:rPr>
          <w:rFonts w:hint="eastAsia" w:ascii="仿宋" w:hAnsi="仿宋" w:eastAsia="仿宋" w:cs="Times New Roman"/>
          <w:spacing w:val="-2"/>
          <w:sz w:val="32"/>
          <w:szCs w:val="32"/>
          <w:lang w:val="en-US" w:eastAsia="zh-CN"/>
        </w:rPr>
        <w:t>将评价结果作为次年预算编制、资金安排的重要依据。按规定将绩效自评结果随同决算对外公开，主动接受监督。</w:t>
      </w:r>
    </w:p>
    <w:p w14:paraId="3EA6CD89">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0C1271C4">
      <w:pPr>
        <w:widowControl/>
        <w:jc w:val="left"/>
        <w:rPr>
          <w:rFonts w:ascii="Times New Roman" w:hAnsi="Times New Roman" w:cs="Times New Roman"/>
          <w:color w:val="000000"/>
          <w:kern w:val="0"/>
          <w:sz w:val="32"/>
          <w:szCs w:val="32"/>
        </w:rPr>
      </w:pPr>
    </w:p>
    <w:p w14:paraId="550A9792">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一、财政拨款收入：指</w:t>
      </w:r>
      <w:r>
        <w:rPr>
          <w:rFonts w:hint="eastAsia" w:ascii="Times New Roman" w:hAnsi="Times New Roman" w:eastAsia="仿宋_GB2312"/>
          <w:sz w:val="32"/>
          <w:szCs w:val="32"/>
          <w:lang w:val="en-US" w:eastAsia="zh-CN"/>
        </w:rPr>
        <w:t>单位从同级政府</w:t>
      </w:r>
      <w:r>
        <w:rPr>
          <w:rFonts w:hint="eastAsia" w:ascii="Times New Roman" w:hAnsi="Times New Roman" w:eastAsia="仿宋_GB2312"/>
          <w:sz w:val="32"/>
          <w:szCs w:val="32"/>
        </w:rPr>
        <w:t>财政</w:t>
      </w:r>
      <w:r>
        <w:rPr>
          <w:rFonts w:hint="eastAsia" w:ascii="Times New Roman" w:hAnsi="Times New Roman" w:eastAsia="仿宋_GB2312"/>
          <w:sz w:val="32"/>
          <w:szCs w:val="32"/>
          <w:lang w:val="en-US" w:eastAsia="zh-CN"/>
        </w:rPr>
        <w:t>部门取得的各类财政拨款</w:t>
      </w:r>
      <w:r>
        <w:rPr>
          <w:rFonts w:hint="eastAsia" w:ascii="Times New Roman" w:hAnsi="Times New Roman" w:eastAsia="仿宋_GB2312"/>
          <w:sz w:val="32"/>
          <w:szCs w:val="32"/>
        </w:rPr>
        <w:t>。</w:t>
      </w:r>
    </w:p>
    <w:p w14:paraId="318A75E1">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二、事业收入：指事业单位开展专业业务活动及辅助活动所取得的收入。</w:t>
      </w:r>
    </w:p>
    <w:p w14:paraId="2B618032">
      <w:pPr>
        <w:pStyle w:val="16"/>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三、经营收入：指事业单位在专业业务活动及其辅助活动之外开展非独立核算经营活动取得的收入。</w:t>
      </w:r>
    </w:p>
    <w:p w14:paraId="27B1C111">
      <w:pPr>
        <w:pStyle w:val="16"/>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四、其他收入：指除上述“财政拨款收入”、“事业收入”、“经营收入”等以外的收入。</w:t>
      </w:r>
    </w:p>
    <w:p w14:paraId="1F8773D6">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五、年初结转和结余：指以前年度尚未完成、结转到本年按有关规定继续使用的资金。</w:t>
      </w:r>
    </w:p>
    <w:p w14:paraId="2BDDBD0E">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六</w:t>
      </w:r>
      <w:r>
        <w:rPr>
          <w:rFonts w:hint="eastAsia" w:ascii="Times New Roman" w:hAnsi="Times New Roman" w:eastAsia="仿宋_GB2312"/>
          <w:sz w:val="32"/>
          <w:szCs w:val="32"/>
        </w:rPr>
        <w:t>、年末结转和结余：指本年度或以前年度预算安排、因客观条件发生变化无法按原计划实施，需要延迟到以后年度按有关规定继续使用的资金。</w:t>
      </w:r>
    </w:p>
    <w:p w14:paraId="308C4CE0">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七</w:t>
      </w:r>
      <w:r>
        <w:rPr>
          <w:rFonts w:hint="eastAsia" w:ascii="Times New Roman" w:hAnsi="Times New Roman" w:eastAsia="仿宋_GB2312"/>
          <w:sz w:val="32"/>
          <w:szCs w:val="32"/>
        </w:rPr>
        <w:t>、基本支出：指为保障机构正常运转、完成日常工作任务而发生的人员支出和公用支出。</w:t>
      </w:r>
    </w:p>
    <w:p w14:paraId="20FA74EC">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八</w:t>
      </w:r>
      <w:r>
        <w:rPr>
          <w:rFonts w:hint="eastAsia" w:ascii="Times New Roman" w:hAnsi="Times New Roman" w:eastAsia="仿宋_GB2312"/>
          <w:sz w:val="32"/>
          <w:szCs w:val="32"/>
        </w:rPr>
        <w:t>、项目支出：指在基本支出之外为完成特定行政任务和事业发展目标所发生的支出。</w:t>
      </w:r>
    </w:p>
    <w:p w14:paraId="3605713A">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九</w:t>
      </w:r>
      <w:r>
        <w:rPr>
          <w:rFonts w:hint="eastAsia" w:ascii="Times New Roman" w:hAnsi="Times New Roman" w:eastAsia="仿宋_GB2312"/>
          <w:sz w:val="32"/>
          <w:szCs w:val="32"/>
        </w:rPr>
        <w:t>、经营支出：指事业单位在专业业务活动及其辅助活动之外开展非独立核算经营活动发生的支出。</w:t>
      </w:r>
    </w:p>
    <w:p w14:paraId="3F968E77">
      <w:pPr>
        <w:pStyle w:val="9"/>
        <w:spacing w:before="105" w:beforeAutospacing="0" w:after="105" w:afterAutospacing="0" w:line="30" w:lineRule="atLeast"/>
        <w:ind w:firstLine="640" w:firstLineChars="200"/>
        <w:textAlignment w:val="baseline"/>
        <w:rPr>
          <w:rFonts w:hint="eastAsia" w:ascii="仿宋_GB2312" w:hAnsi="仿宋_GB2312" w:eastAsia="仿宋_GB2312" w:cs="仿宋_GB2312"/>
          <w:color w:val="auto"/>
          <w:kern w:val="2"/>
          <w:sz w:val="32"/>
          <w:szCs w:val="32"/>
          <w:lang w:val="en-US" w:eastAsia="zh-CN" w:bidi="ar-SA"/>
        </w:rPr>
      </w:pPr>
      <w:r>
        <w:rPr>
          <w:rFonts w:hint="eastAsia" w:ascii="Times New Roman" w:hAnsi="Times New Roman" w:eastAsia="仿宋_GB2312"/>
          <w:sz w:val="32"/>
          <w:szCs w:val="32"/>
        </w:rPr>
        <w:t>十、“三公”经费：</w:t>
      </w:r>
      <w:r>
        <w:rPr>
          <w:rFonts w:hint="eastAsia" w:ascii="仿宋_GB2312" w:hAnsi="仿宋_GB2312" w:eastAsia="仿宋_GB2312" w:cs="仿宋_GB2312"/>
          <w:color w:val="auto"/>
          <w:kern w:val="2"/>
          <w:sz w:val="32"/>
          <w:szCs w:val="32"/>
          <w:lang w:val="en-US" w:eastAsia="zh-CN" w:bidi="ar-SA"/>
        </w:rPr>
        <w:t>指部门用财政拨款安排的因公出国（境）费、公务用车购置及运行费和公务接待费。其中，因公出国（境）费指单位公务出国（境）的住宿费、旅费、伙食补助费、杂费、培训费等支出；公务用车购置及运行费指单位公务用车购置费、燃料费、维修费、过路过桥费、保险费、安全奖励费用等支出；公务接待费指单位按规定开支的各类公务接待（含外宾接待）支出。</w:t>
      </w:r>
    </w:p>
    <w:p w14:paraId="0CA2977A">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十三、机关运行经费：为保障行政单位（含参照公务员法管理的事业单位）运行</w:t>
      </w:r>
      <w:r>
        <w:rPr>
          <w:rFonts w:hint="eastAsia" w:ascii="Times New Roman" w:hAnsi="Times New Roman" w:eastAsia="仿宋_GB2312"/>
          <w:sz w:val="32"/>
          <w:szCs w:val="32"/>
          <w:lang w:eastAsia="zh-CN"/>
        </w:rPr>
        <w:t>，</w:t>
      </w:r>
      <w:r>
        <w:rPr>
          <w:rFonts w:hint="eastAsia" w:eastAsia="仿宋_GB2312"/>
          <w:sz w:val="32"/>
          <w:szCs w:val="32"/>
          <w:lang w:val="en-US" w:eastAsia="zh-CN"/>
        </w:rPr>
        <w:t>用一般公共预算拨款安排用于购买货物和服务的各项资金，</w:t>
      </w:r>
      <w:r>
        <w:rPr>
          <w:rFonts w:hint="eastAsia" w:ascii="Times New Roman" w:hAnsi="Times New Roman" w:eastAsia="仿宋_GB2312"/>
          <w:sz w:val="32"/>
          <w:szCs w:val="32"/>
        </w:rPr>
        <w:t>包括办公及印刷费、邮电费、差旅费、会议费、福利费、日常维修费、专用材料及一般设备购置费、办公用房水电费、办公用房取暖费、办公用房物业管理费、公务用车运行维护费以及其他费用。</w:t>
      </w:r>
    </w:p>
    <w:p w14:paraId="0FD19FA5">
      <w:pPr>
        <w:pStyle w:val="16"/>
        <w:jc w:val="center"/>
        <w:rPr>
          <w:rFonts w:ascii="Times New Roman" w:hAnsi="Times New Roman" w:cs="Times New Roman"/>
          <w:sz w:val="72"/>
          <w:szCs w:val="72"/>
        </w:rPr>
      </w:pPr>
    </w:p>
    <w:p w14:paraId="48AB3EDE">
      <w:pPr>
        <w:pStyle w:val="16"/>
        <w:jc w:val="center"/>
        <w:rPr>
          <w:rFonts w:ascii="Times New Roman" w:hAnsi="Times New Roman" w:cs="Times New Roman"/>
          <w:sz w:val="72"/>
          <w:szCs w:val="72"/>
        </w:rPr>
      </w:pPr>
    </w:p>
    <w:p w14:paraId="69FCA4B8">
      <w:pPr>
        <w:pStyle w:val="16"/>
        <w:jc w:val="center"/>
        <w:rPr>
          <w:rFonts w:ascii="Times New Roman" w:hAnsi="Times New Roman" w:cs="Times New Roman"/>
          <w:sz w:val="72"/>
          <w:szCs w:val="72"/>
        </w:rPr>
      </w:pPr>
    </w:p>
    <w:p w14:paraId="6FA58729">
      <w:pPr>
        <w:pStyle w:val="16"/>
        <w:jc w:val="center"/>
        <w:rPr>
          <w:rFonts w:ascii="Times New Roman" w:hAnsi="Times New Roman" w:cs="Times New Roman"/>
          <w:sz w:val="72"/>
          <w:szCs w:val="72"/>
        </w:rPr>
      </w:pPr>
    </w:p>
    <w:p w14:paraId="03121A9F">
      <w:pPr>
        <w:pStyle w:val="16"/>
        <w:jc w:val="center"/>
        <w:rPr>
          <w:rFonts w:ascii="Times New Roman" w:hAnsi="Times New Roman" w:cs="Times New Roman"/>
          <w:sz w:val="72"/>
          <w:szCs w:val="72"/>
        </w:rPr>
      </w:pPr>
    </w:p>
    <w:p w14:paraId="613D1143">
      <w:pPr>
        <w:pStyle w:val="16"/>
        <w:jc w:val="both"/>
        <w:rPr>
          <w:rFonts w:ascii="Times New Roman" w:hAnsi="Times New Roman" w:cs="Times New Roman"/>
          <w:sz w:val="72"/>
          <w:szCs w:val="72"/>
        </w:rPr>
      </w:pPr>
    </w:p>
    <w:p w14:paraId="36F02DD5">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8E7C165">
      <w:pPr>
        <w:rPr>
          <w:rFonts w:hint="eastAsia" w:ascii="Times New Roman" w:hAnsi="Times New Roman" w:eastAsia="仿宋_GB2312" w:cs="黑体"/>
          <w:color w:val="000000"/>
          <w:kern w:val="0"/>
          <w:sz w:val="32"/>
          <w:szCs w:val="32"/>
          <w:lang w:val="en-US" w:eastAsia="zh-CN" w:bidi="ar-SA"/>
        </w:rPr>
      </w:pPr>
    </w:p>
    <w:p w14:paraId="5D1027A0">
      <w:pPr>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附件一  2025年部门决算公开表</w:t>
      </w:r>
    </w:p>
    <w:p w14:paraId="29F85D1E">
      <w:pPr>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附件二  2025年</w:t>
      </w:r>
      <w:r>
        <w:rPr>
          <w:rFonts w:ascii="Times New Roman" w:hAnsi="Times New Roman" w:eastAsia="仿宋_GB2312" w:cs="Times New Roman"/>
          <w:sz w:val="32"/>
          <w:szCs w:val="32"/>
        </w:rPr>
        <w:t>整体支出绩效自评报告</w:t>
      </w:r>
    </w:p>
    <w:p w14:paraId="43515DCF">
      <w:pPr>
        <w:pStyle w:val="16"/>
        <w:spacing w:line="600" w:lineRule="exact"/>
        <w:ind w:firstLine="640" w:firstLineChars="200"/>
        <w:rPr>
          <w:rFonts w:ascii="Times New Roman" w:hAnsi="Times New Roman" w:eastAsia="仿宋_GB2312" w:cs="Times New Roman"/>
          <w:sz w:val="32"/>
          <w:szCs w:val="32"/>
        </w:rPr>
      </w:pPr>
    </w:p>
    <w:p w14:paraId="101A0885">
      <w:pPr>
        <w:pStyle w:val="16"/>
        <w:jc w:val="center"/>
        <w:rPr>
          <w:rFonts w:ascii="Times New Roman" w:hAnsi="Times New Roman" w:cs="Times New Roman"/>
          <w:sz w:val="72"/>
          <w:szCs w:val="72"/>
        </w:rPr>
      </w:pPr>
    </w:p>
    <w:p w14:paraId="46A740D2">
      <w:pPr>
        <w:pStyle w:val="16"/>
        <w:jc w:val="center"/>
        <w:rPr>
          <w:rFonts w:ascii="Times New Roman" w:hAnsi="Times New Roman" w:cs="Times New Roman"/>
          <w:sz w:val="72"/>
          <w:szCs w:val="72"/>
        </w:rPr>
      </w:pPr>
    </w:p>
    <w:p w14:paraId="76A42934">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66B22">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4A5C4">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3F605">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6C81">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B0AFE6">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AB0AFE6">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A4F6A9"/>
    <w:multiLevelType w:val="singleLevel"/>
    <w:tmpl w:val="8FA4F6A9"/>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4M2M4NmE5ZmE1MTZkNzhlMDA4YmU5MTNkMzc1NGYifQ=="/>
  </w:docVars>
  <w:rsids>
    <w:rsidRoot w:val="00000000"/>
    <w:rsid w:val="00133387"/>
    <w:rsid w:val="001C048E"/>
    <w:rsid w:val="00276E33"/>
    <w:rsid w:val="00AB1812"/>
    <w:rsid w:val="00AF1302"/>
    <w:rsid w:val="010A6538"/>
    <w:rsid w:val="01205D5C"/>
    <w:rsid w:val="0127533C"/>
    <w:rsid w:val="01583748"/>
    <w:rsid w:val="017C6D0A"/>
    <w:rsid w:val="01A87AFF"/>
    <w:rsid w:val="01AE3368"/>
    <w:rsid w:val="01BA61B0"/>
    <w:rsid w:val="01EA636A"/>
    <w:rsid w:val="01FB40D3"/>
    <w:rsid w:val="01FF1E15"/>
    <w:rsid w:val="020E3E06"/>
    <w:rsid w:val="028247F4"/>
    <w:rsid w:val="02924A37"/>
    <w:rsid w:val="02EE59E6"/>
    <w:rsid w:val="03011E34"/>
    <w:rsid w:val="035B12CD"/>
    <w:rsid w:val="040533A0"/>
    <w:rsid w:val="041A2F36"/>
    <w:rsid w:val="04206073"/>
    <w:rsid w:val="04E15802"/>
    <w:rsid w:val="05177476"/>
    <w:rsid w:val="05656433"/>
    <w:rsid w:val="058B0D7D"/>
    <w:rsid w:val="058C0892"/>
    <w:rsid w:val="058F525E"/>
    <w:rsid w:val="05B9052D"/>
    <w:rsid w:val="05CA44E8"/>
    <w:rsid w:val="05D13CC4"/>
    <w:rsid w:val="05E01F5E"/>
    <w:rsid w:val="05EC26B0"/>
    <w:rsid w:val="0620235A"/>
    <w:rsid w:val="06287461"/>
    <w:rsid w:val="06EC66E0"/>
    <w:rsid w:val="070E48A8"/>
    <w:rsid w:val="074958E1"/>
    <w:rsid w:val="07794418"/>
    <w:rsid w:val="0788465B"/>
    <w:rsid w:val="07DC5543"/>
    <w:rsid w:val="0802440D"/>
    <w:rsid w:val="082C4D2C"/>
    <w:rsid w:val="087B41C0"/>
    <w:rsid w:val="087B5F6E"/>
    <w:rsid w:val="08E458C1"/>
    <w:rsid w:val="08FD1DEA"/>
    <w:rsid w:val="08FD4BD5"/>
    <w:rsid w:val="08FF094D"/>
    <w:rsid w:val="0913264A"/>
    <w:rsid w:val="091D0DD3"/>
    <w:rsid w:val="09335745"/>
    <w:rsid w:val="09491BC8"/>
    <w:rsid w:val="09581E0B"/>
    <w:rsid w:val="0969226A"/>
    <w:rsid w:val="098B21E0"/>
    <w:rsid w:val="098F1CD1"/>
    <w:rsid w:val="09C851E3"/>
    <w:rsid w:val="09D0594F"/>
    <w:rsid w:val="09D75426"/>
    <w:rsid w:val="0A277116"/>
    <w:rsid w:val="0A984BB5"/>
    <w:rsid w:val="0ACF0A21"/>
    <w:rsid w:val="0ADB25DD"/>
    <w:rsid w:val="0AEA1189"/>
    <w:rsid w:val="0B1F52D6"/>
    <w:rsid w:val="0B27418B"/>
    <w:rsid w:val="0B4D3BF1"/>
    <w:rsid w:val="0BCF2858"/>
    <w:rsid w:val="0BFF1C07"/>
    <w:rsid w:val="0C030754"/>
    <w:rsid w:val="0C364685"/>
    <w:rsid w:val="0C607954"/>
    <w:rsid w:val="0C6C62F9"/>
    <w:rsid w:val="0CBE28CD"/>
    <w:rsid w:val="0CDB522D"/>
    <w:rsid w:val="0CEF0CD8"/>
    <w:rsid w:val="0D4252AC"/>
    <w:rsid w:val="0D553231"/>
    <w:rsid w:val="0D984ECC"/>
    <w:rsid w:val="0DC21F49"/>
    <w:rsid w:val="0DC83A03"/>
    <w:rsid w:val="0E0D7668"/>
    <w:rsid w:val="0E236E8B"/>
    <w:rsid w:val="0E2A68D3"/>
    <w:rsid w:val="0E3A41D5"/>
    <w:rsid w:val="0E581951"/>
    <w:rsid w:val="0E625C06"/>
    <w:rsid w:val="0E9438E5"/>
    <w:rsid w:val="0EBC4BEA"/>
    <w:rsid w:val="0EC76517"/>
    <w:rsid w:val="0F474DFC"/>
    <w:rsid w:val="0F827BE2"/>
    <w:rsid w:val="0FAE09D7"/>
    <w:rsid w:val="0FE8213B"/>
    <w:rsid w:val="0FEA0D06"/>
    <w:rsid w:val="10615A49"/>
    <w:rsid w:val="10D72BAC"/>
    <w:rsid w:val="11017FF3"/>
    <w:rsid w:val="113B220D"/>
    <w:rsid w:val="113B4369"/>
    <w:rsid w:val="114C66F9"/>
    <w:rsid w:val="11785740"/>
    <w:rsid w:val="11D87F8D"/>
    <w:rsid w:val="13160D6D"/>
    <w:rsid w:val="13386F35"/>
    <w:rsid w:val="13491142"/>
    <w:rsid w:val="1360023A"/>
    <w:rsid w:val="1368517D"/>
    <w:rsid w:val="1404150D"/>
    <w:rsid w:val="14157276"/>
    <w:rsid w:val="14186D67"/>
    <w:rsid w:val="141D612B"/>
    <w:rsid w:val="1433225A"/>
    <w:rsid w:val="14467430"/>
    <w:rsid w:val="145E0C1D"/>
    <w:rsid w:val="156A4D44"/>
    <w:rsid w:val="15862649"/>
    <w:rsid w:val="160E0421"/>
    <w:rsid w:val="161672D6"/>
    <w:rsid w:val="164B51D1"/>
    <w:rsid w:val="165A5414"/>
    <w:rsid w:val="16655BAE"/>
    <w:rsid w:val="16775007"/>
    <w:rsid w:val="16900E36"/>
    <w:rsid w:val="169F72CB"/>
    <w:rsid w:val="16A14DF1"/>
    <w:rsid w:val="16BA6D54"/>
    <w:rsid w:val="16BC133B"/>
    <w:rsid w:val="16F72C63"/>
    <w:rsid w:val="16F94C2D"/>
    <w:rsid w:val="16FA13CC"/>
    <w:rsid w:val="17654071"/>
    <w:rsid w:val="17946704"/>
    <w:rsid w:val="17B2302E"/>
    <w:rsid w:val="17C70888"/>
    <w:rsid w:val="17D82A95"/>
    <w:rsid w:val="17DE3A50"/>
    <w:rsid w:val="182C16F0"/>
    <w:rsid w:val="188B5D59"/>
    <w:rsid w:val="18B21538"/>
    <w:rsid w:val="18B52DD6"/>
    <w:rsid w:val="18B54B84"/>
    <w:rsid w:val="18DC2943"/>
    <w:rsid w:val="18DD40DB"/>
    <w:rsid w:val="19193365"/>
    <w:rsid w:val="192341E3"/>
    <w:rsid w:val="19371A3D"/>
    <w:rsid w:val="19461C80"/>
    <w:rsid w:val="195E346D"/>
    <w:rsid w:val="195F21A3"/>
    <w:rsid w:val="198C7FDB"/>
    <w:rsid w:val="19936AE1"/>
    <w:rsid w:val="19C332D1"/>
    <w:rsid w:val="19DE010A"/>
    <w:rsid w:val="1A361CF4"/>
    <w:rsid w:val="1A3D12D5"/>
    <w:rsid w:val="1A4F2DB6"/>
    <w:rsid w:val="1A8F1C66"/>
    <w:rsid w:val="1AD27C6F"/>
    <w:rsid w:val="1B214753"/>
    <w:rsid w:val="1B324BB2"/>
    <w:rsid w:val="1BFD0D1C"/>
    <w:rsid w:val="1C1A25A1"/>
    <w:rsid w:val="1C3D55BC"/>
    <w:rsid w:val="1C424981"/>
    <w:rsid w:val="1C4F709D"/>
    <w:rsid w:val="1C545F51"/>
    <w:rsid w:val="1C5D0CFA"/>
    <w:rsid w:val="1C5E5533"/>
    <w:rsid w:val="1C9571A6"/>
    <w:rsid w:val="1CA92C52"/>
    <w:rsid w:val="1CD31A7D"/>
    <w:rsid w:val="1CD53A47"/>
    <w:rsid w:val="1CDF0421"/>
    <w:rsid w:val="1CF7FF1D"/>
    <w:rsid w:val="1D2422D8"/>
    <w:rsid w:val="1D5801D4"/>
    <w:rsid w:val="1D5E1C8E"/>
    <w:rsid w:val="1DFD14A7"/>
    <w:rsid w:val="1E075E82"/>
    <w:rsid w:val="1E1B192D"/>
    <w:rsid w:val="1E51534F"/>
    <w:rsid w:val="1E74728F"/>
    <w:rsid w:val="1E911BEF"/>
    <w:rsid w:val="1EAC4C7B"/>
    <w:rsid w:val="1ECE699F"/>
    <w:rsid w:val="1EDB10BC"/>
    <w:rsid w:val="1F120F82"/>
    <w:rsid w:val="1FA94D17"/>
    <w:rsid w:val="1FB913FE"/>
    <w:rsid w:val="1FE67D19"/>
    <w:rsid w:val="20564E9E"/>
    <w:rsid w:val="20580C17"/>
    <w:rsid w:val="20761D66"/>
    <w:rsid w:val="20847C5E"/>
    <w:rsid w:val="21494A03"/>
    <w:rsid w:val="217355DC"/>
    <w:rsid w:val="21B300CF"/>
    <w:rsid w:val="21BE0F4D"/>
    <w:rsid w:val="21D02A2F"/>
    <w:rsid w:val="21F41A6F"/>
    <w:rsid w:val="224F6049"/>
    <w:rsid w:val="22740B99"/>
    <w:rsid w:val="228C4BA7"/>
    <w:rsid w:val="22FA5320"/>
    <w:rsid w:val="232E3EB1"/>
    <w:rsid w:val="233D4AAE"/>
    <w:rsid w:val="2351194D"/>
    <w:rsid w:val="237C2E6E"/>
    <w:rsid w:val="23955CDE"/>
    <w:rsid w:val="23971A56"/>
    <w:rsid w:val="23AE0B4E"/>
    <w:rsid w:val="23DF33FD"/>
    <w:rsid w:val="23E6478B"/>
    <w:rsid w:val="244A6AC8"/>
    <w:rsid w:val="246C2EE2"/>
    <w:rsid w:val="248F6BD1"/>
    <w:rsid w:val="24A24B56"/>
    <w:rsid w:val="24AF2DCF"/>
    <w:rsid w:val="24E570F7"/>
    <w:rsid w:val="2503311B"/>
    <w:rsid w:val="252F5CBE"/>
    <w:rsid w:val="2547125A"/>
    <w:rsid w:val="258117EC"/>
    <w:rsid w:val="25891872"/>
    <w:rsid w:val="25E20F82"/>
    <w:rsid w:val="25FC3DF2"/>
    <w:rsid w:val="265A4FBD"/>
    <w:rsid w:val="2661634B"/>
    <w:rsid w:val="26655E3B"/>
    <w:rsid w:val="266D2F42"/>
    <w:rsid w:val="26773DC1"/>
    <w:rsid w:val="26881B2A"/>
    <w:rsid w:val="269637EB"/>
    <w:rsid w:val="26BD0F66"/>
    <w:rsid w:val="26EF3957"/>
    <w:rsid w:val="27111B1F"/>
    <w:rsid w:val="27182EAE"/>
    <w:rsid w:val="27337CE7"/>
    <w:rsid w:val="273A72C8"/>
    <w:rsid w:val="273E043A"/>
    <w:rsid w:val="27420754"/>
    <w:rsid w:val="274C0B97"/>
    <w:rsid w:val="277E48F2"/>
    <w:rsid w:val="27A74232"/>
    <w:rsid w:val="284B1061"/>
    <w:rsid w:val="286B34B1"/>
    <w:rsid w:val="28C50E13"/>
    <w:rsid w:val="28E16B4E"/>
    <w:rsid w:val="292F0982"/>
    <w:rsid w:val="292F2731"/>
    <w:rsid w:val="29310257"/>
    <w:rsid w:val="293B10D5"/>
    <w:rsid w:val="295949AF"/>
    <w:rsid w:val="296C74E1"/>
    <w:rsid w:val="29BB5D72"/>
    <w:rsid w:val="29BF5862"/>
    <w:rsid w:val="29DB6D96"/>
    <w:rsid w:val="2A063491"/>
    <w:rsid w:val="2A3049B2"/>
    <w:rsid w:val="2A3C6EB3"/>
    <w:rsid w:val="2A6254EB"/>
    <w:rsid w:val="2A725283"/>
    <w:rsid w:val="2A97233B"/>
    <w:rsid w:val="2AA50EFC"/>
    <w:rsid w:val="2B184B46"/>
    <w:rsid w:val="2B2A1401"/>
    <w:rsid w:val="2B30453E"/>
    <w:rsid w:val="2B604E23"/>
    <w:rsid w:val="2B6FE9E3"/>
    <w:rsid w:val="2B856638"/>
    <w:rsid w:val="2B8D1AAC"/>
    <w:rsid w:val="2B8F74B6"/>
    <w:rsid w:val="2BA411B4"/>
    <w:rsid w:val="2BCE7FDF"/>
    <w:rsid w:val="2BD33847"/>
    <w:rsid w:val="2BE907BC"/>
    <w:rsid w:val="2BEC2B5B"/>
    <w:rsid w:val="2BEE0681"/>
    <w:rsid w:val="2BF35C97"/>
    <w:rsid w:val="2C041C52"/>
    <w:rsid w:val="2C55425C"/>
    <w:rsid w:val="2C9A4365"/>
    <w:rsid w:val="2CB5119F"/>
    <w:rsid w:val="2CC80ED2"/>
    <w:rsid w:val="2CF972DD"/>
    <w:rsid w:val="2D483DC1"/>
    <w:rsid w:val="2D4927FA"/>
    <w:rsid w:val="2DC45B3D"/>
    <w:rsid w:val="2DF16206"/>
    <w:rsid w:val="2DF87595"/>
    <w:rsid w:val="2E075A2A"/>
    <w:rsid w:val="2E0C4DEE"/>
    <w:rsid w:val="2E5F13C2"/>
    <w:rsid w:val="2EF02962"/>
    <w:rsid w:val="2F792957"/>
    <w:rsid w:val="2F972DDE"/>
    <w:rsid w:val="2FBE65BC"/>
    <w:rsid w:val="2FD8767E"/>
    <w:rsid w:val="2FEC3129"/>
    <w:rsid w:val="307750E9"/>
    <w:rsid w:val="309D2676"/>
    <w:rsid w:val="30CB640E"/>
    <w:rsid w:val="30CB71E3"/>
    <w:rsid w:val="30E262DA"/>
    <w:rsid w:val="30F93D50"/>
    <w:rsid w:val="313E5C07"/>
    <w:rsid w:val="31576CC8"/>
    <w:rsid w:val="31815AF3"/>
    <w:rsid w:val="319770C5"/>
    <w:rsid w:val="31B23EFF"/>
    <w:rsid w:val="31ED4F37"/>
    <w:rsid w:val="322070BA"/>
    <w:rsid w:val="32496611"/>
    <w:rsid w:val="32587747"/>
    <w:rsid w:val="327F2033"/>
    <w:rsid w:val="32981347"/>
    <w:rsid w:val="32A73338"/>
    <w:rsid w:val="32AF043E"/>
    <w:rsid w:val="3341378C"/>
    <w:rsid w:val="337771AE"/>
    <w:rsid w:val="33896EE1"/>
    <w:rsid w:val="33BF2903"/>
    <w:rsid w:val="33C17B80"/>
    <w:rsid w:val="33C57F19"/>
    <w:rsid w:val="33E07DA4"/>
    <w:rsid w:val="34973E52"/>
    <w:rsid w:val="34B30E0E"/>
    <w:rsid w:val="34CE1050"/>
    <w:rsid w:val="34F8431E"/>
    <w:rsid w:val="34F869FD"/>
    <w:rsid w:val="34FF745B"/>
    <w:rsid w:val="35635C3C"/>
    <w:rsid w:val="35696FCA"/>
    <w:rsid w:val="357F059C"/>
    <w:rsid w:val="359F0C3E"/>
    <w:rsid w:val="35AB1391"/>
    <w:rsid w:val="35CA5CBB"/>
    <w:rsid w:val="360311CD"/>
    <w:rsid w:val="36257395"/>
    <w:rsid w:val="36455C9A"/>
    <w:rsid w:val="36714388"/>
    <w:rsid w:val="3679323D"/>
    <w:rsid w:val="36A52284"/>
    <w:rsid w:val="36A71B58"/>
    <w:rsid w:val="36B44275"/>
    <w:rsid w:val="36EF52AD"/>
    <w:rsid w:val="36FC292C"/>
    <w:rsid w:val="37377380"/>
    <w:rsid w:val="373A29CC"/>
    <w:rsid w:val="373C3EA0"/>
    <w:rsid w:val="37517D16"/>
    <w:rsid w:val="37570032"/>
    <w:rsid w:val="37677F9D"/>
    <w:rsid w:val="3784633D"/>
    <w:rsid w:val="378B147A"/>
    <w:rsid w:val="379C3AC9"/>
    <w:rsid w:val="37B00EE0"/>
    <w:rsid w:val="384B0C09"/>
    <w:rsid w:val="385471A4"/>
    <w:rsid w:val="389E6F8B"/>
    <w:rsid w:val="38E76B84"/>
    <w:rsid w:val="39697599"/>
    <w:rsid w:val="3971644D"/>
    <w:rsid w:val="39955913"/>
    <w:rsid w:val="39A607ED"/>
    <w:rsid w:val="39D569DC"/>
    <w:rsid w:val="3A2E433E"/>
    <w:rsid w:val="3A3A2CE3"/>
    <w:rsid w:val="3A5D4B61"/>
    <w:rsid w:val="3A751F6D"/>
    <w:rsid w:val="3AB900AC"/>
    <w:rsid w:val="3B111C96"/>
    <w:rsid w:val="3B6E70E8"/>
    <w:rsid w:val="3B7D2234"/>
    <w:rsid w:val="3B9738DD"/>
    <w:rsid w:val="3B9912F3"/>
    <w:rsid w:val="3BC62A80"/>
    <w:rsid w:val="3BE92C13"/>
    <w:rsid w:val="3C0D6901"/>
    <w:rsid w:val="3C335C3C"/>
    <w:rsid w:val="3C8001C5"/>
    <w:rsid w:val="3CAD3C40"/>
    <w:rsid w:val="3D0575D8"/>
    <w:rsid w:val="3D202664"/>
    <w:rsid w:val="3D4F4CF8"/>
    <w:rsid w:val="3D672041"/>
    <w:rsid w:val="3D70539A"/>
    <w:rsid w:val="3D785FFC"/>
    <w:rsid w:val="3D835F55"/>
    <w:rsid w:val="3DAE5EC2"/>
    <w:rsid w:val="3DC2371B"/>
    <w:rsid w:val="3E244D08"/>
    <w:rsid w:val="3EBDB9E0"/>
    <w:rsid w:val="3F0264C5"/>
    <w:rsid w:val="3F087854"/>
    <w:rsid w:val="3F13D99C"/>
    <w:rsid w:val="3F485EA2"/>
    <w:rsid w:val="3F4A0661"/>
    <w:rsid w:val="3F824E8C"/>
    <w:rsid w:val="3FF51B86"/>
    <w:rsid w:val="3FFB69CA"/>
    <w:rsid w:val="3FFCA5A4"/>
    <w:rsid w:val="40161AFD"/>
    <w:rsid w:val="401C35B7"/>
    <w:rsid w:val="403C77B5"/>
    <w:rsid w:val="40780661"/>
    <w:rsid w:val="40F55BB6"/>
    <w:rsid w:val="40FE2CBD"/>
    <w:rsid w:val="412F10C8"/>
    <w:rsid w:val="41362456"/>
    <w:rsid w:val="41AF3FB7"/>
    <w:rsid w:val="41B03D78"/>
    <w:rsid w:val="421107CE"/>
    <w:rsid w:val="423F358D"/>
    <w:rsid w:val="4294608E"/>
    <w:rsid w:val="42AC1F3D"/>
    <w:rsid w:val="42B77F6E"/>
    <w:rsid w:val="42E83C24"/>
    <w:rsid w:val="42F13517"/>
    <w:rsid w:val="430345BA"/>
    <w:rsid w:val="43994F1E"/>
    <w:rsid w:val="43C55D14"/>
    <w:rsid w:val="43D45F57"/>
    <w:rsid w:val="442708F5"/>
    <w:rsid w:val="443F7874"/>
    <w:rsid w:val="44496945"/>
    <w:rsid w:val="44867251"/>
    <w:rsid w:val="448C05DF"/>
    <w:rsid w:val="44986F84"/>
    <w:rsid w:val="44CB735A"/>
    <w:rsid w:val="450308A1"/>
    <w:rsid w:val="456926CF"/>
    <w:rsid w:val="457C68A6"/>
    <w:rsid w:val="457E8D16"/>
    <w:rsid w:val="45E83F3B"/>
    <w:rsid w:val="45F8417E"/>
    <w:rsid w:val="4651388E"/>
    <w:rsid w:val="46592743"/>
    <w:rsid w:val="46991136"/>
    <w:rsid w:val="46D00C57"/>
    <w:rsid w:val="46DA7D28"/>
    <w:rsid w:val="46DD3374"/>
    <w:rsid w:val="46F030A7"/>
    <w:rsid w:val="47404880"/>
    <w:rsid w:val="47484C91"/>
    <w:rsid w:val="475C073D"/>
    <w:rsid w:val="47841A42"/>
    <w:rsid w:val="47880582"/>
    <w:rsid w:val="478C7274"/>
    <w:rsid w:val="47FC782A"/>
    <w:rsid w:val="481903DC"/>
    <w:rsid w:val="485D476D"/>
    <w:rsid w:val="498D2E30"/>
    <w:rsid w:val="49A63EF1"/>
    <w:rsid w:val="49AFB385"/>
    <w:rsid w:val="49D00F6E"/>
    <w:rsid w:val="4A34774F"/>
    <w:rsid w:val="4A4F6337"/>
    <w:rsid w:val="4A525E27"/>
    <w:rsid w:val="4A6C0C97"/>
    <w:rsid w:val="4ABD7744"/>
    <w:rsid w:val="4ADF590D"/>
    <w:rsid w:val="4AFB026D"/>
    <w:rsid w:val="4AFD2237"/>
    <w:rsid w:val="4AFE7E0E"/>
    <w:rsid w:val="4B1A06F3"/>
    <w:rsid w:val="4B2E17A2"/>
    <w:rsid w:val="4B3C4B0D"/>
    <w:rsid w:val="4B62209A"/>
    <w:rsid w:val="4B645E12"/>
    <w:rsid w:val="4B7D0C82"/>
    <w:rsid w:val="4BB072A9"/>
    <w:rsid w:val="4BEA1320"/>
    <w:rsid w:val="4C2555A1"/>
    <w:rsid w:val="4CB84667"/>
    <w:rsid w:val="4CF3744D"/>
    <w:rsid w:val="4D6D6EEB"/>
    <w:rsid w:val="4DB34E2F"/>
    <w:rsid w:val="4DFF1E22"/>
    <w:rsid w:val="4E296E9F"/>
    <w:rsid w:val="4E9133C2"/>
    <w:rsid w:val="4EDB463D"/>
    <w:rsid w:val="4F1F277C"/>
    <w:rsid w:val="4F602D94"/>
    <w:rsid w:val="4F7F76BE"/>
    <w:rsid w:val="4F8C3B89"/>
    <w:rsid w:val="4FA113E3"/>
    <w:rsid w:val="4FB56C3C"/>
    <w:rsid w:val="4FED4628"/>
    <w:rsid w:val="5012408F"/>
    <w:rsid w:val="501E02B3"/>
    <w:rsid w:val="502D0EC8"/>
    <w:rsid w:val="50371D47"/>
    <w:rsid w:val="504F52E3"/>
    <w:rsid w:val="50D61560"/>
    <w:rsid w:val="5124051D"/>
    <w:rsid w:val="515E50B1"/>
    <w:rsid w:val="51750D79"/>
    <w:rsid w:val="51986815"/>
    <w:rsid w:val="51AA6BA9"/>
    <w:rsid w:val="51AC406F"/>
    <w:rsid w:val="51CD2963"/>
    <w:rsid w:val="51D535C6"/>
    <w:rsid w:val="5233653E"/>
    <w:rsid w:val="52397FF8"/>
    <w:rsid w:val="52A1794C"/>
    <w:rsid w:val="52DB2E5E"/>
    <w:rsid w:val="52E40613"/>
    <w:rsid w:val="52FB0A6C"/>
    <w:rsid w:val="534A407E"/>
    <w:rsid w:val="536270DB"/>
    <w:rsid w:val="5367649F"/>
    <w:rsid w:val="53750EE3"/>
    <w:rsid w:val="538434F5"/>
    <w:rsid w:val="53BB4A3D"/>
    <w:rsid w:val="53C2401E"/>
    <w:rsid w:val="54703A7A"/>
    <w:rsid w:val="549E4143"/>
    <w:rsid w:val="54B971CF"/>
    <w:rsid w:val="54E66377"/>
    <w:rsid w:val="54EC2566"/>
    <w:rsid w:val="553920BD"/>
    <w:rsid w:val="55540CA5"/>
    <w:rsid w:val="556655A6"/>
    <w:rsid w:val="55933E69"/>
    <w:rsid w:val="55990DAE"/>
    <w:rsid w:val="55A439DB"/>
    <w:rsid w:val="55A82D9F"/>
    <w:rsid w:val="55B31E70"/>
    <w:rsid w:val="55F3226C"/>
    <w:rsid w:val="55F61D5C"/>
    <w:rsid w:val="56821842"/>
    <w:rsid w:val="568CA203"/>
    <w:rsid w:val="56E878F7"/>
    <w:rsid w:val="57476D14"/>
    <w:rsid w:val="57B36157"/>
    <w:rsid w:val="58091A66"/>
    <w:rsid w:val="58382B00"/>
    <w:rsid w:val="583D0117"/>
    <w:rsid w:val="583F5C3D"/>
    <w:rsid w:val="587C0C3F"/>
    <w:rsid w:val="58A41F44"/>
    <w:rsid w:val="58D9352F"/>
    <w:rsid w:val="58E93DFA"/>
    <w:rsid w:val="590D7AE9"/>
    <w:rsid w:val="5943350B"/>
    <w:rsid w:val="595A2602"/>
    <w:rsid w:val="59C24D38"/>
    <w:rsid w:val="59C922D9"/>
    <w:rsid w:val="59D93E6F"/>
    <w:rsid w:val="59F20A8D"/>
    <w:rsid w:val="5A2C3F9F"/>
    <w:rsid w:val="5A4532B2"/>
    <w:rsid w:val="5A470DD9"/>
    <w:rsid w:val="5A7616BE"/>
    <w:rsid w:val="5A845986"/>
    <w:rsid w:val="5A8C0EE1"/>
    <w:rsid w:val="5AD7215D"/>
    <w:rsid w:val="5ADF54B5"/>
    <w:rsid w:val="5B0373F5"/>
    <w:rsid w:val="5B1C4013"/>
    <w:rsid w:val="5B3A093D"/>
    <w:rsid w:val="5B3A710D"/>
    <w:rsid w:val="5B3F5F54"/>
    <w:rsid w:val="5B6A7475"/>
    <w:rsid w:val="5B8F0C89"/>
    <w:rsid w:val="5BA04C44"/>
    <w:rsid w:val="5BD4669C"/>
    <w:rsid w:val="5C50666A"/>
    <w:rsid w:val="5C645C72"/>
    <w:rsid w:val="5C6914DA"/>
    <w:rsid w:val="5C6E6AF1"/>
    <w:rsid w:val="5C8C51C9"/>
    <w:rsid w:val="5C9D73D6"/>
    <w:rsid w:val="5D107BA8"/>
    <w:rsid w:val="5D276C9F"/>
    <w:rsid w:val="5D5A7075"/>
    <w:rsid w:val="5DF40458"/>
    <w:rsid w:val="5E282CCF"/>
    <w:rsid w:val="5E4F55CC"/>
    <w:rsid w:val="5E5D0BCB"/>
    <w:rsid w:val="5E954808"/>
    <w:rsid w:val="5EBF695C"/>
    <w:rsid w:val="5EDA046D"/>
    <w:rsid w:val="5EFF1427"/>
    <w:rsid w:val="5F1A61D6"/>
    <w:rsid w:val="5F21609C"/>
    <w:rsid w:val="5F385194"/>
    <w:rsid w:val="5F3F4774"/>
    <w:rsid w:val="5F9A19AB"/>
    <w:rsid w:val="5FAD7930"/>
    <w:rsid w:val="5FBD1891"/>
    <w:rsid w:val="5FDE1538"/>
    <w:rsid w:val="5FE647B5"/>
    <w:rsid w:val="5FF4555F"/>
    <w:rsid w:val="5FF47F0B"/>
    <w:rsid w:val="600A6B30"/>
    <w:rsid w:val="60172FFB"/>
    <w:rsid w:val="608C1C3B"/>
    <w:rsid w:val="609805E0"/>
    <w:rsid w:val="60CE5DB0"/>
    <w:rsid w:val="610C0686"/>
    <w:rsid w:val="610F6C4A"/>
    <w:rsid w:val="611F4B76"/>
    <w:rsid w:val="61243C22"/>
    <w:rsid w:val="61720E31"/>
    <w:rsid w:val="61E57855"/>
    <w:rsid w:val="624C788F"/>
    <w:rsid w:val="62593D9F"/>
    <w:rsid w:val="62C84A81"/>
    <w:rsid w:val="63091321"/>
    <w:rsid w:val="630E4B89"/>
    <w:rsid w:val="63251ED3"/>
    <w:rsid w:val="63471C51"/>
    <w:rsid w:val="63660521"/>
    <w:rsid w:val="637C7D45"/>
    <w:rsid w:val="63AD43A2"/>
    <w:rsid w:val="6401649C"/>
    <w:rsid w:val="640B10C9"/>
    <w:rsid w:val="64AA08E2"/>
    <w:rsid w:val="64AD3F2E"/>
    <w:rsid w:val="64D4595F"/>
    <w:rsid w:val="64DB6CED"/>
    <w:rsid w:val="64FB2EEB"/>
    <w:rsid w:val="651B533C"/>
    <w:rsid w:val="655B7E2E"/>
    <w:rsid w:val="65815AE7"/>
    <w:rsid w:val="65982E30"/>
    <w:rsid w:val="65CC4888"/>
    <w:rsid w:val="65E816C2"/>
    <w:rsid w:val="66110972"/>
    <w:rsid w:val="6623094C"/>
    <w:rsid w:val="66240220"/>
    <w:rsid w:val="66417024"/>
    <w:rsid w:val="66546D57"/>
    <w:rsid w:val="66DEB4D3"/>
    <w:rsid w:val="66ED2D08"/>
    <w:rsid w:val="670D5158"/>
    <w:rsid w:val="67670D0C"/>
    <w:rsid w:val="679B09B6"/>
    <w:rsid w:val="67DB7004"/>
    <w:rsid w:val="67FF487C"/>
    <w:rsid w:val="68104F00"/>
    <w:rsid w:val="68752FB5"/>
    <w:rsid w:val="687C3E7E"/>
    <w:rsid w:val="68B03FED"/>
    <w:rsid w:val="68B97345"/>
    <w:rsid w:val="68BF2482"/>
    <w:rsid w:val="68CD2DF1"/>
    <w:rsid w:val="68D51CA5"/>
    <w:rsid w:val="6905258B"/>
    <w:rsid w:val="6954706E"/>
    <w:rsid w:val="695D4175"/>
    <w:rsid w:val="698F00A6"/>
    <w:rsid w:val="69F30635"/>
    <w:rsid w:val="6A106C14"/>
    <w:rsid w:val="6A303637"/>
    <w:rsid w:val="6A3D787A"/>
    <w:rsid w:val="6A505A87"/>
    <w:rsid w:val="6AD246EE"/>
    <w:rsid w:val="6AEA1A38"/>
    <w:rsid w:val="6B4A0729"/>
    <w:rsid w:val="6B655563"/>
    <w:rsid w:val="6B925DF0"/>
    <w:rsid w:val="6B977460"/>
    <w:rsid w:val="6BA50055"/>
    <w:rsid w:val="6BB87D88"/>
    <w:rsid w:val="6BBB33D4"/>
    <w:rsid w:val="6BD526E8"/>
    <w:rsid w:val="6BE55FC8"/>
    <w:rsid w:val="6C1F3963"/>
    <w:rsid w:val="6C692E30"/>
    <w:rsid w:val="6C7C2B64"/>
    <w:rsid w:val="6C9C4FB4"/>
    <w:rsid w:val="6CDA5ADC"/>
    <w:rsid w:val="6CE17BB7"/>
    <w:rsid w:val="6D003795"/>
    <w:rsid w:val="6D196605"/>
    <w:rsid w:val="6D231231"/>
    <w:rsid w:val="6D34343E"/>
    <w:rsid w:val="6D763220"/>
    <w:rsid w:val="6DCD73EF"/>
    <w:rsid w:val="6DF42BCE"/>
    <w:rsid w:val="6E3B6A4F"/>
    <w:rsid w:val="6E731D44"/>
    <w:rsid w:val="6E843F52"/>
    <w:rsid w:val="6EC32CCC"/>
    <w:rsid w:val="6EDDB5DA"/>
    <w:rsid w:val="6EE50AF4"/>
    <w:rsid w:val="6EEE3AC1"/>
    <w:rsid w:val="6F15104E"/>
    <w:rsid w:val="6F3C0F19"/>
    <w:rsid w:val="6FED51EC"/>
    <w:rsid w:val="6FEF7AF1"/>
    <w:rsid w:val="6FFF4888"/>
    <w:rsid w:val="70D54F38"/>
    <w:rsid w:val="714479C8"/>
    <w:rsid w:val="715A71EC"/>
    <w:rsid w:val="71F94C57"/>
    <w:rsid w:val="72345C8F"/>
    <w:rsid w:val="72B8066E"/>
    <w:rsid w:val="72C40DC1"/>
    <w:rsid w:val="73223D39"/>
    <w:rsid w:val="734012B5"/>
    <w:rsid w:val="73593BFF"/>
    <w:rsid w:val="736D1458"/>
    <w:rsid w:val="73893DB8"/>
    <w:rsid w:val="73944C37"/>
    <w:rsid w:val="73A86934"/>
    <w:rsid w:val="73D43285"/>
    <w:rsid w:val="73EA2684"/>
    <w:rsid w:val="73FDA271"/>
    <w:rsid w:val="742F4960"/>
    <w:rsid w:val="74341F76"/>
    <w:rsid w:val="74597C2E"/>
    <w:rsid w:val="74E4574A"/>
    <w:rsid w:val="74EE4144"/>
    <w:rsid w:val="754E52B9"/>
    <w:rsid w:val="75530B22"/>
    <w:rsid w:val="75B94E29"/>
    <w:rsid w:val="75BE41ED"/>
    <w:rsid w:val="75CE1F56"/>
    <w:rsid w:val="75FCCA24"/>
    <w:rsid w:val="764F3097"/>
    <w:rsid w:val="76636B42"/>
    <w:rsid w:val="767B3E8C"/>
    <w:rsid w:val="767E397C"/>
    <w:rsid w:val="76944F4E"/>
    <w:rsid w:val="76D33CC8"/>
    <w:rsid w:val="76D67314"/>
    <w:rsid w:val="76DA5EF6"/>
    <w:rsid w:val="7709593C"/>
    <w:rsid w:val="774249AA"/>
    <w:rsid w:val="774E77F3"/>
    <w:rsid w:val="77530965"/>
    <w:rsid w:val="779571D0"/>
    <w:rsid w:val="77F42148"/>
    <w:rsid w:val="77FE2FC7"/>
    <w:rsid w:val="782D565A"/>
    <w:rsid w:val="7831514A"/>
    <w:rsid w:val="78340796"/>
    <w:rsid w:val="78C338C8"/>
    <w:rsid w:val="78F46178"/>
    <w:rsid w:val="790243F1"/>
    <w:rsid w:val="79336CA0"/>
    <w:rsid w:val="794B223C"/>
    <w:rsid w:val="794E3ADA"/>
    <w:rsid w:val="798474FC"/>
    <w:rsid w:val="79AE4579"/>
    <w:rsid w:val="79D51B05"/>
    <w:rsid w:val="7A28432B"/>
    <w:rsid w:val="7A320D06"/>
    <w:rsid w:val="7A477AC9"/>
    <w:rsid w:val="7A7255A6"/>
    <w:rsid w:val="7A796431"/>
    <w:rsid w:val="7AC04563"/>
    <w:rsid w:val="7AF4245F"/>
    <w:rsid w:val="7AFBCD8A"/>
    <w:rsid w:val="7B2F5245"/>
    <w:rsid w:val="7B3A4316"/>
    <w:rsid w:val="7B4231CA"/>
    <w:rsid w:val="7B446F42"/>
    <w:rsid w:val="7B566C76"/>
    <w:rsid w:val="7B7F6C3A"/>
    <w:rsid w:val="7B8E01BE"/>
    <w:rsid w:val="7B917CAE"/>
    <w:rsid w:val="7B95779E"/>
    <w:rsid w:val="7BD007D6"/>
    <w:rsid w:val="7BE38C07"/>
    <w:rsid w:val="7BE7F440"/>
    <w:rsid w:val="7BF24BF0"/>
    <w:rsid w:val="7BFDDF1A"/>
    <w:rsid w:val="7BFFA8BD"/>
    <w:rsid w:val="7C0861C2"/>
    <w:rsid w:val="7C390B13"/>
    <w:rsid w:val="7C3C2310"/>
    <w:rsid w:val="7C3F18B5"/>
    <w:rsid w:val="7C45086D"/>
    <w:rsid w:val="7C547659"/>
    <w:rsid w:val="7C76D129"/>
    <w:rsid w:val="7C7B2E8A"/>
    <w:rsid w:val="7C991510"/>
    <w:rsid w:val="7C996707"/>
    <w:rsid w:val="7CEE09E9"/>
    <w:rsid w:val="7D020E63"/>
    <w:rsid w:val="7D1B1F25"/>
    <w:rsid w:val="7D4A45B8"/>
    <w:rsid w:val="7D5316BF"/>
    <w:rsid w:val="7D80675E"/>
    <w:rsid w:val="7DB7C329"/>
    <w:rsid w:val="7DC61F22"/>
    <w:rsid w:val="7DDF80B0"/>
    <w:rsid w:val="7DDFC57A"/>
    <w:rsid w:val="7DEF9A2E"/>
    <w:rsid w:val="7E152E18"/>
    <w:rsid w:val="7E1A3F8B"/>
    <w:rsid w:val="7E2E5C88"/>
    <w:rsid w:val="7E3A287F"/>
    <w:rsid w:val="7E5F9EC9"/>
    <w:rsid w:val="7E7AB7F9"/>
    <w:rsid w:val="7E8B4E88"/>
    <w:rsid w:val="7EB20667"/>
    <w:rsid w:val="7EC52452"/>
    <w:rsid w:val="7ED7F983"/>
    <w:rsid w:val="7EE54599"/>
    <w:rsid w:val="7EEB044A"/>
    <w:rsid w:val="7EED78F1"/>
    <w:rsid w:val="7F016EF9"/>
    <w:rsid w:val="7F0D1D41"/>
    <w:rsid w:val="7F0D7F93"/>
    <w:rsid w:val="7F1135E0"/>
    <w:rsid w:val="7F9935D5"/>
    <w:rsid w:val="7FB7AAC8"/>
    <w:rsid w:val="7FBD72C3"/>
    <w:rsid w:val="7FC34B98"/>
    <w:rsid w:val="7FDBFA41"/>
    <w:rsid w:val="7FE17456"/>
    <w:rsid w:val="7FEFF30E"/>
    <w:rsid w:val="7FF16F6D"/>
    <w:rsid w:val="7FF60053"/>
    <w:rsid w:val="7FFB6CF0"/>
    <w:rsid w:val="7FFC29EA"/>
    <w:rsid w:val="7FFFC177"/>
    <w:rsid w:val="7FFFCD99"/>
    <w:rsid w:val="82D0FBA5"/>
    <w:rsid w:val="973F1775"/>
    <w:rsid w:val="9B967E4C"/>
    <w:rsid w:val="9FFF9ECE"/>
    <w:rsid w:val="ABFF5EE5"/>
    <w:rsid w:val="ACBD931D"/>
    <w:rsid w:val="B3CE427A"/>
    <w:rsid w:val="B6E3AF20"/>
    <w:rsid w:val="B7EE40C5"/>
    <w:rsid w:val="B99BE2E6"/>
    <w:rsid w:val="BACE4872"/>
    <w:rsid w:val="BB4F15C6"/>
    <w:rsid w:val="BB67E64E"/>
    <w:rsid w:val="BBF74B79"/>
    <w:rsid w:val="BDBD2B5A"/>
    <w:rsid w:val="BDF3F149"/>
    <w:rsid w:val="BF9E19C0"/>
    <w:rsid w:val="BFFE1937"/>
    <w:rsid w:val="C9DBC3FE"/>
    <w:rsid w:val="CC8B1FEB"/>
    <w:rsid w:val="CFFE9619"/>
    <w:rsid w:val="D5FFB2D4"/>
    <w:rsid w:val="D77F1762"/>
    <w:rsid w:val="DBB7CDFD"/>
    <w:rsid w:val="DFFB5421"/>
    <w:rsid w:val="DFFDCC01"/>
    <w:rsid w:val="E7F71E8B"/>
    <w:rsid w:val="E8FF3029"/>
    <w:rsid w:val="EB2D1CE8"/>
    <w:rsid w:val="EB9DB08B"/>
    <w:rsid w:val="EEFFCBFD"/>
    <w:rsid w:val="EF2D24FB"/>
    <w:rsid w:val="EF7F2E70"/>
    <w:rsid w:val="F3DE53E5"/>
    <w:rsid w:val="F7FD56C3"/>
    <w:rsid w:val="FAB79186"/>
    <w:rsid w:val="FAF7D68C"/>
    <w:rsid w:val="FBB3079D"/>
    <w:rsid w:val="FBB99D81"/>
    <w:rsid w:val="FDBF9D19"/>
    <w:rsid w:val="FDDF23A3"/>
    <w:rsid w:val="FDEF678A"/>
    <w:rsid w:val="FDF70D96"/>
    <w:rsid w:val="FEF78979"/>
    <w:rsid w:val="FEF982E9"/>
    <w:rsid w:val="FEFF9638"/>
    <w:rsid w:val="FEFFA36F"/>
    <w:rsid w:val="FF3D7ED4"/>
    <w:rsid w:val="FF7AA8DF"/>
    <w:rsid w:val="FF7BEEE0"/>
    <w:rsid w:val="FF7F658A"/>
    <w:rsid w:val="FF8BF06E"/>
    <w:rsid w:val="FFBF882E"/>
    <w:rsid w:val="FFCB21FC"/>
    <w:rsid w:val="FFCFE407"/>
    <w:rsid w:val="FFEB7B76"/>
    <w:rsid w:val="FFFF6738"/>
    <w:rsid w:val="FFFFD183"/>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index 5"/>
    <w:basedOn w:val="1"/>
    <w:next w:val="1"/>
    <w:semiHidden/>
    <w:unhideWhenUsed/>
    <w:qFormat/>
    <w:uiPriority w:val="99"/>
    <w:pPr>
      <w:ind w:left="800" w:leftChars="800"/>
    </w:p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8"/>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qFormat/>
    <w:uiPriority w:val="0"/>
    <w:pPr>
      <w:widowControl/>
      <w:spacing w:before="100" w:beforeAutospacing="1" w:after="100" w:afterAutospacing="1"/>
      <w:jc w:val="left"/>
    </w:pPr>
    <w:rPr>
      <w:rFonts w:ascii="宋体" w:cs="宋体"/>
      <w:kern w:val="0"/>
      <w:sz w:val="24"/>
      <w:lang w:bidi="ar-SA"/>
    </w:rPr>
  </w:style>
  <w:style w:type="table" w:styleId="11">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3">
    <w:name w:val="Strong"/>
    <w:basedOn w:val="12"/>
    <w:qFormat/>
    <w:uiPriority w:val="22"/>
    <w:rPr>
      <w:b/>
    </w:rPr>
  </w:style>
  <w:style w:type="character" w:customStyle="1" w:styleId="14">
    <w:name w:val="页眉 Char"/>
    <w:basedOn w:val="12"/>
    <w:link w:val="7"/>
    <w:qFormat/>
    <w:uiPriority w:val="99"/>
    <w:rPr>
      <w:sz w:val="18"/>
      <w:szCs w:val="18"/>
    </w:rPr>
  </w:style>
  <w:style w:type="character" w:customStyle="1" w:styleId="15">
    <w:name w:val="页脚 Char"/>
    <w:basedOn w:val="12"/>
    <w:link w:val="6"/>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2"/>
    <w:link w:val="5"/>
    <w:semiHidden/>
    <w:qFormat/>
    <w:uiPriority w:val="99"/>
    <w:rPr>
      <w:sz w:val="18"/>
      <w:szCs w:val="18"/>
    </w:rPr>
  </w:style>
  <w:style w:type="character" w:customStyle="1" w:styleId="19">
    <w:name w:val="font01"/>
    <w:basedOn w:val="12"/>
    <w:qFormat/>
    <w:uiPriority w:val="0"/>
    <w:rPr>
      <w:rFonts w:hint="eastAsia" w:ascii="宋体" w:hAnsi="宋体" w:eastAsia="宋体" w:cs="宋体"/>
      <w:color w:val="000000"/>
      <w:sz w:val="22"/>
      <w:szCs w:val="22"/>
      <w:u w:val="none"/>
    </w:rPr>
  </w:style>
  <w:style w:type="character" w:customStyle="1" w:styleId="20">
    <w:name w:val="font21"/>
    <w:basedOn w:val="12"/>
    <w:qFormat/>
    <w:uiPriority w:val="0"/>
    <w:rPr>
      <w:rFonts w:hint="eastAsia" w:ascii="宋体" w:hAnsi="宋体" w:eastAsia="宋体" w:cs="宋体"/>
      <w:color w:val="000000"/>
      <w:sz w:val="24"/>
      <w:szCs w:val="24"/>
      <w:u w:val="none"/>
    </w:rPr>
  </w:style>
  <w:style w:type="character" w:customStyle="1" w:styleId="21">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name="KSOProductBuildVer" pid="2" fmtid="{D5CDD505-2E9C-101B-9397-08002B2CF9AE}">
    <vt:lpwstr xmlns:vt="http://schemas.openxmlformats.org/officeDocument/2006/docPropsVTypes">2052-11.8.2.12009</vt:lpwstr>
  </property>
  <property xmlns="http://schemas.openxmlformats.org/officeDocument/2006/custom-properties" name="ICV" pid="3" fmtid="{D5CDD505-2E9C-101B-9397-08002B2CF9AE}">
    <vt:lpwstr xmlns:vt="http://schemas.openxmlformats.org/officeDocument/2006/docPropsVTypes">4F0B27C0AAC35EFA9177686ADDD5E058</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0302b7-7860-4c73-85de-bcdfd88e842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5920</Words>
  <Characters>6460</Characters>
  <Lines>69</Lines>
  <Paragraphs>19</Paragraphs>
  <TotalTime>4</TotalTime>
  <ScaleCrop>false</ScaleCrop>
  <LinksUpToDate>false</LinksUpToDate>
  <CharactersWithSpaces>6498</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2025-08-21T02:17:00Z</dcterms:created>
  <dc:creator>李航 null</dc:creator>
  <cp:lastModifiedBy>A梦</cp:lastModifiedBy>
  <cp:lastPrinted>2024-08-11T10:20:00Z</cp:lastPrinted>
  <dcterms:modified xsi:type="dcterms:W3CDTF">2026-10-12T16:03:43Z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092D58A9E8D8EBF381E0B16A0B199A20_43</vt:lpwstr>
  </property>
  <property fmtid="{D5CDD505-2E9C-101B-9397-08002B2CF9AE}" pid="4" name="KSOTemplateDocerSaveRecord">
    <vt:lpwstr>eyJoZGlkIjoiNzBhZmYxZjI3MTM3Zjk4YzBhNDYwNjQ4ZGUzMjJhODMiLCJ1c2VySWQiOiIzNDQwMDQzNTQifQ==</vt:lpwstr>
  </property>
</Properties>
</file>