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7A12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1C4A5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0DD9A2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440" w:firstLineChars="300"/>
        <w:jc w:val="center"/>
        <w:textAlignment w:val="auto"/>
        <w:rPr>
          <w:rFonts w:hint="eastAsia" w:ascii="黑体" w:hAnsi="黑体" w:eastAsia="黑体" w:cs="黑体"/>
          <w:b w:val="0"/>
          <w:bCs w:val="0"/>
          <w:i w:val="0"/>
          <w:iCs w:val="0"/>
          <w:caps w:val="0"/>
          <w:color w:val="auto"/>
          <w:spacing w:val="0"/>
          <w:sz w:val="48"/>
          <w:szCs w:val="48"/>
          <w:shd w:val="clear" w:fill="FFFFFF"/>
          <w:lang w:val="en-US" w:eastAsia="zh-CN"/>
        </w:rPr>
      </w:pPr>
      <w:r>
        <w:rPr>
          <w:rFonts w:hint="eastAsia" w:ascii="黑体" w:hAnsi="黑体" w:eastAsia="黑体" w:cs="黑体"/>
          <w:b w:val="0"/>
          <w:bCs w:val="0"/>
          <w:i w:val="0"/>
          <w:iCs w:val="0"/>
          <w:caps w:val="0"/>
          <w:color w:val="000000"/>
          <w:spacing w:val="0"/>
          <w:sz w:val="48"/>
          <w:szCs w:val="48"/>
          <w:shd w:val="clear" w:fill="FFFFFF"/>
          <w:lang w:val="en-US" w:eastAsia="zh-CN"/>
        </w:rPr>
        <w:t>2025年度</w:t>
      </w:r>
      <w:r>
        <w:rPr>
          <w:rFonts w:hint="eastAsia" w:ascii="黑体" w:hAnsi="黑体" w:eastAsia="黑体" w:cs="黑体"/>
          <w:b w:val="0"/>
          <w:bCs w:val="0"/>
          <w:i w:val="0"/>
          <w:iCs w:val="0"/>
          <w:caps w:val="0"/>
          <w:color w:val="auto"/>
          <w:spacing w:val="0"/>
          <w:sz w:val="48"/>
          <w:szCs w:val="48"/>
          <w:shd w:val="clear" w:fill="FFFFFF"/>
          <w:lang w:val="en-US" w:eastAsia="zh-CN"/>
        </w:rPr>
        <w:t>怀化市市政设施维护中心</w:t>
      </w:r>
    </w:p>
    <w:p w14:paraId="0790C8D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440" w:firstLineChars="300"/>
        <w:jc w:val="center"/>
        <w:textAlignment w:val="auto"/>
        <w:rPr>
          <w:rFonts w:hint="eastAsia" w:ascii="黑体" w:hAnsi="黑体" w:eastAsia="黑体" w:cs="黑体"/>
          <w:b w:val="0"/>
          <w:bCs w:val="0"/>
          <w:i w:val="0"/>
          <w:iCs w:val="0"/>
          <w:caps w:val="0"/>
          <w:color w:val="000000"/>
          <w:spacing w:val="0"/>
          <w:sz w:val="48"/>
          <w:szCs w:val="48"/>
          <w:shd w:val="clear" w:fill="FFFFFF"/>
          <w:lang w:val="en-US" w:eastAsia="zh-CN"/>
        </w:rPr>
      </w:pPr>
      <w:r>
        <w:rPr>
          <w:rFonts w:hint="eastAsia" w:ascii="黑体" w:hAnsi="黑体" w:eastAsia="黑体" w:cs="黑体"/>
          <w:b w:val="0"/>
          <w:bCs w:val="0"/>
          <w:i w:val="0"/>
          <w:iCs w:val="0"/>
          <w:caps w:val="0"/>
          <w:color w:val="000000"/>
          <w:spacing w:val="0"/>
          <w:sz w:val="48"/>
          <w:szCs w:val="48"/>
          <w:shd w:val="clear" w:fill="FFFFFF"/>
          <w:lang w:val="en-US" w:eastAsia="zh-CN"/>
        </w:rPr>
        <w:t>整体支出绩效自评报告</w:t>
      </w:r>
    </w:p>
    <w:p w14:paraId="3EB9AEA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F33D64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D2BB2C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3739B6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CF4C1C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3271B2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BD7E35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0F9987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0A5BB6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C2B4FF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AAD874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3FD80E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774F0B8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2E2771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585ADC6A">
      <w:pPr>
        <w:keepNext w:val="0"/>
        <w:keepLines w:val="0"/>
        <w:pageBreakBefore w:val="0"/>
        <w:widowControl w:val="0"/>
        <w:kinsoku/>
        <w:wordWrap/>
        <w:overflowPunct/>
        <w:topLinePunct w:val="0"/>
        <w:autoSpaceDE/>
        <w:autoSpaceDN/>
        <w:bidi w:val="0"/>
        <w:adjustRightInd/>
        <w:snapToGrid w:val="0"/>
        <w:spacing w:line="520" w:lineRule="exact"/>
        <w:ind w:firstLine="1800" w:firstLineChars="500"/>
        <w:textAlignment w:val="auto"/>
        <w:rPr>
          <w:rFonts w:hint="eastAsia" w:ascii="黑体" w:hAnsi="黑体" w:eastAsia="黑体" w:cs="黑体"/>
          <w:b w:val="0"/>
          <w:bCs w:val="0"/>
          <w:color w:val="auto"/>
          <w:sz w:val="36"/>
          <w:szCs w:val="36"/>
          <w:highlight w:val="none"/>
          <w:u w:val="single"/>
          <w:lang w:val="en-US" w:eastAsia="zh-CN"/>
        </w:rPr>
      </w:pPr>
      <w:r>
        <w:rPr>
          <w:rFonts w:hint="eastAsia" w:ascii="黑体" w:hAnsi="黑体" w:eastAsia="黑体" w:cs="黑体"/>
          <w:b w:val="0"/>
          <w:bCs w:val="0"/>
          <w:color w:val="auto"/>
          <w:sz w:val="36"/>
          <w:szCs w:val="36"/>
          <w:highlight w:val="none"/>
          <w:lang w:val="en-US" w:eastAsia="zh-CN"/>
        </w:rPr>
        <w:t>项目名称：</w:t>
      </w:r>
      <w:r>
        <w:rPr>
          <w:rFonts w:hint="eastAsia" w:ascii="黑体" w:hAnsi="黑体" w:eastAsia="黑体" w:cs="黑体"/>
          <w:b w:val="0"/>
          <w:bCs w:val="0"/>
          <w:color w:val="auto"/>
          <w:sz w:val="36"/>
          <w:szCs w:val="36"/>
          <w:highlight w:val="none"/>
          <w:u w:val="single"/>
          <w:lang w:val="en-US" w:eastAsia="zh-CN"/>
        </w:rPr>
        <w:t>2025年整体支出绩效自评</w:t>
      </w:r>
    </w:p>
    <w:p w14:paraId="70C39768">
      <w:pPr>
        <w:keepNext w:val="0"/>
        <w:keepLines w:val="0"/>
        <w:pageBreakBefore w:val="0"/>
        <w:widowControl w:val="0"/>
        <w:kinsoku/>
        <w:wordWrap/>
        <w:overflowPunct/>
        <w:topLinePunct w:val="0"/>
        <w:autoSpaceDE/>
        <w:autoSpaceDN/>
        <w:bidi w:val="0"/>
        <w:adjustRightInd/>
        <w:snapToGrid w:val="0"/>
        <w:spacing w:line="520" w:lineRule="exact"/>
        <w:ind w:firstLine="720" w:firstLineChars="200"/>
        <w:textAlignment w:val="auto"/>
        <w:rPr>
          <w:rFonts w:hint="eastAsia" w:ascii="黑体" w:hAnsi="黑体" w:eastAsia="黑体" w:cs="黑体"/>
          <w:b w:val="0"/>
          <w:bCs w:val="0"/>
          <w:color w:val="auto"/>
          <w:sz w:val="36"/>
          <w:szCs w:val="36"/>
          <w:highlight w:val="none"/>
          <w:u w:val="single"/>
          <w:lang w:val="en-US" w:eastAsia="zh-CN"/>
        </w:rPr>
      </w:pPr>
      <w:r>
        <w:rPr>
          <w:rFonts w:hint="eastAsia" w:ascii="黑体" w:hAnsi="黑体" w:eastAsia="黑体" w:cs="黑体"/>
          <w:b w:val="0"/>
          <w:bCs w:val="0"/>
          <w:color w:val="auto"/>
          <w:sz w:val="36"/>
          <w:szCs w:val="36"/>
          <w:highlight w:val="none"/>
          <w:lang w:val="en-US" w:eastAsia="zh-CN"/>
        </w:rPr>
        <w:t xml:space="preserve">      单位名称：</w:t>
      </w:r>
      <w:r>
        <w:rPr>
          <w:rFonts w:hint="eastAsia" w:ascii="黑体" w:hAnsi="黑体" w:eastAsia="黑体" w:cs="黑体"/>
          <w:b w:val="0"/>
          <w:bCs w:val="0"/>
          <w:color w:val="auto"/>
          <w:sz w:val="36"/>
          <w:szCs w:val="36"/>
          <w:highlight w:val="none"/>
          <w:u w:val="single"/>
          <w:lang w:val="en-US" w:eastAsia="zh-CN"/>
        </w:rPr>
        <w:t>怀化市市政设施维护中心</w:t>
      </w:r>
    </w:p>
    <w:p w14:paraId="2583C6E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u w:val="single"/>
          <w:lang w:val="en-US" w:eastAsia="zh-CN"/>
        </w:rPr>
      </w:pPr>
    </w:p>
    <w:p w14:paraId="72E9C7B9">
      <w:pPr>
        <w:keepNext w:val="0"/>
        <w:keepLines w:val="0"/>
        <w:pageBreakBefore w:val="0"/>
        <w:widowControl w:val="0"/>
        <w:kinsoku/>
        <w:wordWrap/>
        <w:overflowPunct/>
        <w:topLinePunct w:val="0"/>
        <w:autoSpaceDE/>
        <w:autoSpaceDN/>
        <w:bidi w:val="0"/>
        <w:adjustRightInd/>
        <w:snapToGrid w:val="0"/>
        <w:spacing w:line="520" w:lineRule="exact"/>
        <w:ind w:firstLine="2240" w:firstLineChars="700"/>
        <w:textAlignment w:val="auto"/>
        <w:rPr>
          <w:rFonts w:hint="eastAsia" w:ascii="黑体" w:hAnsi="黑体" w:eastAsia="黑体" w:cs="黑体"/>
          <w:b w:val="0"/>
          <w:bCs w:val="0"/>
          <w:color w:val="auto"/>
          <w:sz w:val="32"/>
          <w:szCs w:val="32"/>
          <w:highlight w:val="none"/>
          <w:u w:val="single"/>
          <w:lang w:val="en-US" w:eastAsia="zh-CN"/>
        </w:rPr>
      </w:pPr>
    </w:p>
    <w:p w14:paraId="35D91BB1">
      <w:pPr>
        <w:keepNext w:val="0"/>
        <w:keepLines w:val="0"/>
        <w:pageBreakBefore w:val="0"/>
        <w:widowControl w:val="0"/>
        <w:kinsoku/>
        <w:wordWrap/>
        <w:overflowPunct/>
        <w:topLinePunct w:val="0"/>
        <w:autoSpaceDE/>
        <w:autoSpaceDN/>
        <w:bidi w:val="0"/>
        <w:adjustRightInd/>
        <w:snapToGrid w:val="0"/>
        <w:spacing w:line="520" w:lineRule="exact"/>
        <w:ind w:firstLine="2560" w:firstLineChars="800"/>
        <w:textAlignment w:val="auto"/>
        <w:rPr>
          <w:rFonts w:hint="default" w:ascii="黑体" w:hAnsi="黑体" w:eastAsia="黑体" w:cs="黑体"/>
          <w:b w:val="0"/>
          <w:bCs w:val="0"/>
          <w:color w:val="auto"/>
          <w:sz w:val="32"/>
          <w:szCs w:val="32"/>
          <w:highlight w:val="none"/>
          <w:u w:val="none"/>
          <w:lang w:val="en-US" w:eastAsia="zh-CN"/>
        </w:rPr>
      </w:pPr>
      <w:r>
        <w:rPr>
          <w:rFonts w:hint="eastAsia" w:ascii="黑体" w:hAnsi="黑体" w:eastAsia="黑体" w:cs="黑体"/>
          <w:b w:val="0"/>
          <w:bCs w:val="0"/>
          <w:color w:val="auto"/>
          <w:sz w:val="32"/>
          <w:szCs w:val="32"/>
          <w:highlight w:val="none"/>
          <w:u w:val="none"/>
          <w:lang w:val="en-US" w:eastAsia="zh-CN"/>
        </w:rPr>
        <w:t>报告日期：2026年6月25日</w:t>
      </w:r>
    </w:p>
    <w:p w14:paraId="5BF93EE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F16B62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（一）单位基本情况。</w:t>
      </w:r>
    </w:p>
    <w:p w14:paraId="2F2DBFD4">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1.</w:t>
      </w:r>
      <w:r>
        <w:rPr>
          <w:rFonts w:hint="default" w:ascii="Times New Roman Regular" w:hAnsi="Times New Roman Regular" w:eastAsia="仿宋_GB2312" w:cs="Times New Roman Regular"/>
          <w:b/>
          <w:bCs/>
          <w:color w:val="auto"/>
          <w:sz w:val="32"/>
          <w:szCs w:val="32"/>
          <w:highlight w:val="none"/>
          <w:lang w:val="en-US" w:eastAsia="zh-CN"/>
        </w:rPr>
        <w:t>机构设置情况</w:t>
      </w:r>
    </w:p>
    <w:p w14:paraId="07E9A64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楷体_GB2312" w:eastAsia="楷体_GB2312" w:cs="楷体_GB2312"/>
          <w:i w:val="0"/>
          <w:iCs w:val="0"/>
          <w:caps w:val="0"/>
          <w:color w:val="000000"/>
          <w:spacing w:val="0"/>
          <w:sz w:val="32"/>
          <w:szCs w:val="32"/>
          <w:shd w:val="clear" w:fill="FFFFFF"/>
        </w:rPr>
      </w:pPr>
      <w:r>
        <w:rPr>
          <w:rFonts w:hint="eastAsia" w:ascii="仿宋" w:hAnsi="仿宋" w:eastAsia="仿宋" w:cs="仿宋"/>
          <w:color w:val="000000"/>
          <w:sz w:val="32"/>
          <w:szCs w:val="32"/>
        </w:rPr>
        <w:t>怀化市市政设施维护</w:t>
      </w:r>
      <w:r>
        <w:rPr>
          <w:rFonts w:hint="eastAsia" w:ascii="仿宋" w:hAnsi="仿宋" w:eastAsia="仿宋" w:cs="仿宋"/>
          <w:color w:val="000000"/>
          <w:sz w:val="32"/>
          <w:szCs w:val="32"/>
          <w:lang w:eastAsia="zh-CN"/>
        </w:rPr>
        <w:t>中心</w:t>
      </w:r>
      <w:r>
        <w:rPr>
          <w:rFonts w:hint="eastAsia" w:ascii="仿宋" w:hAnsi="仿宋" w:eastAsia="仿宋" w:cs="仿宋"/>
          <w:color w:val="000000"/>
          <w:sz w:val="32"/>
          <w:szCs w:val="32"/>
        </w:rPr>
        <w:t>作为</w:t>
      </w:r>
      <w:r>
        <w:rPr>
          <w:rFonts w:hint="eastAsia" w:ascii="仿宋" w:hAnsi="仿宋" w:eastAsia="仿宋" w:cs="仿宋"/>
          <w:color w:val="000000"/>
          <w:sz w:val="32"/>
          <w:szCs w:val="32"/>
          <w:lang w:eastAsia="zh-CN"/>
        </w:rPr>
        <w:t>怀化市城市管理局的</w:t>
      </w:r>
      <w:r>
        <w:rPr>
          <w:rFonts w:hint="eastAsia" w:ascii="仿宋" w:hAnsi="仿宋" w:eastAsia="仿宋" w:cs="仿宋"/>
          <w:color w:val="000000"/>
          <w:sz w:val="32"/>
          <w:szCs w:val="32"/>
        </w:rPr>
        <w:t>二级部门预算单位，内设</w:t>
      </w:r>
      <w:r>
        <w:rPr>
          <w:rFonts w:hint="eastAsia" w:ascii="仿宋" w:hAnsi="仿宋" w:eastAsia="仿宋" w:cs="仿宋"/>
          <w:color w:val="000000"/>
          <w:sz w:val="32"/>
          <w:szCs w:val="32"/>
          <w:lang w:eastAsia="zh-CN"/>
        </w:rPr>
        <w:t>科</w:t>
      </w:r>
      <w:r>
        <w:rPr>
          <w:rFonts w:hint="eastAsia" w:ascii="仿宋" w:hAnsi="仿宋" w:eastAsia="仿宋" w:cs="仿宋"/>
          <w:color w:val="000000"/>
          <w:sz w:val="32"/>
          <w:szCs w:val="32"/>
          <w:lang w:val="en-US" w:eastAsia="zh-CN"/>
        </w:rPr>
        <w:t>室为12</w:t>
      </w:r>
      <w:r>
        <w:rPr>
          <w:rFonts w:hint="eastAsia" w:ascii="仿宋" w:hAnsi="仿宋" w:eastAsia="仿宋" w:cs="仿宋"/>
          <w:color w:val="000000"/>
          <w:sz w:val="32"/>
          <w:szCs w:val="32"/>
        </w:rPr>
        <w:t>个（副科级）：办公室、</w:t>
      </w:r>
      <w:r>
        <w:rPr>
          <w:rFonts w:hint="eastAsia" w:ascii="仿宋" w:hAnsi="仿宋" w:eastAsia="仿宋" w:cs="仿宋"/>
          <w:color w:val="000000"/>
          <w:sz w:val="32"/>
          <w:szCs w:val="32"/>
          <w:lang w:eastAsia="zh-CN"/>
        </w:rPr>
        <w:t>人事教育部</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计划财务部、市政工程服务部、市政应急服务部、市政科技推广服务部、市政管线服务所、城市车行道服务所、城市人行道服务所、城市照明</w:t>
      </w:r>
      <w:r>
        <w:rPr>
          <w:rFonts w:hint="eastAsia" w:ascii="仿宋" w:hAnsi="仿宋" w:eastAsia="仿宋" w:cs="仿宋"/>
          <w:color w:val="000000"/>
          <w:sz w:val="32"/>
          <w:szCs w:val="32"/>
          <w:lang w:val="en-US" w:eastAsia="zh-CN"/>
        </w:rPr>
        <w:t>服务所、城市桥梁服务所、城市排水服务所。</w:t>
      </w:r>
    </w:p>
    <w:p w14:paraId="5599E3B3">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w:t>
      </w:r>
      <w:r>
        <w:rPr>
          <w:rFonts w:hint="default" w:ascii="Times New Roman Regular" w:hAnsi="Times New Roman Regular" w:eastAsia="仿宋_GB2312" w:cs="Times New Roman Regular"/>
          <w:b/>
          <w:bCs/>
          <w:color w:val="auto"/>
          <w:sz w:val="32"/>
          <w:szCs w:val="32"/>
          <w:highlight w:val="none"/>
          <w:lang w:val="en-US" w:eastAsia="zh-CN"/>
        </w:rPr>
        <w:t>人员编制情况</w:t>
      </w:r>
    </w:p>
    <w:p w14:paraId="02F421B9">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楷体_GB2312" w:eastAsia="楷体_GB2312" w:cs="楷体_GB2312"/>
          <w:i w:val="0"/>
          <w:iCs w:val="0"/>
          <w:caps w:val="0"/>
          <w:color w:val="000000"/>
          <w:spacing w:val="0"/>
          <w:sz w:val="32"/>
          <w:szCs w:val="32"/>
          <w:shd w:val="clear" w:fill="FFFFFF"/>
        </w:rPr>
      </w:pPr>
      <w:r>
        <w:rPr>
          <w:rFonts w:hint="eastAsia" w:ascii="仿宋" w:hAnsi="仿宋" w:eastAsia="仿宋" w:cs="Times New Roman"/>
          <w:spacing w:val="-2"/>
          <w:sz w:val="32"/>
          <w:szCs w:val="32"/>
          <w:lang w:val="en-US" w:eastAsia="zh-CN"/>
        </w:rPr>
        <w:t>截止2025年12月31日，我中心</w:t>
      </w:r>
      <w:r>
        <w:rPr>
          <w:rFonts w:hint="eastAsia" w:ascii="仿宋" w:hAnsi="仿宋" w:eastAsia="仿宋" w:cs="Times New Roman"/>
          <w:spacing w:val="-2"/>
          <w:sz w:val="32"/>
          <w:szCs w:val="32"/>
        </w:rPr>
        <w:t>核定</w:t>
      </w:r>
      <w:r>
        <w:rPr>
          <w:rFonts w:hint="eastAsia" w:ascii="仿宋" w:hAnsi="仿宋" w:eastAsia="仿宋" w:cs="Times New Roman"/>
          <w:spacing w:val="-2"/>
          <w:sz w:val="32"/>
          <w:szCs w:val="32"/>
          <w:lang w:val="en-US" w:eastAsia="zh-CN"/>
        </w:rPr>
        <w:t>差额</w:t>
      </w:r>
      <w:r>
        <w:rPr>
          <w:rFonts w:hint="eastAsia" w:ascii="仿宋" w:hAnsi="仿宋" w:eastAsia="仿宋" w:cs="Times New Roman"/>
          <w:spacing w:val="-2"/>
          <w:sz w:val="32"/>
          <w:szCs w:val="32"/>
        </w:rPr>
        <w:t>拨款事业单位编制</w:t>
      </w:r>
      <w:r>
        <w:rPr>
          <w:rFonts w:hint="eastAsia" w:ascii="仿宋" w:hAnsi="仿宋" w:eastAsia="仿宋" w:cs="Times New Roman"/>
          <w:spacing w:val="-2"/>
          <w:sz w:val="32"/>
          <w:szCs w:val="32"/>
          <w:lang w:val="en-US" w:eastAsia="zh-CN"/>
        </w:rPr>
        <w:t>160</w:t>
      </w:r>
      <w:r>
        <w:rPr>
          <w:rFonts w:hint="eastAsia" w:ascii="仿宋" w:hAnsi="仿宋" w:eastAsia="仿宋" w:cs="Times New Roman"/>
          <w:spacing w:val="-2"/>
          <w:sz w:val="32"/>
          <w:szCs w:val="32"/>
          <w:highlight w:val="none"/>
        </w:rPr>
        <w:t>名</w:t>
      </w:r>
      <w:r>
        <w:rPr>
          <w:rFonts w:hint="eastAsia" w:ascii="仿宋" w:hAnsi="仿宋" w:eastAsia="仿宋" w:cs="Times New Roman"/>
          <w:spacing w:val="-2"/>
          <w:sz w:val="32"/>
          <w:szCs w:val="32"/>
          <w:highlight w:val="none"/>
          <w:lang w:eastAsia="zh-CN"/>
        </w:rPr>
        <w:t>，</w:t>
      </w:r>
      <w:r>
        <w:rPr>
          <w:rFonts w:hint="eastAsia" w:ascii="仿宋" w:hAnsi="仿宋" w:eastAsia="仿宋" w:cs="Times New Roman"/>
          <w:color w:val="auto"/>
          <w:spacing w:val="-2"/>
          <w:sz w:val="32"/>
          <w:szCs w:val="32"/>
          <w:highlight w:val="none"/>
          <w:lang w:val="en-US" w:eastAsia="zh-CN"/>
        </w:rPr>
        <w:t>实有在职人员149人。</w:t>
      </w:r>
    </w:p>
    <w:p w14:paraId="149B39D5">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3.</w:t>
      </w:r>
      <w:r>
        <w:rPr>
          <w:rFonts w:hint="default" w:ascii="Times New Roman Regular" w:hAnsi="Times New Roman Regular" w:eastAsia="仿宋_GB2312" w:cs="Times New Roman Regular"/>
          <w:b/>
          <w:bCs/>
          <w:color w:val="auto"/>
          <w:sz w:val="32"/>
          <w:szCs w:val="32"/>
          <w:highlight w:val="none"/>
          <w:lang w:val="en-US" w:eastAsia="zh-CN"/>
        </w:rPr>
        <w:t>主要职能职责</w:t>
      </w:r>
    </w:p>
    <w:p w14:paraId="50F5703F">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承担全市市政设施运行服务研究工作，指导城市市政设施服务重大科技项目攻关、成果推广和新技术新设备新材料的引进、吸收、应用等工作，为全市市政设施运行等相关工作提供技术支持和服务保障。</w:t>
      </w:r>
    </w:p>
    <w:p w14:paraId="4CEB30F7">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承担怀化市主城区主次干道的城市道路、城市照明、城市排水、城市桥梁（含地下人行通道、涵洞）、综合管廊管线、智慧城管市政监控信息平台等市政设施运行服务与应急处置工作；协助做好市本级城市道路挖掘修复费收取的相关服务工作；承担管辖范围内城市排水排涝、抗冰除雪等工作。</w:t>
      </w:r>
    </w:p>
    <w:p w14:paraId="770B80A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参与拟订市本级市政设施服务行业作业规范和标准、中长期规划和年度计划相关工作；为全市市政设施维护工作开展和养护作业社会化、市场化服务提供技术指导。</w:t>
      </w:r>
    </w:p>
    <w:p w14:paraId="58862FB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协助做好市本级市政工程设计方案评审、建设、交工和竣工验收等相关服务工作；协助做好中心城区城市市政基础设施建设项目的可行性研究，方案审查和工程竣工备案等相关服务工作；承担全市市政设施行业技术和信息化指导、业务培训、协调服务等相关工作。</w:t>
      </w:r>
    </w:p>
    <w:p w14:paraId="75FA04A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承担智慧城管市政监控信息平台的受理分解和跟踪服务工作。</w:t>
      </w:r>
    </w:p>
    <w:p w14:paraId="4A6F1EBF">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仿宋" w:hAnsi="仿宋" w:eastAsia="仿宋" w:cs="仿宋"/>
          <w:color w:val="000000"/>
          <w:sz w:val="32"/>
          <w:szCs w:val="32"/>
        </w:rPr>
      </w:pP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完成市城市管理和综合执法局交办的其他任务。</w:t>
      </w:r>
    </w:p>
    <w:p w14:paraId="68751060">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4.</w:t>
      </w:r>
      <w:r>
        <w:rPr>
          <w:rFonts w:hint="default" w:ascii="Times New Roman Regular" w:hAnsi="Times New Roman Regular" w:eastAsia="仿宋_GB2312" w:cs="Times New Roman Regular"/>
          <w:b/>
          <w:bCs/>
          <w:color w:val="auto"/>
          <w:sz w:val="32"/>
          <w:szCs w:val="32"/>
          <w:highlight w:val="none"/>
          <w:lang w:val="en-US" w:eastAsia="zh-CN"/>
        </w:rPr>
        <w:t>绩效目标设定情况</w:t>
      </w:r>
    </w:p>
    <w:p w14:paraId="79A81E6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2025年我中心设定的总体绩效目标：保障怀化市市政设施研究、科技成果应用等；保障城区内主次干道市政设施运行和应急处置；智慧城管市政监控信息平台的受理分解和跟踪服务。</w:t>
      </w:r>
    </w:p>
    <w:p w14:paraId="42FF960B">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（二）部门（单位）整体支出规模、使用方向和主要内容、涉及范围等。</w:t>
      </w:r>
    </w:p>
    <w:p w14:paraId="16D4E12F">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1.2025年部门预算情况</w:t>
      </w:r>
    </w:p>
    <w:p w14:paraId="696D2F43">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32" w:firstLineChars="200"/>
        <w:jc w:val="both"/>
        <w:textAlignment w:val="auto"/>
        <w:rPr>
          <w:rFonts w:hint="eastAsia" w:ascii="仿宋" w:hAnsi="仿宋" w:eastAsia="仿宋" w:cs="Times New Roman"/>
          <w:spacing w:val="-2"/>
          <w:sz w:val="32"/>
          <w:szCs w:val="32"/>
        </w:rPr>
      </w:pPr>
      <w:r>
        <w:rPr>
          <w:rFonts w:hint="eastAsia" w:ascii="仿宋" w:hAnsi="仿宋" w:eastAsia="仿宋" w:cs="Times New Roman"/>
          <w:spacing w:val="-2"/>
          <w:sz w:val="32"/>
          <w:szCs w:val="32"/>
        </w:rPr>
        <w:t>依据怀财预〔2025〕</w:t>
      </w:r>
      <w:r>
        <w:rPr>
          <w:rFonts w:hint="eastAsia" w:ascii="仿宋" w:hAnsi="仿宋" w:eastAsia="仿宋" w:cs="Times New Roman"/>
          <w:spacing w:val="-2"/>
          <w:sz w:val="32"/>
          <w:szCs w:val="32"/>
          <w:lang w:val="en-US" w:eastAsia="zh-CN"/>
        </w:rPr>
        <w:t>4</w:t>
      </w:r>
      <w:r>
        <w:rPr>
          <w:rFonts w:hint="eastAsia" w:ascii="仿宋" w:hAnsi="仿宋" w:eastAsia="仿宋" w:cs="Times New Roman"/>
          <w:spacing w:val="-2"/>
          <w:sz w:val="32"/>
          <w:szCs w:val="32"/>
        </w:rPr>
        <w:t>号预算批复，我中心202</w:t>
      </w:r>
      <w:r>
        <w:rPr>
          <w:rFonts w:hint="eastAsia" w:ascii="仿宋" w:hAnsi="仿宋" w:eastAsia="仿宋" w:cs="Times New Roman"/>
          <w:spacing w:val="-2"/>
          <w:sz w:val="32"/>
          <w:szCs w:val="32"/>
          <w:lang w:val="en-US" w:eastAsia="zh-CN"/>
        </w:rPr>
        <w:t>5</w:t>
      </w:r>
      <w:r>
        <w:rPr>
          <w:rFonts w:hint="eastAsia" w:ascii="仿宋" w:hAnsi="仿宋" w:eastAsia="仿宋" w:cs="Times New Roman"/>
          <w:spacing w:val="-2"/>
          <w:sz w:val="32"/>
          <w:szCs w:val="32"/>
        </w:rPr>
        <w:t>年年初支出总预算</w:t>
      </w:r>
      <w:r>
        <w:rPr>
          <w:rFonts w:hint="eastAsia" w:ascii="仿宋" w:hAnsi="仿宋" w:eastAsia="仿宋" w:cs="Times New Roman"/>
          <w:spacing w:val="-2"/>
          <w:sz w:val="32"/>
          <w:szCs w:val="32"/>
          <w:lang w:val="en-US" w:eastAsia="zh-CN"/>
        </w:rPr>
        <w:t>4,810.23</w:t>
      </w:r>
      <w:r>
        <w:rPr>
          <w:rFonts w:hint="eastAsia" w:ascii="仿宋" w:hAnsi="仿宋" w:eastAsia="仿宋" w:cs="Times New Roman"/>
          <w:spacing w:val="-2"/>
          <w:sz w:val="32"/>
          <w:szCs w:val="32"/>
        </w:rPr>
        <w:t>万元，其中：基本支出</w:t>
      </w:r>
      <w:r>
        <w:rPr>
          <w:rFonts w:hint="eastAsia" w:ascii="仿宋" w:hAnsi="仿宋" w:eastAsia="仿宋" w:cs="Times New Roman"/>
          <w:spacing w:val="-2"/>
          <w:sz w:val="32"/>
          <w:szCs w:val="32"/>
          <w:lang w:val="en-US" w:eastAsia="zh-CN"/>
        </w:rPr>
        <w:t>1,608.98</w:t>
      </w:r>
      <w:r>
        <w:rPr>
          <w:rFonts w:hint="eastAsia" w:ascii="仿宋" w:hAnsi="仿宋" w:eastAsia="仿宋" w:cs="Times New Roman"/>
          <w:spacing w:val="-2"/>
          <w:sz w:val="32"/>
          <w:szCs w:val="32"/>
        </w:rPr>
        <w:t>万元（</w:t>
      </w:r>
      <w:r>
        <w:rPr>
          <w:rFonts w:hint="eastAsia" w:ascii="仿宋" w:hAnsi="仿宋" w:eastAsia="仿宋" w:cs="Times New Roman"/>
          <w:spacing w:val="-2"/>
          <w:sz w:val="32"/>
          <w:szCs w:val="32"/>
          <w:lang w:val="en-US" w:eastAsia="zh-CN"/>
        </w:rPr>
        <w:t>人员经费1,494.98</w:t>
      </w:r>
      <w:r>
        <w:rPr>
          <w:rFonts w:hint="eastAsia" w:ascii="仿宋" w:hAnsi="仿宋" w:eastAsia="仿宋" w:cs="Times New Roman"/>
          <w:spacing w:val="-2"/>
          <w:sz w:val="32"/>
          <w:szCs w:val="32"/>
        </w:rPr>
        <w:t>万元，</w:t>
      </w:r>
      <w:r>
        <w:rPr>
          <w:rFonts w:hint="eastAsia" w:ascii="仿宋" w:hAnsi="仿宋" w:eastAsia="仿宋" w:cs="Times New Roman"/>
          <w:spacing w:val="-2"/>
          <w:sz w:val="32"/>
          <w:szCs w:val="32"/>
          <w:lang w:val="en-US" w:eastAsia="zh-CN"/>
        </w:rPr>
        <w:t>公用经费114.00</w:t>
      </w:r>
      <w:r>
        <w:rPr>
          <w:rFonts w:hint="eastAsia" w:ascii="仿宋" w:hAnsi="仿宋" w:eastAsia="仿宋" w:cs="Times New Roman"/>
          <w:spacing w:val="-2"/>
          <w:sz w:val="32"/>
          <w:szCs w:val="32"/>
        </w:rPr>
        <w:t>万元</w:t>
      </w:r>
      <w:r>
        <w:rPr>
          <w:rFonts w:hint="eastAsia" w:ascii="仿宋" w:hAnsi="仿宋" w:eastAsia="仿宋" w:cs="Times New Roman"/>
          <w:spacing w:val="-2"/>
          <w:sz w:val="32"/>
          <w:szCs w:val="32"/>
          <w:lang w:eastAsia="zh-CN"/>
        </w:rPr>
        <w:t>）</w:t>
      </w:r>
      <w:r>
        <w:rPr>
          <w:rFonts w:hint="eastAsia" w:ascii="仿宋" w:hAnsi="仿宋" w:eastAsia="仿宋" w:cs="Times New Roman"/>
          <w:spacing w:val="-2"/>
          <w:sz w:val="32"/>
          <w:szCs w:val="32"/>
        </w:rPr>
        <w:t>；项目支出</w:t>
      </w:r>
      <w:r>
        <w:rPr>
          <w:rFonts w:hint="eastAsia" w:ascii="仿宋" w:hAnsi="仿宋" w:eastAsia="仿宋" w:cs="Times New Roman"/>
          <w:spacing w:val="-2"/>
          <w:sz w:val="32"/>
          <w:szCs w:val="32"/>
          <w:lang w:val="en-US" w:eastAsia="zh-CN"/>
        </w:rPr>
        <w:t>3,201.25</w:t>
      </w:r>
      <w:r>
        <w:rPr>
          <w:rFonts w:hint="eastAsia" w:ascii="仿宋" w:hAnsi="仿宋" w:eastAsia="仿宋" w:cs="Times New Roman"/>
          <w:spacing w:val="-2"/>
          <w:sz w:val="32"/>
          <w:szCs w:val="32"/>
        </w:rPr>
        <w:t>万元。</w:t>
      </w:r>
    </w:p>
    <w:p w14:paraId="72AEFA64">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32" w:firstLineChars="200"/>
        <w:jc w:val="both"/>
        <w:textAlignment w:val="auto"/>
        <w:rPr>
          <w:rFonts w:hint="default" w:ascii="仿宋" w:hAnsi="仿宋" w:eastAsia="仿宋" w:cs="Times New Roman"/>
          <w:spacing w:val="-2"/>
          <w:sz w:val="32"/>
          <w:szCs w:val="32"/>
          <w:highlight w:val="yellow"/>
          <w:lang w:val="en-US" w:eastAsia="zh-CN"/>
        </w:rPr>
      </w:pPr>
      <w:r>
        <w:rPr>
          <w:rFonts w:hint="eastAsia" w:ascii="仿宋" w:hAnsi="仿宋" w:eastAsia="仿宋" w:cs="Times New Roman"/>
          <w:color w:val="auto"/>
          <w:spacing w:val="-2"/>
          <w:sz w:val="32"/>
          <w:szCs w:val="32"/>
          <w:highlight w:val="none"/>
        </w:rPr>
        <w:t>202</w:t>
      </w:r>
      <w:r>
        <w:rPr>
          <w:rFonts w:hint="eastAsia" w:ascii="仿宋" w:hAnsi="仿宋" w:eastAsia="仿宋" w:cs="Times New Roman"/>
          <w:color w:val="auto"/>
          <w:spacing w:val="-2"/>
          <w:sz w:val="32"/>
          <w:szCs w:val="32"/>
          <w:highlight w:val="none"/>
          <w:lang w:val="en-US" w:eastAsia="zh-CN"/>
        </w:rPr>
        <w:t>5</w:t>
      </w:r>
      <w:r>
        <w:rPr>
          <w:rFonts w:hint="eastAsia" w:ascii="仿宋" w:hAnsi="仿宋" w:eastAsia="仿宋" w:cs="Times New Roman"/>
          <w:color w:val="auto"/>
          <w:spacing w:val="-2"/>
          <w:sz w:val="32"/>
          <w:szCs w:val="32"/>
          <w:highlight w:val="none"/>
        </w:rPr>
        <w:t>年支出预算调整预算数</w:t>
      </w:r>
      <w:r>
        <w:rPr>
          <w:rFonts w:hint="eastAsia" w:ascii="仿宋" w:hAnsi="仿宋" w:eastAsia="仿宋" w:cs="Times New Roman"/>
          <w:color w:val="auto"/>
          <w:spacing w:val="-2"/>
          <w:sz w:val="32"/>
          <w:szCs w:val="32"/>
          <w:highlight w:val="none"/>
          <w:lang w:val="en-US" w:eastAsia="zh-CN"/>
        </w:rPr>
        <w:t>559.82</w:t>
      </w:r>
      <w:r>
        <w:rPr>
          <w:rFonts w:hint="eastAsia" w:ascii="仿宋" w:hAnsi="仿宋" w:eastAsia="仿宋" w:cs="Times New Roman"/>
          <w:color w:val="auto"/>
          <w:spacing w:val="-2"/>
          <w:sz w:val="32"/>
          <w:szCs w:val="32"/>
          <w:highlight w:val="none"/>
        </w:rPr>
        <w:t>万元，与年初预算安排的差额主要是</w:t>
      </w:r>
      <w:r>
        <w:rPr>
          <w:rFonts w:hint="eastAsia" w:ascii="仿宋" w:hAnsi="仿宋" w:eastAsia="仿宋" w:cs="Times New Roman"/>
          <w:color w:val="auto"/>
          <w:spacing w:val="-2"/>
          <w:sz w:val="32"/>
          <w:szCs w:val="32"/>
          <w:highlight w:val="none"/>
          <w:lang w:val="en-US" w:eastAsia="zh-CN"/>
        </w:rPr>
        <w:t>基本支出年中预算增加154.41</w:t>
      </w:r>
      <w:r>
        <w:rPr>
          <w:rFonts w:hint="eastAsia" w:ascii="仿宋" w:hAnsi="仿宋" w:eastAsia="仿宋" w:cs="Times New Roman"/>
          <w:color w:val="auto"/>
          <w:spacing w:val="-2"/>
          <w:sz w:val="32"/>
          <w:szCs w:val="32"/>
          <w:highlight w:val="none"/>
        </w:rPr>
        <w:t>万元、</w:t>
      </w:r>
      <w:r>
        <w:rPr>
          <w:rFonts w:hint="eastAsia" w:ascii="仿宋" w:hAnsi="仿宋" w:eastAsia="仿宋" w:cs="Times New Roman"/>
          <w:color w:val="auto"/>
          <w:spacing w:val="-2"/>
          <w:sz w:val="32"/>
          <w:szCs w:val="32"/>
          <w:highlight w:val="none"/>
          <w:lang w:val="en-US" w:eastAsia="zh-CN"/>
        </w:rPr>
        <w:t>项目支出年中预算增加405.41</w:t>
      </w:r>
      <w:r>
        <w:rPr>
          <w:rFonts w:hint="eastAsia" w:ascii="仿宋" w:hAnsi="仿宋" w:eastAsia="仿宋" w:cs="Times New Roman"/>
          <w:color w:val="auto"/>
          <w:spacing w:val="-2"/>
          <w:sz w:val="32"/>
          <w:szCs w:val="32"/>
          <w:highlight w:val="none"/>
        </w:rPr>
        <w:t>万元。</w:t>
      </w:r>
    </w:p>
    <w:p w14:paraId="5BC31704">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2.2025年部门决算情况</w:t>
      </w:r>
    </w:p>
    <w:p w14:paraId="2E775395">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spacing w:val="-2"/>
          <w:sz w:val="32"/>
          <w:szCs w:val="32"/>
        </w:rPr>
        <w:t>202</w:t>
      </w:r>
      <w:r>
        <w:rPr>
          <w:rFonts w:hint="eastAsia" w:ascii="仿宋" w:hAnsi="仿宋" w:eastAsia="仿宋" w:cs="Times New Roman"/>
          <w:spacing w:val="-2"/>
          <w:sz w:val="32"/>
          <w:szCs w:val="32"/>
          <w:lang w:val="en-US" w:eastAsia="zh-CN"/>
        </w:rPr>
        <w:t>5</w:t>
      </w:r>
      <w:r>
        <w:rPr>
          <w:rFonts w:hint="eastAsia" w:ascii="仿宋" w:hAnsi="仿宋" w:eastAsia="仿宋" w:cs="Times New Roman"/>
          <w:spacing w:val="-2"/>
          <w:sz w:val="32"/>
          <w:szCs w:val="32"/>
        </w:rPr>
        <w:t>年度部门整体决算总支出</w:t>
      </w:r>
      <w:r>
        <w:rPr>
          <w:rFonts w:hint="eastAsia" w:ascii="仿宋" w:hAnsi="仿宋" w:eastAsia="仿宋" w:cs="Times New Roman"/>
          <w:spacing w:val="-2"/>
          <w:sz w:val="32"/>
          <w:szCs w:val="32"/>
          <w:lang w:val="en-US" w:eastAsia="zh-CN"/>
        </w:rPr>
        <w:t>3,954.89</w:t>
      </w:r>
      <w:r>
        <w:rPr>
          <w:rFonts w:hint="eastAsia" w:ascii="仿宋" w:hAnsi="仿宋" w:eastAsia="仿宋" w:cs="Times New Roman"/>
          <w:spacing w:val="-2"/>
          <w:sz w:val="32"/>
          <w:szCs w:val="32"/>
        </w:rPr>
        <w:t>万元，其中：基本支出1</w:t>
      </w:r>
      <w:r>
        <w:rPr>
          <w:rFonts w:hint="eastAsia" w:ascii="仿宋" w:hAnsi="仿宋" w:eastAsia="仿宋" w:cs="Times New Roman"/>
          <w:spacing w:val="-2"/>
          <w:sz w:val="32"/>
          <w:szCs w:val="32"/>
          <w:lang w:val="en-US" w:eastAsia="zh-CN"/>
        </w:rPr>
        <w:t>,663.37</w:t>
      </w:r>
      <w:r>
        <w:rPr>
          <w:rFonts w:hint="eastAsia" w:ascii="仿宋" w:hAnsi="仿宋" w:eastAsia="仿宋" w:cs="Times New Roman"/>
          <w:spacing w:val="-2"/>
          <w:sz w:val="32"/>
          <w:szCs w:val="32"/>
        </w:rPr>
        <w:t>万元，占总支出的</w:t>
      </w:r>
      <w:r>
        <w:rPr>
          <w:rFonts w:hint="eastAsia" w:ascii="仿宋" w:hAnsi="仿宋" w:eastAsia="仿宋" w:cs="Times New Roman"/>
          <w:spacing w:val="-2"/>
          <w:sz w:val="32"/>
          <w:szCs w:val="32"/>
          <w:lang w:val="en-US" w:eastAsia="zh-CN"/>
        </w:rPr>
        <w:t>42.06</w:t>
      </w:r>
      <w:r>
        <w:rPr>
          <w:rFonts w:hint="eastAsia" w:ascii="仿宋" w:hAnsi="仿宋" w:eastAsia="仿宋" w:cs="Times New Roman"/>
          <w:spacing w:val="-2"/>
          <w:sz w:val="32"/>
          <w:szCs w:val="32"/>
        </w:rPr>
        <w:t>%，使用内容为人员经费和日常公用经费；项目支出</w:t>
      </w:r>
      <w:r>
        <w:rPr>
          <w:rFonts w:hint="eastAsia" w:ascii="仿宋" w:hAnsi="仿宋" w:eastAsia="仿宋" w:cs="Times New Roman"/>
          <w:spacing w:val="-2"/>
          <w:sz w:val="32"/>
          <w:szCs w:val="32"/>
          <w:lang w:val="en-US" w:eastAsia="zh-CN"/>
        </w:rPr>
        <w:t>2,291.52</w:t>
      </w:r>
      <w:r>
        <w:rPr>
          <w:rFonts w:hint="eastAsia" w:ascii="仿宋" w:hAnsi="仿宋" w:eastAsia="仿宋" w:cs="Times New Roman"/>
          <w:spacing w:val="-2"/>
          <w:sz w:val="32"/>
          <w:szCs w:val="32"/>
        </w:rPr>
        <w:t>万元，占总支出的</w:t>
      </w:r>
      <w:r>
        <w:rPr>
          <w:rFonts w:hint="eastAsia" w:ascii="仿宋" w:hAnsi="仿宋" w:eastAsia="仿宋" w:cs="Times New Roman"/>
          <w:spacing w:val="-2"/>
          <w:sz w:val="32"/>
          <w:szCs w:val="32"/>
          <w:lang w:val="en-US" w:eastAsia="zh-CN"/>
        </w:rPr>
        <w:t>57.94</w:t>
      </w:r>
      <w:r>
        <w:rPr>
          <w:rFonts w:hint="eastAsia" w:ascii="仿宋" w:hAnsi="仿宋" w:eastAsia="仿宋" w:cs="Times New Roman"/>
          <w:spacing w:val="-2"/>
          <w:sz w:val="32"/>
          <w:szCs w:val="32"/>
        </w:rPr>
        <w:t>%，主要用</w:t>
      </w:r>
      <w:r>
        <w:rPr>
          <w:rFonts w:hint="eastAsia" w:ascii="仿宋" w:hAnsi="仿宋" w:eastAsia="仿宋" w:cs="Times New Roman"/>
          <w:color w:val="auto"/>
          <w:spacing w:val="-2"/>
          <w:sz w:val="32"/>
          <w:szCs w:val="32"/>
        </w:rPr>
        <w:t>于市政设施日常维护、</w:t>
      </w:r>
      <w:r>
        <w:rPr>
          <w:rFonts w:hint="default" w:ascii="仿宋" w:hAnsi="仿宋" w:eastAsia="仿宋" w:cs="仿宋"/>
          <w:i w:val="0"/>
          <w:iCs w:val="0"/>
          <w:caps w:val="0"/>
          <w:color w:val="auto"/>
          <w:spacing w:val="0"/>
          <w:kern w:val="0"/>
          <w:sz w:val="32"/>
          <w:szCs w:val="32"/>
          <w:highlight w:val="none"/>
          <w:shd w:val="clear" w:fill="FFFFFF"/>
          <w:lang w:val="en-US" w:eastAsia="zh-CN" w:bidi="ar"/>
        </w:rPr>
        <w:t>桥梁检测费用</w:t>
      </w:r>
      <w:r>
        <w:rPr>
          <w:rFonts w:hint="eastAsia" w:ascii="仿宋" w:hAnsi="仿宋" w:eastAsia="仿宋" w:cs="Times New Roman"/>
          <w:spacing w:val="-2"/>
          <w:sz w:val="32"/>
          <w:szCs w:val="32"/>
          <w:lang w:eastAsia="zh-CN"/>
        </w:rPr>
        <w:t>、市政管理专项经费、拆除重建团结二桥和改造犀牛塘建设</w:t>
      </w:r>
      <w:r>
        <w:rPr>
          <w:rFonts w:hint="eastAsia" w:ascii="仿宋" w:hAnsi="仿宋" w:eastAsia="仿宋" w:cs="Times New Roman"/>
          <w:spacing w:val="-2"/>
          <w:sz w:val="32"/>
          <w:szCs w:val="32"/>
          <w:lang w:val="en-US" w:eastAsia="zh-CN"/>
        </w:rPr>
        <w:t>等</w:t>
      </w:r>
      <w:r>
        <w:rPr>
          <w:rFonts w:hint="eastAsia" w:ascii="仿宋" w:hAnsi="仿宋" w:eastAsia="仿宋" w:cs="Times New Roman"/>
          <w:spacing w:val="-2"/>
          <w:sz w:val="32"/>
          <w:szCs w:val="32"/>
        </w:rPr>
        <w:t>。</w:t>
      </w:r>
    </w:p>
    <w:p w14:paraId="1F950FF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二、一般公共预算支出情况</w:t>
      </w:r>
    </w:p>
    <w:p w14:paraId="2693DD16">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仿宋" w:hAnsi="仿宋" w:eastAsia="仿宋" w:cs="仿宋"/>
          <w:b/>
          <w:bCs/>
          <w:color w:val="auto"/>
          <w:spacing w:val="-2"/>
          <w:kern w:val="2"/>
          <w:sz w:val="32"/>
          <w:szCs w:val="21"/>
          <w:lang w:val="en-US" w:eastAsia="zh-CN" w:bidi="ar-SA"/>
        </w:rPr>
      </w:pPr>
      <w:r>
        <w:rPr>
          <w:rFonts w:hint="default" w:ascii="Times New Roman Regular" w:hAnsi="Times New Roman Regular" w:eastAsia="仿宋_GB2312" w:cs="Times New Roman Regular"/>
          <w:b/>
          <w:bCs/>
          <w:color w:val="auto"/>
          <w:sz w:val="32"/>
          <w:szCs w:val="32"/>
          <w:highlight w:val="none"/>
          <w:lang w:val="en-US" w:eastAsia="zh-CN"/>
        </w:rPr>
        <w:t>（一）基本支出</w:t>
      </w:r>
    </w:p>
    <w:p w14:paraId="07D09682">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color w:val="auto"/>
          <w:highlight w:val="none"/>
        </w:rPr>
      </w:pPr>
      <w:r>
        <w:rPr>
          <w:rFonts w:ascii="仿宋" w:hAnsi="仿宋" w:eastAsia="仿宋" w:cs="仿宋"/>
          <w:color w:val="auto"/>
          <w:spacing w:val="-2"/>
          <w:kern w:val="2"/>
          <w:sz w:val="32"/>
          <w:szCs w:val="32"/>
          <w:highlight w:val="none"/>
          <w:lang w:val="en-US" w:eastAsia="zh-CN" w:bidi="ar-SA"/>
        </w:rPr>
        <w:t>基本支出系保障</w:t>
      </w:r>
      <w:r>
        <w:rPr>
          <w:rFonts w:hint="eastAsia" w:ascii="仿宋" w:hAnsi="仿宋" w:eastAsia="仿宋" w:cs="仿宋"/>
          <w:color w:val="auto"/>
          <w:spacing w:val="-2"/>
          <w:kern w:val="2"/>
          <w:sz w:val="32"/>
          <w:szCs w:val="32"/>
          <w:highlight w:val="none"/>
          <w:lang w:val="en-US" w:eastAsia="zh-CN" w:bidi="ar-SA"/>
        </w:rPr>
        <w:t>我中心</w:t>
      </w:r>
      <w:r>
        <w:rPr>
          <w:rFonts w:ascii="仿宋" w:hAnsi="仿宋" w:eastAsia="仿宋" w:cs="仿宋"/>
          <w:color w:val="auto"/>
          <w:spacing w:val="-2"/>
          <w:kern w:val="2"/>
          <w:sz w:val="32"/>
          <w:szCs w:val="32"/>
          <w:highlight w:val="none"/>
          <w:lang w:val="en-US" w:eastAsia="zh-CN" w:bidi="ar-SA"/>
        </w:rPr>
        <w:t>正常运转、完成日常工作任务而发生的</w:t>
      </w:r>
      <w:r>
        <w:rPr>
          <w:rFonts w:hint="eastAsia" w:ascii="仿宋" w:hAnsi="仿宋" w:eastAsia="仿宋" w:cs="仿宋"/>
          <w:color w:val="auto"/>
          <w:spacing w:val="-2"/>
          <w:kern w:val="2"/>
          <w:sz w:val="32"/>
          <w:szCs w:val="21"/>
          <w:highlight w:val="none"/>
          <w:lang w:val="en-US" w:eastAsia="zh-CN" w:bidi="ar-SA"/>
        </w:rPr>
        <w:t>人员经费和日常公用经费。具体包括：工资福利支出、商品和服务支出、对个人和家庭的补助。</w:t>
      </w:r>
      <w:r>
        <w:rPr>
          <w:rFonts w:ascii="仿宋" w:hAnsi="仿宋" w:eastAsia="仿宋" w:cs="仿宋"/>
          <w:color w:val="auto"/>
          <w:spacing w:val="-2"/>
          <w:kern w:val="2"/>
          <w:sz w:val="32"/>
          <w:szCs w:val="32"/>
          <w:highlight w:val="none"/>
          <w:lang w:val="en-US" w:eastAsia="zh-CN" w:bidi="ar-SA"/>
        </w:rPr>
        <w:t>202</w:t>
      </w:r>
      <w:r>
        <w:rPr>
          <w:rFonts w:hint="eastAsia" w:ascii="仿宋" w:hAnsi="仿宋" w:eastAsia="仿宋" w:cs="仿宋"/>
          <w:color w:val="auto"/>
          <w:spacing w:val="-2"/>
          <w:kern w:val="2"/>
          <w:sz w:val="32"/>
          <w:szCs w:val="32"/>
          <w:highlight w:val="none"/>
          <w:lang w:val="en-US" w:eastAsia="zh-CN" w:bidi="ar-SA"/>
        </w:rPr>
        <w:t>5</w:t>
      </w:r>
      <w:r>
        <w:rPr>
          <w:rFonts w:ascii="仿宋" w:hAnsi="仿宋" w:eastAsia="仿宋" w:cs="仿宋"/>
          <w:color w:val="auto"/>
          <w:spacing w:val="-2"/>
          <w:kern w:val="2"/>
          <w:sz w:val="32"/>
          <w:szCs w:val="32"/>
          <w:highlight w:val="none"/>
          <w:lang w:val="en-US" w:eastAsia="zh-CN" w:bidi="ar-SA"/>
        </w:rPr>
        <w:t>年基本支出</w:t>
      </w:r>
      <w:r>
        <w:rPr>
          <w:rFonts w:hint="eastAsia" w:ascii="仿宋" w:hAnsi="仿宋" w:eastAsia="仿宋" w:cs="仿宋"/>
          <w:color w:val="auto"/>
          <w:spacing w:val="-2"/>
          <w:kern w:val="2"/>
          <w:sz w:val="32"/>
          <w:szCs w:val="21"/>
          <w:highlight w:val="none"/>
          <w:lang w:val="en-US" w:eastAsia="zh-CN" w:bidi="ar-SA"/>
        </w:rPr>
        <w:t>1,289.85</w:t>
      </w:r>
      <w:r>
        <w:rPr>
          <w:rFonts w:ascii="仿宋" w:hAnsi="仿宋" w:eastAsia="仿宋" w:cs="仿宋"/>
          <w:color w:val="auto"/>
          <w:spacing w:val="-2"/>
          <w:kern w:val="2"/>
          <w:sz w:val="32"/>
          <w:szCs w:val="32"/>
          <w:highlight w:val="none"/>
          <w:lang w:val="en-US" w:eastAsia="zh-CN" w:bidi="ar-SA"/>
        </w:rPr>
        <w:t>万元较上年</w:t>
      </w:r>
      <w:r>
        <w:rPr>
          <w:rFonts w:hint="eastAsia" w:ascii="仿宋" w:hAnsi="仿宋" w:eastAsia="仿宋" w:cs="仿宋"/>
          <w:color w:val="auto"/>
          <w:spacing w:val="-2"/>
          <w:kern w:val="2"/>
          <w:sz w:val="32"/>
          <w:szCs w:val="32"/>
          <w:highlight w:val="none"/>
          <w:lang w:val="en-US" w:eastAsia="zh-CN" w:bidi="ar-SA"/>
        </w:rPr>
        <w:t>减少14.25</w:t>
      </w:r>
      <w:r>
        <w:rPr>
          <w:rFonts w:ascii="仿宋" w:hAnsi="仿宋" w:eastAsia="仿宋" w:cs="仿宋"/>
          <w:color w:val="auto"/>
          <w:spacing w:val="-2"/>
          <w:kern w:val="2"/>
          <w:sz w:val="32"/>
          <w:szCs w:val="32"/>
          <w:highlight w:val="none"/>
          <w:lang w:val="en-US" w:eastAsia="zh-CN" w:bidi="ar-SA"/>
        </w:rPr>
        <w:t>万元，</w:t>
      </w:r>
      <w:r>
        <w:rPr>
          <w:rFonts w:hint="eastAsia" w:ascii="仿宋" w:hAnsi="仿宋" w:eastAsia="仿宋" w:cs="仿宋"/>
          <w:color w:val="auto"/>
          <w:spacing w:val="-2"/>
          <w:kern w:val="2"/>
          <w:sz w:val="32"/>
          <w:szCs w:val="32"/>
          <w:highlight w:val="none"/>
          <w:lang w:val="en-US" w:eastAsia="zh-CN" w:bidi="ar-SA"/>
        </w:rPr>
        <w:t>减幅1.09</w:t>
      </w:r>
      <w:r>
        <w:rPr>
          <w:rFonts w:ascii="仿宋" w:hAnsi="仿宋" w:eastAsia="仿宋" w:cs="仿宋"/>
          <w:color w:val="auto"/>
          <w:spacing w:val="-2"/>
          <w:kern w:val="2"/>
          <w:sz w:val="32"/>
          <w:szCs w:val="32"/>
          <w:highlight w:val="none"/>
          <w:lang w:val="en-US" w:eastAsia="zh-CN" w:bidi="ar-SA"/>
        </w:rPr>
        <w:t>%。</w:t>
      </w:r>
    </w:p>
    <w:p w14:paraId="59900D28">
      <w:pPr>
        <w:keepNext w:val="0"/>
        <w:keepLines w:val="0"/>
        <w:pageBreakBefore w:val="0"/>
        <w:widowControl/>
        <w:shd w:val="clear" w:color="auto" w:fill="FFFFFF"/>
        <w:kinsoku/>
        <w:wordWrap/>
        <w:topLinePunct w:val="0"/>
        <w:autoSpaceDE/>
        <w:autoSpaceDN/>
        <w:bidi w:val="0"/>
        <w:adjustRightInd/>
        <w:spacing w:line="560" w:lineRule="exact"/>
        <w:ind w:left="0" w:right="0" w:firstLine="635" w:firstLineChars="200"/>
        <w:jc w:val="both"/>
        <w:textAlignment w:val="auto"/>
        <w:rPr>
          <w:color w:val="auto"/>
          <w:highlight w:val="none"/>
        </w:rPr>
      </w:pPr>
      <w:r>
        <w:rPr>
          <w:rFonts w:hint="eastAsia" w:ascii="仿宋" w:hAnsi="仿宋" w:eastAsia="仿宋" w:cs="仿宋"/>
          <w:b/>
          <w:bCs/>
          <w:color w:val="auto"/>
          <w:spacing w:val="-2"/>
          <w:sz w:val="32"/>
          <w:szCs w:val="32"/>
          <w:highlight w:val="none"/>
        </w:rPr>
        <w:t>1</w:t>
      </w:r>
      <w:r>
        <w:rPr>
          <w:rFonts w:hint="eastAsia" w:ascii="仿宋" w:hAnsi="仿宋" w:eastAsia="仿宋" w:cs="仿宋"/>
          <w:b/>
          <w:bCs/>
          <w:color w:val="auto"/>
          <w:spacing w:val="-2"/>
          <w:sz w:val="32"/>
          <w:szCs w:val="32"/>
          <w:highlight w:val="none"/>
          <w:lang w:eastAsia="zh-CN"/>
        </w:rPr>
        <w:t>.</w:t>
      </w:r>
      <w:r>
        <w:rPr>
          <w:rFonts w:hint="eastAsia" w:ascii="仿宋" w:hAnsi="仿宋" w:eastAsia="仿宋" w:cs="仿宋"/>
          <w:b/>
          <w:bCs/>
          <w:color w:val="auto"/>
          <w:spacing w:val="-2"/>
          <w:sz w:val="32"/>
          <w:szCs w:val="32"/>
          <w:highlight w:val="none"/>
        </w:rPr>
        <w:t>人员经费。</w:t>
      </w:r>
      <w:r>
        <w:rPr>
          <w:rFonts w:hint="eastAsia" w:ascii="仿宋" w:hAnsi="仿宋" w:eastAsia="仿宋" w:cs="仿宋"/>
          <w:color w:val="auto"/>
          <w:spacing w:val="-2"/>
          <w:sz w:val="32"/>
          <w:szCs w:val="32"/>
          <w:highlight w:val="none"/>
        </w:rPr>
        <w:t>人员经费</w:t>
      </w:r>
      <w:r>
        <w:rPr>
          <w:rFonts w:hint="eastAsia" w:ascii="仿宋" w:hAnsi="仿宋" w:eastAsia="仿宋" w:cs="仿宋"/>
          <w:color w:val="auto"/>
          <w:spacing w:val="-2"/>
          <w:kern w:val="2"/>
          <w:sz w:val="32"/>
          <w:szCs w:val="32"/>
          <w:highlight w:val="none"/>
          <w:lang w:val="en-US" w:eastAsia="zh-CN" w:bidi="ar-SA"/>
        </w:rPr>
        <w:t>1,282.89万</w:t>
      </w:r>
      <w:r>
        <w:rPr>
          <w:rFonts w:hint="eastAsia" w:ascii="仿宋" w:hAnsi="仿宋" w:eastAsia="仿宋" w:cs="仿宋"/>
          <w:color w:val="auto"/>
          <w:spacing w:val="-2"/>
          <w:sz w:val="32"/>
          <w:szCs w:val="32"/>
          <w:highlight w:val="none"/>
        </w:rPr>
        <w:t>元，占基本支出的</w:t>
      </w:r>
      <w:r>
        <w:rPr>
          <w:rFonts w:hint="eastAsia" w:ascii="仿宋" w:hAnsi="仿宋" w:eastAsia="仿宋" w:cs="仿宋"/>
          <w:color w:val="auto"/>
          <w:spacing w:val="-2"/>
          <w:kern w:val="2"/>
          <w:sz w:val="32"/>
          <w:szCs w:val="32"/>
          <w:highlight w:val="none"/>
          <w:lang w:val="en-US" w:eastAsia="zh-CN" w:bidi="ar-SA"/>
        </w:rPr>
        <w:t>99.46</w:t>
      </w:r>
      <w:r>
        <w:rPr>
          <w:rFonts w:hint="eastAsia" w:ascii="仿宋" w:hAnsi="仿宋" w:eastAsia="仿宋" w:cs="仿宋"/>
          <w:color w:val="auto"/>
          <w:spacing w:val="-2"/>
          <w:sz w:val="32"/>
          <w:szCs w:val="32"/>
          <w:highlight w:val="none"/>
        </w:rPr>
        <w:t>%，较上年</w:t>
      </w:r>
      <w:r>
        <w:rPr>
          <w:rFonts w:hint="eastAsia" w:ascii="仿宋" w:hAnsi="仿宋" w:eastAsia="仿宋" w:cs="仿宋"/>
          <w:color w:val="auto"/>
          <w:spacing w:val="-2"/>
          <w:sz w:val="32"/>
          <w:szCs w:val="32"/>
          <w:highlight w:val="none"/>
          <w:lang w:val="en-US" w:eastAsia="zh-CN"/>
        </w:rPr>
        <w:t>增加42.96万元，增幅3.46</w:t>
      </w:r>
      <w:r>
        <w:rPr>
          <w:rFonts w:hint="eastAsia" w:ascii="仿宋" w:hAnsi="仿宋" w:eastAsia="仿宋" w:cs="仿宋"/>
          <w:color w:val="auto"/>
          <w:spacing w:val="-2"/>
          <w:sz w:val="32"/>
          <w:szCs w:val="32"/>
          <w:highlight w:val="none"/>
        </w:rPr>
        <w:t>%，主要是</w:t>
      </w:r>
      <w:r>
        <w:rPr>
          <w:rFonts w:hint="eastAsia" w:ascii="仿宋" w:hAnsi="仿宋" w:eastAsia="仿宋" w:cs="仿宋"/>
          <w:color w:val="auto"/>
          <w:spacing w:val="-2"/>
          <w:sz w:val="32"/>
          <w:szCs w:val="32"/>
          <w:highlight w:val="none"/>
          <w:lang w:val="en-US" w:eastAsia="zh-CN"/>
        </w:rPr>
        <w:t>本年度工资提标</w:t>
      </w:r>
      <w:r>
        <w:rPr>
          <w:rFonts w:hint="eastAsia" w:ascii="仿宋" w:hAnsi="仿宋" w:eastAsia="仿宋" w:cs="仿宋"/>
          <w:color w:val="auto"/>
          <w:spacing w:val="-2"/>
          <w:sz w:val="32"/>
          <w:szCs w:val="32"/>
          <w:highlight w:val="none"/>
        </w:rPr>
        <w:t>。</w:t>
      </w:r>
    </w:p>
    <w:p w14:paraId="36FB83CA">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highlight w:val="none"/>
        </w:rPr>
      </w:pPr>
      <w:r>
        <w:rPr>
          <w:rFonts w:hint="eastAsia" w:ascii="仿宋" w:hAnsi="仿宋" w:eastAsia="仿宋" w:cs="仿宋"/>
          <w:spacing w:val="-2"/>
          <w:sz w:val="32"/>
          <w:szCs w:val="32"/>
          <w:highlight w:val="none"/>
        </w:rPr>
        <w:t>（1）工资福利支出</w:t>
      </w:r>
      <w:r>
        <w:rPr>
          <w:rFonts w:hint="eastAsia" w:ascii="仿宋" w:hAnsi="仿宋" w:eastAsia="仿宋" w:cs="仿宋"/>
          <w:color w:val="auto"/>
          <w:spacing w:val="-2"/>
          <w:kern w:val="2"/>
          <w:sz w:val="32"/>
          <w:szCs w:val="32"/>
          <w:highlight w:val="none"/>
          <w:lang w:val="en-US" w:eastAsia="zh-CN" w:bidi="ar-SA"/>
        </w:rPr>
        <w:t>1,186.15</w:t>
      </w:r>
      <w:r>
        <w:rPr>
          <w:rFonts w:hint="eastAsia" w:ascii="仿宋" w:hAnsi="仿宋" w:eastAsia="仿宋" w:cs="仿宋"/>
          <w:spacing w:val="-2"/>
          <w:sz w:val="32"/>
          <w:szCs w:val="32"/>
          <w:highlight w:val="none"/>
        </w:rPr>
        <w:t>万元</w:t>
      </w:r>
      <w:r>
        <w:rPr>
          <w:rFonts w:hint="eastAsia" w:ascii="仿宋" w:hAnsi="仿宋" w:eastAsia="仿宋" w:cs="仿宋"/>
          <w:spacing w:val="-2"/>
          <w:sz w:val="32"/>
          <w:szCs w:val="32"/>
          <w:highlight w:val="none"/>
          <w:lang w:eastAsia="zh-CN"/>
        </w:rPr>
        <w:t>，</w:t>
      </w:r>
      <w:r>
        <w:rPr>
          <w:rFonts w:hint="eastAsia" w:ascii="仿宋" w:hAnsi="仿宋" w:eastAsia="仿宋" w:cs="仿宋"/>
          <w:spacing w:val="-2"/>
          <w:sz w:val="32"/>
          <w:szCs w:val="32"/>
          <w:highlight w:val="none"/>
        </w:rPr>
        <w:t>主要包括</w:t>
      </w:r>
      <w:r>
        <w:rPr>
          <w:rFonts w:hint="eastAsia" w:ascii="仿宋" w:hAnsi="仿宋" w:eastAsia="仿宋" w:cs="仿宋"/>
          <w:spacing w:val="-2"/>
          <w:sz w:val="32"/>
          <w:szCs w:val="32"/>
          <w:highlight w:val="none"/>
          <w:lang w:eastAsia="zh-CN"/>
        </w:rPr>
        <w:t>基本工资</w:t>
      </w:r>
      <w:r>
        <w:rPr>
          <w:rFonts w:hint="eastAsia" w:ascii="仿宋" w:hAnsi="仿宋" w:eastAsia="仿宋" w:cs="仿宋"/>
          <w:spacing w:val="-2"/>
          <w:sz w:val="32"/>
          <w:szCs w:val="32"/>
          <w:highlight w:val="none"/>
        </w:rPr>
        <w:t>、</w:t>
      </w:r>
      <w:r>
        <w:rPr>
          <w:rFonts w:hint="eastAsia" w:ascii="仿宋" w:hAnsi="仿宋" w:eastAsia="仿宋" w:cs="仿宋"/>
          <w:spacing w:val="-2"/>
          <w:sz w:val="32"/>
          <w:szCs w:val="32"/>
          <w:highlight w:val="none"/>
          <w:lang w:eastAsia="zh-CN"/>
        </w:rPr>
        <w:t>津补贴、</w:t>
      </w:r>
      <w:r>
        <w:rPr>
          <w:rFonts w:hint="eastAsia" w:ascii="仿宋" w:hAnsi="仿宋" w:eastAsia="仿宋" w:cs="仿宋"/>
          <w:spacing w:val="-2"/>
          <w:sz w:val="32"/>
          <w:szCs w:val="32"/>
          <w:highlight w:val="none"/>
        </w:rPr>
        <w:t>奖金、</w:t>
      </w:r>
      <w:r>
        <w:rPr>
          <w:rFonts w:hint="eastAsia" w:ascii="仿宋" w:hAnsi="仿宋" w:eastAsia="仿宋" w:cs="仿宋"/>
          <w:spacing w:val="-2"/>
          <w:sz w:val="32"/>
          <w:szCs w:val="32"/>
          <w:highlight w:val="none"/>
          <w:lang w:eastAsia="zh-CN"/>
        </w:rPr>
        <w:t>绩效工资、</w:t>
      </w:r>
      <w:r>
        <w:rPr>
          <w:rFonts w:hint="eastAsia" w:ascii="仿宋" w:hAnsi="仿宋" w:eastAsia="仿宋" w:cs="仿宋"/>
          <w:spacing w:val="-2"/>
          <w:sz w:val="32"/>
          <w:szCs w:val="32"/>
          <w:highlight w:val="none"/>
        </w:rPr>
        <w:t>职工基本医疗保险缴费</w:t>
      </w:r>
      <w:r>
        <w:rPr>
          <w:rFonts w:hint="eastAsia" w:ascii="仿宋" w:hAnsi="仿宋" w:eastAsia="仿宋" w:cs="仿宋"/>
          <w:spacing w:val="-2"/>
          <w:sz w:val="32"/>
          <w:szCs w:val="32"/>
          <w:highlight w:val="none"/>
          <w:lang w:eastAsia="zh-CN"/>
        </w:rPr>
        <w:t>、住房公积金</w:t>
      </w:r>
      <w:r>
        <w:rPr>
          <w:rFonts w:hint="eastAsia" w:ascii="仿宋" w:hAnsi="仿宋" w:eastAsia="仿宋" w:cs="仿宋"/>
          <w:spacing w:val="-2"/>
          <w:sz w:val="32"/>
          <w:szCs w:val="32"/>
          <w:highlight w:val="none"/>
        </w:rPr>
        <w:t>等支出。</w:t>
      </w:r>
    </w:p>
    <w:p w14:paraId="11EA88AA">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highlight w:val="none"/>
        </w:rPr>
      </w:pPr>
      <w:r>
        <w:rPr>
          <w:rFonts w:hint="eastAsia" w:ascii="仿宋" w:hAnsi="仿宋" w:eastAsia="仿宋" w:cs="仿宋"/>
          <w:spacing w:val="-2"/>
          <w:sz w:val="32"/>
          <w:szCs w:val="32"/>
          <w:highlight w:val="none"/>
        </w:rPr>
        <w:t>（2）对个人和家庭补助支出</w:t>
      </w:r>
      <w:r>
        <w:rPr>
          <w:rFonts w:hint="eastAsia" w:ascii="仿宋" w:hAnsi="仿宋" w:eastAsia="仿宋" w:cs="仿宋"/>
          <w:color w:val="auto"/>
          <w:spacing w:val="-2"/>
          <w:kern w:val="2"/>
          <w:sz w:val="32"/>
          <w:szCs w:val="32"/>
          <w:highlight w:val="none"/>
          <w:lang w:val="en-US" w:eastAsia="zh-CN" w:bidi="ar-SA"/>
        </w:rPr>
        <w:t>96.73</w:t>
      </w:r>
      <w:r>
        <w:rPr>
          <w:rFonts w:hint="eastAsia" w:ascii="仿宋" w:hAnsi="仿宋" w:eastAsia="仿宋" w:cs="仿宋"/>
          <w:spacing w:val="-2"/>
          <w:sz w:val="32"/>
          <w:szCs w:val="32"/>
          <w:highlight w:val="none"/>
        </w:rPr>
        <w:t>万元。主要包括生活补助、</w:t>
      </w:r>
      <w:r>
        <w:rPr>
          <w:rFonts w:hint="eastAsia" w:ascii="仿宋" w:hAnsi="仿宋" w:eastAsia="仿宋" w:cs="仿宋"/>
          <w:spacing w:val="-2"/>
          <w:sz w:val="32"/>
          <w:szCs w:val="32"/>
          <w:highlight w:val="none"/>
          <w:lang w:eastAsia="zh-CN"/>
        </w:rPr>
        <w:t>奖励金、</w:t>
      </w:r>
      <w:r>
        <w:rPr>
          <w:rFonts w:hint="eastAsia" w:ascii="仿宋" w:hAnsi="仿宋" w:eastAsia="仿宋" w:cs="仿宋"/>
          <w:spacing w:val="-2"/>
          <w:sz w:val="32"/>
          <w:szCs w:val="32"/>
          <w:highlight w:val="none"/>
        </w:rPr>
        <w:t>其他对个人和家庭的补助等支出。</w:t>
      </w:r>
    </w:p>
    <w:p w14:paraId="5EA4DDFE">
      <w:pPr>
        <w:keepNext w:val="0"/>
        <w:keepLines w:val="0"/>
        <w:pageBreakBefore w:val="0"/>
        <w:widowControl/>
        <w:shd w:val="clear" w:color="auto" w:fill="FFFFFF"/>
        <w:kinsoku/>
        <w:wordWrap/>
        <w:topLinePunct w:val="0"/>
        <w:autoSpaceDE/>
        <w:autoSpaceDN/>
        <w:bidi w:val="0"/>
        <w:adjustRightInd/>
        <w:spacing w:line="560" w:lineRule="exact"/>
        <w:ind w:left="0" w:right="0" w:firstLine="635" w:firstLineChars="200"/>
        <w:jc w:val="both"/>
        <w:textAlignment w:val="auto"/>
        <w:rPr>
          <w:color w:val="auto"/>
          <w:highlight w:val="none"/>
        </w:rPr>
      </w:pPr>
      <w:r>
        <w:rPr>
          <w:rFonts w:hint="eastAsia" w:ascii="仿宋" w:hAnsi="仿宋" w:eastAsia="仿宋" w:cs="仿宋"/>
          <w:b/>
          <w:bCs/>
          <w:color w:val="auto"/>
          <w:spacing w:val="-2"/>
          <w:sz w:val="32"/>
          <w:szCs w:val="32"/>
          <w:highlight w:val="none"/>
        </w:rPr>
        <w:t>2</w:t>
      </w:r>
      <w:r>
        <w:rPr>
          <w:rFonts w:hint="eastAsia" w:ascii="仿宋" w:hAnsi="仿宋" w:eastAsia="仿宋" w:cs="仿宋"/>
          <w:b/>
          <w:bCs/>
          <w:color w:val="auto"/>
          <w:spacing w:val="-2"/>
          <w:sz w:val="32"/>
          <w:szCs w:val="32"/>
          <w:highlight w:val="none"/>
          <w:lang w:val="en-US" w:eastAsia="zh-CN"/>
        </w:rPr>
        <w:t>.</w:t>
      </w:r>
      <w:r>
        <w:rPr>
          <w:rFonts w:hint="eastAsia" w:ascii="仿宋" w:hAnsi="仿宋" w:eastAsia="仿宋" w:cs="仿宋"/>
          <w:b/>
          <w:bCs/>
          <w:color w:val="auto"/>
          <w:spacing w:val="-2"/>
          <w:sz w:val="32"/>
          <w:szCs w:val="32"/>
          <w:highlight w:val="none"/>
        </w:rPr>
        <w:t>日常公用经费。</w:t>
      </w:r>
      <w:r>
        <w:rPr>
          <w:rFonts w:hint="eastAsia" w:ascii="仿宋" w:hAnsi="仿宋" w:eastAsia="仿宋" w:cs="仿宋"/>
          <w:color w:val="auto"/>
          <w:spacing w:val="-2"/>
          <w:sz w:val="32"/>
          <w:szCs w:val="32"/>
          <w:highlight w:val="none"/>
        </w:rPr>
        <w:t>日常公用经费</w:t>
      </w:r>
      <w:r>
        <w:rPr>
          <w:rFonts w:hint="eastAsia" w:ascii="仿宋" w:hAnsi="仿宋" w:eastAsia="仿宋" w:cs="仿宋"/>
          <w:color w:val="auto"/>
          <w:spacing w:val="-2"/>
          <w:kern w:val="2"/>
          <w:sz w:val="32"/>
          <w:szCs w:val="32"/>
          <w:highlight w:val="none"/>
          <w:lang w:val="en-US" w:eastAsia="zh-CN" w:bidi="ar-SA"/>
        </w:rPr>
        <w:t>6.97</w:t>
      </w:r>
      <w:r>
        <w:rPr>
          <w:rFonts w:hint="eastAsia" w:ascii="仿宋" w:hAnsi="仿宋" w:eastAsia="仿宋" w:cs="仿宋"/>
          <w:color w:val="auto"/>
          <w:spacing w:val="-2"/>
          <w:sz w:val="32"/>
          <w:szCs w:val="32"/>
          <w:highlight w:val="none"/>
        </w:rPr>
        <w:t>万元，</w:t>
      </w:r>
      <w:r>
        <w:rPr>
          <w:rFonts w:hint="eastAsia" w:ascii="仿宋" w:hAnsi="仿宋" w:eastAsia="仿宋" w:cs="仿宋"/>
          <w:color w:val="auto"/>
          <w:spacing w:val="-2"/>
          <w:sz w:val="32"/>
          <w:szCs w:val="32"/>
          <w:highlight w:val="none"/>
          <w:lang w:eastAsia="zh-CN"/>
        </w:rPr>
        <w:t>占基本支出的</w:t>
      </w:r>
      <w:r>
        <w:rPr>
          <w:rFonts w:hint="eastAsia" w:ascii="仿宋" w:hAnsi="仿宋" w:eastAsia="仿宋" w:cs="仿宋"/>
          <w:color w:val="auto"/>
          <w:spacing w:val="-2"/>
          <w:sz w:val="32"/>
          <w:szCs w:val="32"/>
          <w:highlight w:val="none"/>
          <w:lang w:val="en-US" w:eastAsia="zh-CN"/>
        </w:rPr>
        <w:t>0.54%，</w:t>
      </w:r>
      <w:r>
        <w:rPr>
          <w:rFonts w:hint="eastAsia" w:ascii="仿宋" w:hAnsi="仿宋" w:eastAsia="仿宋" w:cs="仿宋"/>
          <w:color w:val="auto"/>
          <w:spacing w:val="-2"/>
          <w:kern w:val="2"/>
          <w:sz w:val="32"/>
          <w:szCs w:val="32"/>
          <w:highlight w:val="none"/>
          <w:lang w:val="en-US" w:eastAsia="zh-CN" w:bidi="ar-SA"/>
        </w:rPr>
        <w:t>较上年减少57.97万元，减幅89.27%，</w:t>
      </w:r>
      <w:r>
        <w:rPr>
          <w:rFonts w:hint="eastAsia" w:ascii="仿宋" w:hAnsi="仿宋" w:eastAsia="仿宋" w:cs="仿宋"/>
          <w:color w:val="auto"/>
          <w:spacing w:val="-2"/>
          <w:sz w:val="32"/>
          <w:szCs w:val="32"/>
          <w:highlight w:val="none"/>
        </w:rPr>
        <w:t>主要</w:t>
      </w:r>
      <w:r>
        <w:rPr>
          <w:rFonts w:hint="eastAsia" w:ascii="仿宋" w:hAnsi="仿宋" w:eastAsia="仿宋" w:cs="仿宋"/>
          <w:color w:val="auto"/>
          <w:spacing w:val="-2"/>
          <w:sz w:val="32"/>
          <w:szCs w:val="32"/>
          <w:highlight w:val="none"/>
          <w:lang w:val="en-US" w:eastAsia="zh-CN"/>
        </w:rPr>
        <w:t>是本年预算增加了非税收入，日常公用经费支出口径改变</w:t>
      </w:r>
      <w:r>
        <w:rPr>
          <w:rFonts w:hint="eastAsia" w:ascii="仿宋" w:hAnsi="仿宋" w:eastAsia="仿宋" w:cs="仿宋"/>
          <w:color w:val="auto"/>
          <w:spacing w:val="-2"/>
          <w:sz w:val="32"/>
          <w:szCs w:val="32"/>
          <w:highlight w:val="none"/>
        </w:rPr>
        <w:t>。</w:t>
      </w:r>
    </w:p>
    <w:p w14:paraId="5A280EA6">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highlight w:val="none"/>
        </w:rPr>
      </w:pPr>
      <w:r>
        <w:rPr>
          <w:rFonts w:hint="eastAsia" w:ascii="仿宋" w:hAnsi="仿宋" w:eastAsia="仿宋" w:cs="仿宋"/>
          <w:spacing w:val="-2"/>
          <w:sz w:val="32"/>
          <w:szCs w:val="32"/>
          <w:highlight w:val="none"/>
        </w:rPr>
        <w:t>（1）商品和服务支出</w:t>
      </w:r>
      <w:r>
        <w:rPr>
          <w:rFonts w:hint="eastAsia" w:ascii="仿宋" w:hAnsi="仿宋" w:eastAsia="仿宋" w:cs="仿宋"/>
          <w:color w:val="auto"/>
          <w:spacing w:val="-2"/>
          <w:kern w:val="2"/>
          <w:sz w:val="32"/>
          <w:szCs w:val="32"/>
          <w:highlight w:val="none"/>
          <w:lang w:val="en-US" w:eastAsia="zh-CN" w:bidi="ar-SA"/>
        </w:rPr>
        <w:t>6.97</w:t>
      </w:r>
      <w:r>
        <w:rPr>
          <w:rFonts w:hint="eastAsia" w:ascii="仿宋" w:hAnsi="仿宋" w:eastAsia="仿宋" w:cs="仿宋"/>
          <w:spacing w:val="-2"/>
          <w:sz w:val="32"/>
          <w:szCs w:val="32"/>
          <w:highlight w:val="none"/>
        </w:rPr>
        <w:t>万元。包括日常运行正常</w:t>
      </w:r>
      <w:r>
        <w:rPr>
          <w:rFonts w:hint="eastAsia" w:ascii="仿宋" w:hAnsi="仿宋" w:eastAsia="仿宋" w:cs="仿宋"/>
          <w:spacing w:val="-2"/>
          <w:sz w:val="32"/>
          <w:szCs w:val="32"/>
          <w:highlight w:val="none"/>
          <w:lang w:eastAsia="zh-CN"/>
        </w:rPr>
        <w:t>的电费、邮电费、物业管理费、工会经费、</w:t>
      </w:r>
      <w:r>
        <w:rPr>
          <w:rFonts w:hint="eastAsia" w:ascii="仿宋" w:hAnsi="仿宋" w:eastAsia="仿宋" w:cs="仿宋"/>
          <w:spacing w:val="-2"/>
          <w:sz w:val="32"/>
          <w:szCs w:val="32"/>
          <w:highlight w:val="none"/>
        </w:rPr>
        <w:t>福利费</w:t>
      </w:r>
      <w:r>
        <w:rPr>
          <w:rFonts w:hint="eastAsia" w:ascii="仿宋" w:hAnsi="仿宋" w:eastAsia="仿宋" w:cs="仿宋"/>
          <w:spacing w:val="-2"/>
          <w:sz w:val="32"/>
          <w:szCs w:val="32"/>
          <w:highlight w:val="none"/>
          <w:lang w:eastAsia="zh-CN"/>
        </w:rPr>
        <w:t>、税金及附加费用、</w:t>
      </w:r>
      <w:r>
        <w:rPr>
          <w:rFonts w:hint="eastAsia" w:ascii="仿宋" w:hAnsi="仿宋" w:eastAsia="仿宋" w:cs="仿宋"/>
          <w:spacing w:val="-2"/>
          <w:sz w:val="32"/>
          <w:szCs w:val="32"/>
          <w:highlight w:val="none"/>
        </w:rPr>
        <w:t>其他商品</w:t>
      </w:r>
      <w:r>
        <w:rPr>
          <w:rFonts w:hint="eastAsia" w:ascii="仿宋" w:hAnsi="仿宋" w:eastAsia="仿宋" w:cs="仿宋"/>
          <w:spacing w:val="-2"/>
          <w:sz w:val="32"/>
          <w:szCs w:val="32"/>
          <w:highlight w:val="none"/>
          <w:lang w:val="en-US" w:eastAsia="zh-CN"/>
        </w:rPr>
        <w:t>和</w:t>
      </w:r>
      <w:r>
        <w:rPr>
          <w:rFonts w:hint="eastAsia" w:ascii="仿宋" w:hAnsi="仿宋" w:eastAsia="仿宋" w:cs="仿宋"/>
          <w:spacing w:val="-2"/>
          <w:sz w:val="32"/>
          <w:szCs w:val="32"/>
          <w:highlight w:val="none"/>
        </w:rPr>
        <w:t>服务支出</w:t>
      </w:r>
      <w:r>
        <w:rPr>
          <w:rFonts w:hint="eastAsia" w:ascii="仿宋" w:hAnsi="仿宋" w:eastAsia="仿宋" w:cs="仿宋"/>
          <w:spacing w:val="-2"/>
          <w:sz w:val="32"/>
          <w:szCs w:val="32"/>
          <w:highlight w:val="none"/>
          <w:lang w:eastAsia="zh-CN"/>
        </w:rPr>
        <w:t>、</w:t>
      </w:r>
      <w:r>
        <w:rPr>
          <w:rFonts w:hint="eastAsia" w:ascii="仿宋" w:hAnsi="仿宋" w:eastAsia="仿宋" w:cs="仿宋"/>
          <w:spacing w:val="-2"/>
          <w:sz w:val="32"/>
          <w:szCs w:val="32"/>
          <w:highlight w:val="none"/>
          <w:lang w:val="en-US" w:eastAsia="zh-CN"/>
        </w:rPr>
        <w:t>资本性支出</w:t>
      </w:r>
      <w:r>
        <w:rPr>
          <w:rFonts w:hint="eastAsia" w:ascii="仿宋" w:hAnsi="仿宋" w:eastAsia="仿宋" w:cs="仿宋"/>
          <w:spacing w:val="-2"/>
          <w:sz w:val="32"/>
          <w:szCs w:val="32"/>
          <w:highlight w:val="none"/>
          <w:lang w:eastAsia="zh-CN"/>
        </w:rPr>
        <w:t>等</w:t>
      </w:r>
      <w:r>
        <w:rPr>
          <w:rFonts w:hint="eastAsia" w:ascii="仿宋" w:hAnsi="仿宋" w:eastAsia="仿宋" w:cs="仿宋"/>
          <w:spacing w:val="-2"/>
          <w:sz w:val="32"/>
          <w:szCs w:val="32"/>
          <w:highlight w:val="none"/>
        </w:rPr>
        <w:t>。</w:t>
      </w:r>
    </w:p>
    <w:p w14:paraId="264E07BD">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spacing w:val="-2"/>
          <w:sz w:val="32"/>
          <w:szCs w:val="32"/>
          <w:highlight w:val="none"/>
        </w:rPr>
        <w:t>（2）“三公”经费支出</w:t>
      </w:r>
      <w:r>
        <w:rPr>
          <w:rFonts w:hint="eastAsia" w:ascii="仿宋" w:hAnsi="仿宋" w:eastAsia="仿宋" w:cs="仿宋"/>
          <w:spacing w:val="-2"/>
          <w:sz w:val="32"/>
          <w:szCs w:val="32"/>
          <w:highlight w:val="none"/>
          <w:lang w:val="en-US" w:eastAsia="zh-CN"/>
        </w:rPr>
        <w:t>0</w:t>
      </w:r>
      <w:r>
        <w:rPr>
          <w:rFonts w:hint="eastAsia" w:ascii="仿宋" w:hAnsi="仿宋" w:eastAsia="仿宋" w:cs="仿宋"/>
          <w:spacing w:val="-2"/>
          <w:sz w:val="32"/>
          <w:szCs w:val="32"/>
          <w:highlight w:val="none"/>
        </w:rPr>
        <w:t>万元。</w:t>
      </w:r>
      <w:r>
        <w:rPr>
          <w:rFonts w:hint="eastAsia" w:ascii="仿宋" w:hAnsi="仿宋" w:eastAsia="仿宋" w:cs="仿宋"/>
          <w:spacing w:val="-2"/>
          <w:sz w:val="32"/>
          <w:szCs w:val="32"/>
          <w:highlight w:val="none"/>
          <w:lang w:val="en-US" w:eastAsia="zh-CN"/>
        </w:rPr>
        <w:t>公务接待费0万元，较</w:t>
      </w:r>
      <w:r>
        <w:rPr>
          <w:rFonts w:hint="eastAsia" w:ascii="仿宋" w:hAnsi="仿宋" w:eastAsia="仿宋" w:cs="仿宋"/>
          <w:color w:val="auto"/>
          <w:spacing w:val="-2"/>
          <w:sz w:val="32"/>
          <w:szCs w:val="32"/>
          <w:highlight w:val="none"/>
          <w:lang w:val="en-US" w:eastAsia="zh-CN"/>
        </w:rPr>
        <w:t>上年持平，主要是本年度一般公共预算资金未支出业务接待费</w:t>
      </w:r>
      <w:r>
        <w:rPr>
          <w:rFonts w:hint="eastAsia" w:ascii="仿宋" w:hAnsi="仿宋" w:eastAsia="仿宋" w:cs="仿宋"/>
          <w:color w:val="auto"/>
          <w:spacing w:val="-2"/>
          <w:sz w:val="32"/>
          <w:szCs w:val="32"/>
          <w:highlight w:val="none"/>
        </w:rPr>
        <w:t>。</w:t>
      </w:r>
    </w:p>
    <w:p w14:paraId="278BA567">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（3）会议费和培训费支出0万元。</w:t>
      </w:r>
    </w:p>
    <w:p w14:paraId="67638621">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1</w:t>
      </w:r>
      <w:r>
        <w:rPr>
          <w:rFonts w:hint="eastAsia" w:ascii="Times New Roman Regular" w:hAnsi="Times New Roman Regular" w:eastAsia="仿宋_GB2312" w:cs="Times New Roman Regular"/>
          <w:b/>
          <w:bCs/>
          <w:color w:val="auto"/>
          <w:sz w:val="32"/>
          <w:szCs w:val="32"/>
          <w:highlight w:val="none"/>
          <w:lang w:val="en-US" w:eastAsia="zh-CN"/>
        </w:rPr>
        <w:t>.</w:t>
      </w:r>
      <w:r>
        <w:rPr>
          <w:rFonts w:hint="default" w:ascii="Times New Roman Regular" w:hAnsi="Times New Roman Regular" w:eastAsia="仿宋_GB2312" w:cs="Times New Roman Regular"/>
          <w:b/>
          <w:bCs/>
          <w:color w:val="auto"/>
          <w:sz w:val="32"/>
          <w:szCs w:val="32"/>
          <w:highlight w:val="none"/>
          <w:lang w:val="en-US" w:eastAsia="zh-CN"/>
        </w:rPr>
        <w:t>项目资金（包括财政资金、自筹资金等）安排落实、总投入等情况分析。</w:t>
      </w:r>
    </w:p>
    <w:p w14:paraId="704B718F">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pacing w:val="-2"/>
          <w:sz w:val="32"/>
          <w:szCs w:val="32"/>
          <w:highlight w:val="none"/>
          <w:lang w:val="en-US" w:eastAsia="zh-CN"/>
        </w:rPr>
        <w:t>根据怀财预〔2025〕4号文件，2025年度市财政年初预算安排本单位</w:t>
      </w:r>
      <w:r>
        <w:rPr>
          <w:rFonts w:hint="default" w:ascii="仿宋" w:hAnsi="仿宋" w:eastAsia="仿宋" w:cs="仿宋"/>
          <w:color w:val="auto"/>
          <w:spacing w:val="-2"/>
          <w:sz w:val="32"/>
          <w:szCs w:val="32"/>
          <w:highlight w:val="none"/>
          <w:lang w:val="en-US" w:eastAsia="zh-CN"/>
        </w:rPr>
        <w:t>一般公共预算</w:t>
      </w:r>
      <w:r>
        <w:rPr>
          <w:rFonts w:hint="eastAsia" w:ascii="仿宋" w:hAnsi="仿宋" w:eastAsia="仿宋" w:cs="仿宋"/>
          <w:color w:val="auto"/>
          <w:spacing w:val="-2"/>
          <w:sz w:val="32"/>
          <w:szCs w:val="32"/>
          <w:highlight w:val="none"/>
          <w:lang w:val="en-US" w:eastAsia="zh-CN"/>
        </w:rPr>
        <w:t>项目资金1,702.00万元，年初预算项目资金到位率74.91%。年中追加一般公共预算项目资金100.63万元，主要有市政日常维护经费、桥梁检测费用、拆除重建团结二桥和改造犀牛塘建设项目。</w:t>
      </w:r>
    </w:p>
    <w:p w14:paraId="1F94C084">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2</w:t>
      </w:r>
      <w:r>
        <w:rPr>
          <w:rFonts w:hint="eastAsia" w:ascii="Times New Roman Regular" w:hAnsi="Times New Roman Regular" w:eastAsia="仿宋_GB2312" w:cs="Times New Roman Regular"/>
          <w:b/>
          <w:bCs/>
          <w:color w:val="auto"/>
          <w:sz w:val="32"/>
          <w:szCs w:val="32"/>
          <w:highlight w:val="none"/>
          <w:lang w:val="en-US" w:eastAsia="zh-CN"/>
        </w:rPr>
        <w:t>.</w:t>
      </w:r>
      <w:r>
        <w:rPr>
          <w:rFonts w:hint="default" w:ascii="Times New Roman Regular" w:hAnsi="Times New Roman Regular" w:eastAsia="仿宋_GB2312" w:cs="Times New Roman Regular"/>
          <w:b/>
          <w:bCs/>
          <w:color w:val="auto"/>
          <w:sz w:val="32"/>
          <w:szCs w:val="32"/>
          <w:highlight w:val="none"/>
          <w:lang w:val="en-US" w:eastAsia="zh-CN"/>
        </w:rPr>
        <w:t>项目资金（主要指财政资金）实际使用情况分析。</w:t>
      </w:r>
    </w:p>
    <w:p w14:paraId="412178A4">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pacing w:val="-2"/>
          <w:sz w:val="32"/>
          <w:szCs w:val="32"/>
          <w:lang w:val="en-US" w:eastAsia="zh-CN"/>
        </w:rPr>
        <w:t>2025年度我中心项目支出</w:t>
      </w:r>
      <w:r>
        <w:rPr>
          <w:rFonts w:hint="eastAsia" w:ascii="仿宋" w:hAnsi="仿宋" w:eastAsia="仿宋" w:cs="Times New Roman"/>
          <w:color w:val="auto"/>
          <w:spacing w:val="-2"/>
          <w:sz w:val="32"/>
          <w:szCs w:val="32"/>
          <w:lang w:val="en-US" w:eastAsia="zh-CN"/>
        </w:rPr>
        <w:t>1,375.63</w:t>
      </w:r>
      <w:r>
        <w:rPr>
          <w:rFonts w:hint="eastAsia" w:ascii="仿宋" w:hAnsi="仿宋" w:eastAsia="仿宋" w:cs="仿宋"/>
          <w:color w:val="auto"/>
          <w:spacing w:val="-2"/>
          <w:sz w:val="32"/>
          <w:szCs w:val="32"/>
          <w:lang w:val="en-US" w:eastAsia="zh-CN"/>
        </w:rPr>
        <w:t>万元，主要用于城乡社区支出（类）其他城乡社区公共设施支出、城乡社区支出（类）其他城乡社区支出，其中：桥梁检测费2万元、日常维护费993.00万元、市政管理专项经费280.00万元、拆除重建团结二桥和改造犀牛塘建设100.63万元。</w:t>
      </w:r>
    </w:p>
    <w:p w14:paraId="1D04E3C3">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3</w:t>
      </w:r>
      <w:r>
        <w:rPr>
          <w:rFonts w:hint="eastAsia" w:ascii="Times New Roman Regular" w:hAnsi="Times New Roman Regular" w:eastAsia="仿宋_GB2312" w:cs="Times New Roman Regular"/>
          <w:b/>
          <w:bCs/>
          <w:color w:val="auto"/>
          <w:sz w:val="32"/>
          <w:szCs w:val="32"/>
          <w:highlight w:val="none"/>
          <w:lang w:val="en-US" w:eastAsia="zh-CN"/>
        </w:rPr>
        <w:t>.</w:t>
      </w:r>
      <w:r>
        <w:rPr>
          <w:rFonts w:hint="default" w:ascii="Times New Roman Regular" w:hAnsi="Times New Roman Regular" w:eastAsia="仿宋_GB2312" w:cs="Times New Roman Regular"/>
          <w:b/>
          <w:bCs/>
          <w:color w:val="auto"/>
          <w:sz w:val="32"/>
          <w:szCs w:val="32"/>
          <w:highlight w:val="none"/>
          <w:lang w:val="en-US" w:eastAsia="zh-CN"/>
        </w:rPr>
        <w:t>项目资金管理情况分析，主要包括管理制度、办法的制订及执行情况。</w:t>
      </w:r>
    </w:p>
    <w:p w14:paraId="7947AB74">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auto"/>
          <w:spacing w:val="-2"/>
          <w:sz w:val="32"/>
          <w:szCs w:val="32"/>
          <w:lang w:val="en-US" w:eastAsia="zh-CN"/>
        </w:rPr>
        <w:t>我中心制定了《一般性维护改造工程项目管理办法》及相关财务管理制度对专项资金的分配、使用、管理严格按制度执行，大额资金支出实行“三重一大”集体决策机制，项目招标、评审、结算按政府采购管理办法等相关要求进行，确保资金使用公开、公正、科学、高效，专款专用、不被挤占、挪用、借用或随意调整。</w:t>
      </w:r>
    </w:p>
    <w:p w14:paraId="47AF94B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（一）项目组织情况分析，主要包括项目招投标、调整、竣工验收等情况。</w:t>
      </w:r>
    </w:p>
    <w:p w14:paraId="697257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olor w:val="FF0000"/>
          <w:sz w:val="32"/>
          <w:szCs w:val="32"/>
          <w:lang w:val="en-US" w:eastAsia="zh-CN"/>
        </w:rPr>
      </w:pPr>
      <w:r>
        <w:rPr>
          <w:rFonts w:hint="eastAsia" w:ascii="仿宋" w:hAnsi="仿宋" w:eastAsia="仿宋"/>
          <w:color w:val="auto"/>
          <w:sz w:val="32"/>
          <w:szCs w:val="32"/>
          <w:lang w:val="en-US" w:eastAsia="zh-CN"/>
        </w:rPr>
        <w:t>李公湾大桥(五桥)、太平溪大桥等城市桥梁麻石护栏维修更换及湖天中桥、舞水二桥维修加固工程项目由湖南尊领项目管理有限公司代理，采购方式为竞争性磋商，计划编号为怀财采计202520127，中标单位为湖南省德星建设有限公司，中标日期为2025年8月1日，中标金额为205.70万元，于2025年8月12日签订合同。本项目工程量清单金额为205.70万元，开工累计完成产值为137.65万元，占合同金额的66.92%（其中：合同内已计量98.58万元，合同内未计量4.15万元，合同外签证预算金额34.92万元）。因财政资金计划暂未下达，2025年仅支付48万元，李公湾桥和顺天公跨铁桥防撞设施项目目前属于停工状态。</w:t>
      </w:r>
    </w:p>
    <w:p w14:paraId="6A575A3F">
      <w:pPr>
        <w:pStyle w:val="8"/>
        <w:keepNext w:val="0"/>
        <w:keepLines w:val="0"/>
        <w:pageBreakBefore w:val="0"/>
        <w:kinsoku/>
        <w:wordWrap/>
        <w:topLinePunct w:val="0"/>
        <w:autoSpaceDE/>
        <w:autoSpaceDN/>
        <w:bidi w:val="0"/>
        <w:adjustRightInd/>
        <w:spacing w:beforeLines="0" w:afterLines="0" w:line="560" w:lineRule="exact"/>
        <w:ind w:left="0" w:leftChars="0" w:firstLine="640" w:firstLineChars="200"/>
        <w:jc w:val="both"/>
        <w:textAlignment w:val="auto"/>
        <w:rPr>
          <w:rFonts w:hint="eastAsia" w:ascii="仿宋" w:hAnsi="仿宋" w:eastAsia="仿宋"/>
          <w:color w:val="FF0000"/>
          <w:sz w:val="32"/>
          <w:szCs w:val="32"/>
          <w:lang w:val="en-US" w:eastAsia="zh-CN"/>
        </w:rPr>
      </w:pPr>
      <w:r>
        <w:rPr>
          <w:rFonts w:hint="eastAsia" w:ascii="仿宋" w:hAnsi="仿宋" w:eastAsia="仿宋"/>
          <w:color w:val="auto"/>
          <w:sz w:val="32"/>
          <w:szCs w:val="32"/>
          <w:lang w:val="en-US" w:eastAsia="zh-CN"/>
        </w:rPr>
        <w:t>旅发大会观摩沿线照明提质电缆采购项目由湖南智怀工程咨询有限公司代理，采购方式为竞争性谈判，计划编号为怀财采计202510136，中标单位为湖南金缆电工科技有限责任公司，中标日期为2025年8月28日，中标金额为127.70万元，于2025年8月30日签订合同。该项目由主管局委托本单位承办业务全流程手续，项目资金归属主管局，款项支付及财务核算均由主管局负责。本年度已完成项目采购。</w:t>
      </w:r>
    </w:p>
    <w:p w14:paraId="23B0FB2F">
      <w:pPr>
        <w:pStyle w:val="8"/>
        <w:keepNext w:val="0"/>
        <w:keepLines w:val="0"/>
        <w:pageBreakBefore w:val="0"/>
        <w:kinsoku/>
        <w:wordWrap/>
        <w:topLinePunct w:val="0"/>
        <w:autoSpaceDE/>
        <w:autoSpaceDN/>
        <w:bidi w:val="0"/>
        <w:adjustRightInd/>
        <w:spacing w:beforeLines="0" w:afterLines="0" w:line="560" w:lineRule="exact"/>
        <w:ind w:left="0" w:leftChars="0"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olor w:val="auto"/>
          <w:sz w:val="32"/>
          <w:szCs w:val="32"/>
          <w:lang w:val="en-US" w:eastAsia="zh-CN"/>
        </w:rPr>
        <w:t>东盟大道（隆平大道至环城南路）市政道路文化隔离栏杆安装项目由湖南毅兴工程项目管理有限公司代理，采购方式为竞争性磋商，计划编号为怀财采计202520178，中标单位为怀化建设工程集团有限公司，中标日期为2025年8月30日，中标金额为129.31万元，于2025年9月2日签订合同。本年度已完成项目采购。</w:t>
      </w:r>
    </w:p>
    <w:p w14:paraId="4E7AEDC3">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（二）项目管理情况分析，主要包括项目管理制度建设、日常检查监督管理等情况。</w:t>
      </w:r>
    </w:p>
    <w:p w14:paraId="31DCD2C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heme="minorBidi"/>
          <w:color w:val="auto"/>
          <w:kern w:val="2"/>
          <w:sz w:val="32"/>
          <w:szCs w:val="32"/>
          <w:lang w:val="en-US" w:eastAsia="zh-CN" w:bidi="ar-SA"/>
        </w:rPr>
        <w:t>制定了项目管理制度，包括“三重一大”集体决策机制、项目管理制度等。在项目实施过程中，工作人员能严格执行制度的相关规定，实施日常检查并建立了日常检查台账。</w:t>
      </w:r>
    </w:p>
    <w:p w14:paraId="6681E12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四、资产管理情况</w:t>
      </w:r>
    </w:p>
    <w:p w14:paraId="4F2628E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theme="minorBidi"/>
          <w:color w:val="auto"/>
          <w:kern w:val="2"/>
          <w:sz w:val="32"/>
          <w:szCs w:val="32"/>
          <w:highlight w:val="none"/>
          <w:lang w:val="en-US" w:eastAsia="zh-CN" w:bidi="ar-SA"/>
        </w:rPr>
        <w:t>我中心建立了《国有资产管理制度》。按照资产管理信息化的要求，建立了规范的固定资产台账，将全部资产录入资产信息管理系统并及时更新。资产的配置、购置、验收、入账、领用均按照《国有资产管理制度》执行，落实资产关键岗位、使用人员的职责。2025年末资产总额331,664.23万元，负债总额277.81万元，净资产331,386.42万元。与上年相比，资产减少154.77万元，负债增加97.39万元，净资产减少252.16万元。2025年新购固定资产11.79万元，主要为本年度安可替代更新国产台式电脑23台，购买地下通道污水泵、碎纸机、办公座椅、档案文件柜等设备及办公家具；无偿划拨办公用房5.19万元；处置小型电动工具26台4.93万元、北侧办公楼132.61万元；石门料场地面硬化在建工程转固56.07万元</w:t>
      </w:r>
      <w:r>
        <w:rPr>
          <w:rFonts w:hint="default" w:ascii="仿宋" w:hAnsi="仿宋" w:eastAsia="仿宋" w:cstheme="minorBidi"/>
          <w:color w:val="auto"/>
          <w:kern w:val="2"/>
          <w:sz w:val="32"/>
          <w:szCs w:val="32"/>
          <w:highlight w:val="none"/>
          <w:lang w:val="en-US" w:eastAsia="zh-CN" w:bidi="ar-SA"/>
        </w:rPr>
        <w:t>。</w:t>
      </w:r>
    </w:p>
    <w:p w14:paraId="7C2AAC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五、政府性基金预算支出情况</w:t>
      </w:r>
    </w:p>
    <w:p w14:paraId="2ED5045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heme="minorBidi"/>
          <w:color w:val="auto"/>
          <w:kern w:val="2"/>
          <w:sz w:val="32"/>
          <w:szCs w:val="32"/>
          <w:highlight w:val="none"/>
          <w:lang w:val="en-US" w:eastAsia="zh-CN" w:bidi="ar-SA"/>
        </w:rPr>
        <w:t>2025年我中心政府性基金预算指标1,307.00万元，上年结转项目指标85.89万元，本年下达可用指标915.89万元，实际支出915.89万元，均为项目支出，其中：桥梁检测费43万元、日常维护费872.89万元。政府性基金预算执行率100.00%。</w:t>
      </w:r>
    </w:p>
    <w:p w14:paraId="3488626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六、国有资本经营预算支出情况</w:t>
      </w:r>
    </w:p>
    <w:p w14:paraId="3586BA0D">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spacing w:val="-2"/>
          <w:sz w:val="32"/>
          <w:szCs w:val="32"/>
          <w:lang w:val="en-US" w:eastAsia="zh-CN"/>
        </w:rPr>
        <w:t>2025</w:t>
      </w:r>
      <w:r>
        <w:rPr>
          <w:rFonts w:hint="eastAsia" w:hAnsi="仿宋" w:eastAsia="仿宋"/>
          <w:spacing w:val="-2"/>
          <w:sz w:val="32"/>
          <w:szCs w:val="32"/>
          <w:lang w:val="en-US" w:eastAsia="zh-CN"/>
        </w:rPr>
        <w:t>年本单位无国有资本经营预算支出。</w:t>
      </w:r>
    </w:p>
    <w:p w14:paraId="3844A89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七、社会保险基金预算支出情况</w:t>
      </w:r>
    </w:p>
    <w:p w14:paraId="0CE02551">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spacing w:val="-2"/>
          <w:sz w:val="32"/>
          <w:szCs w:val="32"/>
          <w:lang w:val="en-US" w:eastAsia="zh-CN"/>
        </w:rPr>
        <w:t>2025年</w:t>
      </w:r>
      <w:r>
        <w:rPr>
          <w:rFonts w:hint="eastAsia" w:hAnsi="仿宋" w:eastAsia="仿宋"/>
          <w:spacing w:val="-2"/>
          <w:sz w:val="32"/>
          <w:szCs w:val="32"/>
          <w:lang w:val="en-US" w:eastAsia="zh-CN"/>
        </w:rPr>
        <w:t>本单位无社会保险基金预算支出。</w:t>
      </w:r>
    </w:p>
    <w:p w14:paraId="387ACBF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八、部门整体支出绩效情况</w:t>
      </w:r>
    </w:p>
    <w:p w14:paraId="75FD4F8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楷体_GB2312" w:eastAsia="楷体_GB2312" w:cs="楷体_GB2312"/>
          <w:b/>
          <w:bCs/>
          <w:i w:val="0"/>
          <w:iCs w:val="0"/>
          <w:caps w:val="0"/>
          <w:color w:val="auto"/>
          <w:spacing w:val="0"/>
          <w:sz w:val="32"/>
          <w:szCs w:val="32"/>
          <w:highlight w:val="none"/>
        </w:rPr>
      </w:pPr>
      <w:r>
        <w:rPr>
          <w:rFonts w:hint="default" w:ascii="Times New Roman Regular" w:hAnsi="Times New Roman Regular" w:eastAsia="仿宋_GB2312" w:cs="Times New Roman Regular"/>
          <w:b/>
          <w:bCs/>
          <w:color w:val="auto"/>
          <w:kern w:val="2"/>
          <w:sz w:val="32"/>
          <w:szCs w:val="32"/>
          <w:highlight w:val="none"/>
          <w:lang w:val="en-US" w:eastAsia="zh-CN" w:bidi="ar-SA"/>
        </w:rPr>
        <w:t>（一）综合评价结论。反映自评得分及评价等级。</w:t>
      </w:r>
    </w:p>
    <w:p w14:paraId="40AB159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楷体_GB2312" w:eastAsia="楷体_GB2312" w:cs="楷体_GB2312"/>
          <w:i w:val="0"/>
          <w:iCs w:val="0"/>
          <w:caps w:val="0"/>
          <w:color w:val="auto"/>
          <w:spacing w:val="0"/>
          <w:sz w:val="32"/>
          <w:szCs w:val="32"/>
          <w:highlight w:val="none"/>
          <w:shd w:val="clear" w:fill="FFFFFF"/>
        </w:rPr>
      </w:pPr>
      <w:r>
        <w:rPr>
          <w:rFonts w:hint="default" w:ascii="仿宋" w:hAnsi="仿宋" w:eastAsia="仿宋" w:cs="Times New Roman"/>
          <w:color w:val="auto"/>
          <w:spacing w:val="-2"/>
          <w:kern w:val="2"/>
          <w:sz w:val="32"/>
          <w:szCs w:val="32"/>
          <w:highlight w:val="none"/>
          <w:lang w:val="en-US" w:eastAsia="zh-CN" w:bidi="ar-SA"/>
        </w:rPr>
        <w:t>根据本次自评情况，</w:t>
      </w:r>
      <w:r>
        <w:rPr>
          <w:rFonts w:hint="eastAsia" w:ascii="仿宋" w:hAnsi="仿宋" w:eastAsia="仿宋" w:cs="Times New Roman"/>
          <w:color w:val="auto"/>
          <w:spacing w:val="-2"/>
          <w:kern w:val="2"/>
          <w:sz w:val="32"/>
          <w:szCs w:val="32"/>
          <w:highlight w:val="none"/>
          <w:lang w:val="en-US" w:eastAsia="zh-CN" w:bidi="ar-SA"/>
        </w:rPr>
        <w:t>我中心</w:t>
      </w:r>
      <w:r>
        <w:rPr>
          <w:rFonts w:hint="default" w:ascii="仿宋" w:hAnsi="仿宋" w:eastAsia="仿宋" w:cs="Times New Roman"/>
          <w:color w:val="auto"/>
          <w:spacing w:val="-2"/>
          <w:kern w:val="2"/>
          <w:sz w:val="32"/>
          <w:szCs w:val="32"/>
          <w:highlight w:val="none"/>
          <w:lang w:val="en-US" w:eastAsia="zh-CN" w:bidi="ar-SA"/>
        </w:rPr>
        <w:t>整体支出绩效评价得分为</w:t>
      </w:r>
      <w:r>
        <w:rPr>
          <w:rFonts w:hint="eastAsia" w:ascii="仿宋" w:hAnsi="仿宋" w:eastAsia="仿宋" w:cs="Times New Roman"/>
          <w:color w:val="auto"/>
          <w:spacing w:val="-2"/>
          <w:kern w:val="2"/>
          <w:sz w:val="32"/>
          <w:szCs w:val="32"/>
          <w:highlight w:val="none"/>
          <w:lang w:val="en-US" w:eastAsia="zh-CN" w:bidi="ar-SA"/>
        </w:rPr>
        <w:t>97.37</w:t>
      </w:r>
      <w:r>
        <w:rPr>
          <w:rFonts w:hint="default" w:ascii="仿宋" w:hAnsi="仿宋" w:eastAsia="仿宋" w:cs="Times New Roman"/>
          <w:color w:val="auto"/>
          <w:spacing w:val="-2"/>
          <w:kern w:val="2"/>
          <w:sz w:val="32"/>
          <w:szCs w:val="32"/>
          <w:highlight w:val="none"/>
          <w:lang w:val="en-US" w:eastAsia="zh-CN" w:bidi="ar-SA"/>
        </w:rPr>
        <w:t>分，自评等级为优。</w:t>
      </w:r>
    </w:p>
    <w:p w14:paraId="2F64201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Times New Roman Regular" w:hAnsi="Times New Roman Regular" w:eastAsia="仿宋_GB2312" w:cs="Times New Roman Regular"/>
          <w:b/>
          <w:bCs/>
          <w:color w:val="auto"/>
          <w:kern w:val="2"/>
          <w:sz w:val="32"/>
          <w:szCs w:val="32"/>
          <w:highlight w:val="none"/>
          <w:lang w:val="en-US" w:eastAsia="zh-CN" w:bidi="ar-SA"/>
        </w:rPr>
      </w:pPr>
      <w:r>
        <w:rPr>
          <w:rFonts w:hint="default" w:ascii="Times New Roman Regular" w:hAnsi="Times New Roman Regular" w:eastAsia="仿宋_GB2312" w:cs="Times New Roman Regular"/>
          <w:b/>
          <w:bCs/>
          <w:color w:val="auto"/>
          <w:kern w:val="2"/>
          <w:sz w:val="32"/>
          <w:szCs w:val="32"/>
          <w:highlight w:val="none"/>
          <w:lang w:val="en-US" w:eastAsia="zh-CN" w:bidi="ar-SA"/>
        </w:rPr>
        <w:t>（二）评价指标分析（或综合评价情况）。</w:t>
      </w:r>
    </w:p>
    <w:p w14:paraId="4DECFB83">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我中心严格按照绩效目标制定的相关规定，</w:t>
      </w:r>
      <w:r>
        <w:rPr>
          <w:rFonts w:hint="default" w:ascii="仿宋" w:hAnsi="仿宋" w:eastAsia="仿宋" w:cs="仿宋"/>
          <w:color w:val="auto"/>
          <w:spacing w:val="-2"/>
          <w:sz w:val="32"/>
          <w:szCs w:val="32"/>
          <w:highlight w:val="none"/>
          <w:lang w:val="en-US" w:eastAsia="zh-CN"/>
        </w:rPr>
        <w:t>围绕部门职责、行业发展规划</w:t>
      </w:r>
      <w:r>
        <w:rPr>
          <w:rFonts w:hint="eastAsia" w:ascii="仿宋" w:hAnsi="仿宋" w:eastAsia="仿宋" w:cs="仿宋"/>
          <w:color w:val="auto"/>
          <w:spacing w:val="-2"/>
          <w:sz w:val="32"/>
          <w:szCs w:val="32"/>
          <w:highlight w:val="none"/>
          <w:lang w:val="en-US" w:eastAsia="zh-CN"/>
        </w:rPr>
        <w:t>，完整、合理地制定整体绩效目标，绩效指标基本做到细化量化。</w:t>
      </w:r>
    </w:p>
    <w:p w14:paraId="04B7E95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1.整体绩效目标设定</w:t>
      </w:r>
    </w:p>
    <w:p w14:paraId="3437B94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（1）绩效目标合理性。绩效目标符合国家法律法规、国民经济和社会发展总体规划；符合部门“三定”方案确定的职责；符合部门制定的中长期实施规划。</w:t>
      </w:r>
    </w:p>
    <w:p w14:paraId="454132E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（2）绩效指标明确性。将部门整体的绩效目标细化分解为具体的工作任务；与部门年度的任务数或计划数相对应；与本年度部门预算资金相匹配。</w:t>
      </w:r>
    </w:p>
    <w:p w14:paraId="430D536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2.预算配置</w:t>
      </w:r>
    </w:p>
    <w:p w14:paraId="1971056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（1）在职人员控制率。2025年编制数160人，实际在职人员数149人，在职人员控制率为93.13%，控制在预算编制内。</w:t>
      </w:r>
    </w:p>
    <w:p w14:paraId="0837D97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（2）“三公经费”变动率。2025年“三公经费”预算数0.60万元，与上年度“三公经费”预算数保持一致，“三公经费”变动率0%。</w:t>
      </w:r>
    </w:p>
    <w:p w14:paraId="6BC8ECF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3.</w:t>
      </w:r>
      <w:r>
        <w:rPr>
          <w:rFonts w:hint="default" w:ascii="仿宋" w:hAnsi="仿宋" w:eastAsia="仿宋" w:cs="仿宋"/>
          <w:b/>
          <w:bCs/>
          <w:color w:val="auto"/>
          <w:kern w:val="2"/>
          <w:sz w:val="32"/>
          <w:szCs w:val="32"/>
          <w:highlight w:val="none"/>
          <w:lang w:val="en-US" w:eastAsia="zh-CN" w:bidi="ar-SA"/>
        </w:rPr>
        <w:t>预算执行</w:t>
      </w:r>
    </w:p>
    <w:p w14:paraId="25FDB9D8">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（1）预算执行率。2025年全年预算数5,370.05万元，执行数3,954.89万元，预算执行率73.65%。</w:t>
      </w:r>
    </w:p>
    <w:p w14:paraId="34A15E4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（2）预算调整率。2025年预算调整数559.82万元，年初预算数4,810.23万元，预算调整率11.64%。</w:t>
      </w:r>
    </w:p>
    <w:p w14:paraId="06A1901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（3）公用经费控制率。2025年预算安排公用经费总额60.00万元（年初预算指标114.00万元），实际安排公用经费总额6.97万元，公用经费控制率11.62%，公用经费控制在预算范围内。</w:t>
      </w:r>
    </w:p>
    <w:p w14:paraId="21EF2326">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（4）“三公经费”控制率。2025年“三公经费”预算安排数0.60万元，实际支出数0.13万元，“三公经费”控制率21.67%，主要原因是根据业务需要，本年度业务接待费发生较少。</w:t>
      </w:r>
    </w:p>
    <w:p w14:paraId="31F56329">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（5）政府采购执行率</w:t>
      </w:r>
    </w:p>
    <w:p w14:paraId="76277BB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政府采购年初预算金额1,668.80万元，实际政府采购金额911.41万元，政府采购执行率54.61%，控制在预算范围内。</w:t>
      </w:r>
    </w:p>
    <w:p w14:paraId="1C031D0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4.</w:t>
      </w:r>
      <w:r>
        <w:rPr>
          <w:rFonts w:hint="default" w:ascii="仿宋" w:hAnsi="仿宋" w:eastAsia="仿宋" w:cs="仿宋"/>
          <w:b/>
          <w:bCs/>
          <w:color w:val="auto"/>
          <w:kern w:val="2"/>
          <w:sz w:val="32"/>
          <w:szCs w:val="32"/>
          <w:highlight w:val="none"/>
          <w:lang w:val="en-US" w:eastAsia="zh-CN" w:bidi="ar-SA"/>
        </w:rPr>
        <w:t>预算管理</w:t>
      </w:r>
    </w:p>
    <w:p w14:paraId="028C9D6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（1）管理制度健全性。我单位已制定内部财务管理制度，并严格按管理办法执行。</w:t>
      </w:r>
    </w:p>
    <w:p w14:paraId="482CDB2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（2）资金使用合规性。资金的拨付有完整的审批程序和手续，预算支出的重大开支经集体决策;不存在截留、挤占、挪用、虚列支出等情况。</w:t>
      </w:r>
    </w:p>
    <w:p w14:paraId="0DF10CC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（3）预决算信息公开性。按财政规定内容、规定时限完成预决算公开信息。</w:t>
      </w:r>
    </w:p>
    <w:p w14:paraId="48FC4BA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5.</w:t>
      </w:r>
      <w:r>
        <w:rPr>
          <w:rFonts w:hint="default" w:ascii="仿宋" w:hAnsi="仿宋" w:eastAsia="仿宋" w:cs="仿宋"/>
          <w:b/>
          <w:bCs/>
          <w:color w:val="auto"/>
          <w:kern w:val="2"/>
          <w:sz w:val="32"/>
          <w:szCs w:val="32"/>
          <w:highlight w:val="none"/>
          <w:lang w:val="en-US" w:eastAsia="zh-CN" w:bidi="ar-SA"/>
        </w:rPr>
        <w:t>资产管理</w:t>
      </w:r>
    </w:p>
    <w:p w14:paraId="472C7526">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（1）管理制度健全性。我单位已制定《国有资产管理制度》，并严格按照制度执行。</w:t>
      </w:r>
    </w:p>
    <w:p w14:paraId="30F756C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（2）资产管理安全性。资产保存完整、资产配置合理、资产处置规范、资产账务管理账实相符、处置收入及时足额上缴。</w:t>
      </w:r>
    </w:p>
    <w:p w14:paraId="14379B9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6.职责履行</w:t>
      </w:r>
    </w:p>
    <w:p w14:paraId="205311E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（1）实际完成情况</w:t>
      </w:r>
    </w:p>
    <w:p w14:paraId="72AF69D4">
      <w:pPr>
        <w:keepNext w:val="0"/>
        <w:keepLines w:val="0"/>
        <w:pageBreakBefore w:val="0"/>
        <w:kinsoku/>
        <w:wordWrap/>
        <w:topLinePunct w:val="0"/>
        <w:autoSpaceDE/>
        <w:autoSpaceDN/>
        <w:bidi w:val="0"/>
        <w:adjustRightInd/>
        <w:spacing w:line="560" w:lineRule="exact"/>
        <w:ind w:firstLine="632" w:firstLineChars="200"/>
        <w:textAlignment w:val="auto"/>
        <w:rPr>
          <w:rFonts w:hint="eastAsia" w:ascii="仿宋" w:hAnsi="仿宋" w:eastAsia="仿宋" w:cs="仿宋"/>
          <w:color w:val="auto"/>
          <w:spacing w:val="-2"/>
          <w:kern w:val="0"/>
          <w:sz w:val="32"/>
          <w:szCs w:val="32"/>
          <w:highlight w:val="none"/>
          <w:lang w:val="en-US" w:eastAsia="zh-CN" w:bidi="ar"/>
        </w:rPr>
      </w:pPr>
      <w:r>
        <w:rPr>
          <w:rFonts w:hint="eastAsia" w:ascii="仿宋" w:hAnsi="仿宋" w:eastAsia="仿宋" w:cs="仿宋"/>
          <w:color w:val="auto"/>
          <w:spacing w:val="-2"/>
          <w:kern w:val="0"/>
          <w:sz w:val="32"/>
          <w:szCs w:val="32"/>
          <w:highlight w:val="none"/>
          <w:lang w:val="en-US" w:eastAsia="zh-CN" w:bidi="ar"/>
        </w:rPr>
        <w:t>突出以湖南第五届旅游发展大会为工作要点，重点会对东盟大道、怀化大道、湖天大道、天星东路、顺天大道、紫东路、府前路、迎丰路、沿河路等旅发大会观察路线，全面开展了城市道路设施、照明设施、排水设施、桥梁设施等各类市政设施的提质改造和集中维护工作。2025年，累计完成车行道沥青路面修复22100平方米，白改黑沥青路面改造15000平方米，车行道裂缝修复7000米，车行道路口和坑洞修复200处；修复人行道51730平方米，人行道护栏刷漆翻新14800米，调平路沿石4950米，安装人行道护栏255米，安装隔离墩柱1392个，增设无障碍地坡道500处；清淤疏通各类排水井2208座、完成井盖提升及更换780座、完成小型排水改造19处；维修路灯及灯具14600盏、中华灯提质改造2782盏，安装投光灯450套，更换及修复路灯电缆6602米、路灯杆刷漆1900杆，检修开关箱150台；完成桥梁安全检测17座，维修桥梁麻石护栏3080米，更换麻石桥梁人行道535米，桥梁设施刷漆更新4708平方米，安装桥梁防撞护栏11778米；办理破道行政审批37处、雨污排水接管许可36处，下达各类道路破损整改恢复通知书762份；办理智慧城管派单2400件，完成市长热线、市民投诉和网络舆情等派单整改413起，完成率达100%，及时启动强降雨应急响应1次，出动应急抢险人员150余人次，出动应急抢险车辆20余台次；完成了主管局转交办理的市人大建议和政协提案主办件3件，见面率、答复率、满意率均达100%；选派3名乡村振兴工作队员入驻新晃县凉伞镇桂林溪村，从新晃县机关部门争取10万元农田水利灌溉专项资金用于建设和维修稻田灌溉水渠，解决了桂林溪村60亩农田“灌溉难”问题，在村部新建176平方米的农产品仓储保鲜冷链基地，惠及便民服务，带动生产、帮助农民产销对接，并捐赠多批扶贫物资及设备器材。</w:t>
      </w:r>
    </w:p>
    <w:p w14:paraId="110559A4">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kern w:val="0"/>
          <w:sz w:val="32"/>
          <w:szCs w:val="32"/>
          <w:highlight w:val="none"/>
          <w:lang w:val="en-US" w:eastAsia="zh-CN" w:bidi="ar"/>
        </w:rPr>
      </w:pPr>
      <w:r>
        <w:rPr>
          <w:rFonts w:hint="eastAsia" w:ascii="仿宋" w:hAnsi="仿宋" w:eastAsia="仿宋" w:cs="仿宋"/>
          <w:color w:val="auto"/>
          <w:spacing w:val="-2"/>
          <w:kern w:val="0"/>
          <w:sz w:val="32"/>
          <w:szCs w:val="32"/>
          <w:highlight w:val="none"/>
          <w:lang w:val="en-US" w:eastAsia="zh-CN" w:bidi="ar"/>
        </w:rPr>
        <w:t>（2）质量完成情况</w:t>
      </w:r>
    </w:p>
    <w:p w14:paraId="1E9F5A6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kern w:val="0"/>
          <w:sz w:val="32"/>
          <w:szCs w:val="32"/>
          <w:highlight w:val="none"/>
          <w:lang w:val="en-US" w:eastAsia="zh-CN" w:bidi="ar"/>
        </w:rPr>
      </w:pPr>
      <w:r>
        <w:rPr>
          <w:rFonts w:hint="eastAsia" w:ascii="仿宋" w:hAnsi="仿宋" w:eastAsia="仿宋" w:cs="仿宋"/>
          <w:color w:val="auto"/>
          <w:spacing w:val="-2"/>
          <w:kern w:val="0"/>
          <w:sz w:val="32"/>
          <w:szCs w:val="32"/>
          <w:highlight w:val="none"/>
          <w:lang w:val="en-US" w:eastAsia="zh-CN" w:bidi="ar"/>
        </w:rPr>
        <w:t>智慧城管派单办结率100%、安全隐患排查覆盖率100%、市民服务热线完成率100%。完成目标。</w:t>
      </w:r>
    </w:p>
    <w:p w14:paraId="642AFA6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（3）完成及时情况</w:t>
      </w:r>
    </w:p>
    <w:p w14:paraId="49341839">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黑体" w:hAnsi="黑体" w:eastAsia="黑体" w:cs="黑体"/>
          <w:i w:val="0"/>
          <w:iCs w:val="0"/>
          <w:caps w:val="0"/>
          <w:color w:val="auto"/>
          <w:spacing w:val="0"/>
          <w:sz w:val="32"/>
          <w:szCs w:val="32"/>
          <w:highlight w:val="none"/>
          <w:shd w:val="clear" w:fill="FFFFFF"/>
        </w:rPr>
      </w:pPr>
      <w:r>
        <w:rPr>
          <w:rFonts w:hint="eastAsia" w:ascii="仿宋" w:hAnsi="仿宋" w:eastAsia="仿宋" w:cs="仿宋"/>
          <w:color w:val="auto"/>
          <w:spacing w:val="-2"/>
          <w:sz w:val="32"/>
          <w:szCs w:val="32"/>
          <w:highlight w:val="none"/>
          <w:lang w:val="en-US" w:eastAsia="zh-CN"/>
        </w:rPr>
        <w:t>整体工作在2025年12月底之前完成，完成目标。</w:t>
      </w:r>
    </w:p>
    <w:p w14:paraId="4FCFCC8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7.履职效益情况</w:t>
      </w:r>
    </w:p>
    <w:p w14:paraId="0779F51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黑体" w:hAnsi="黑体" w:eastAsia="黑体" w:cs="黑体"/>
          <w:i w:val="0"/>
          <w:iCs w:val="0"/>
          <w:caps w:val="0"/>
          <w:color w:val="auto"/>
          <w:spacing w:val="0"/>
          <w:sz w:val="32"/>
          <w:szCs w:val="32"/>
          <w:highlight w:val="none"/>
          <w:shd w:val="clear" w:fill="FFFFFF"/>
          <w:lang w:val="en-US" w:eastAsia="zh-CN"/>
        </w:rPr>
      </w:pPr>
      <w:r>
        <w:rPr>
          <w:rFonts w:hint="eastAsia" w:ascii="仿宋" w:hAnsi="仿宋" w:eastAsia="仿宋" w:cs="仿宋"/>
          <w:color w:val="auto"/>
          <w:spacing w:val="-2"/>
          <w:sz w:val="32"/>
          <w:szCs w:val="32"/>
          <w:highlight w:val="none"/>
          <w:lang w:val="en-US" w:eastAsia="zh-CN"/>
        </w:rPr>
        <w:t>（1）社会效益</w:t>
      </w:r>
    </w:p>
    <w:p w14:paraId="336F7946">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改善城市市容形象，提升城市品位，保障城市文明出行。完成目标。</w:t>
      </w:r>
    </w:p>
    <w:p w14:paraId="2B8453F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（2）可持续影响效益</w:t>
      </w:r>
    </w:p>
    <w:p w14:paraId="6367839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持续提升市容形象、城市品位。完成目标。</w:t>
      </w:r>
    </w:p>
    <w:p w14:paraId="2EC2D93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（3）满意度</w:t>
      </w:r>
    </w:p>
    <w:p w14:paraId="57D9817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社会公众满意度95%，基本完成目标。</w:t>
      </w:r>
    </w:p>
    <w:p w14:paraId="7943E2D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九、存在的问题及原因分析</w:t>
      </w:r>
    </w:p>
    <w:p w14:paraId="5A723CC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eastAsia" w:ascii="Times New Roman Regular" w:hAnsi="Times New Roman Regular" w:eastAsia="仿宋_GB2312" w:cs="Times New Roman Regular"/>
          <w:b/>
          <w:bCs/>
          <w:color w:val="auto"/>
          <w:kern w:val="2"/>
          <w:sz w:val="32"/>
          <w:szCs w:val="32"/>
          <w:highlight w:val="none"/>
          <w:lang w:val="en-US" w:eastAsia="zh-CN" w:bidi="ar-SA"/>
        </w:rPr>
      </w:pPr>
      <w:r>
        <w:rPr>
          <w:rFonts w:hint="eastAsia" w:ascii="Times New Roman Regular" w:hAnsi="Times New Roman Regular" w:eastAsia="仿宋_GB2312" w:cs="Times New Roman Regular"/>
          <w:b/>
          <w:bCs/>
          <w:color w:val="auto"/>
          <w:kern w:val="2"/>
          <w:sz w:val="32"/>
          <w:szCs w:val="32"/>
          <w:highlight w:val="none"/>
          <w:lang w:val="en-US" w:eastAsia="zh-CN" w:bidi="ar-SA"/>
        </w:rPr>
        <w:t>（一）预算绩效管理精细化程度有待提升</w:t>
      </w:r>
    </w:p>
    <w:p w14:paraId="6EF2DD7C">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jc w:val="both"/>
        <w:textAlignment w:val="auto"/>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lang w:val="en-US" w:eastAsia="zh-CN"/>
        </w:rPr>
        <w:t>绩效过程管控偏弱，重项目实施、轻绩效监控，日常缺少阶段性绩效跟踪、数据分析和偏差纠偏，绩效管理多集中在年末总结，全过程绩效管理闭环不够完善。主要是因为干部职工重业务履职、轻绩效管理的惯性思维仍然存在，对全过程预算绩效管理理解不透彻，缺乏常态化绩效监控、动态纠偏的工作意识，绩效与业务、预算融合度不高。</w:t>
      </w:r>
    </w:p>
    <w:p w14:paraId="090BE3BF">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eastAsia" w:ascii="Times New Roman Regular" w:hAnsi="Times New Roman Regular" w:eastAsia="仿宋_GB2312" w:cs="Times New Roman Regular"/>
          <w:b/>
          <w:bCs/>
          <w:color w:val="auto"/>
          <w:kern w:val="2"/>
          <w:sz w:val="32"/>
          <w:szCs w:val="32"/>
          <w:highlight w:val="none"/>
          <w:lang w:val="en-US" w:eastAsia="zh-CN" w:bidi="ar-SA"/>
        </w:rPr>
      </w:pPr>
      <w:r>
        <w:rPr>
          <w:rFonts w:hint="eastAsia" w:ascii="Times New Roman Regular" w:hAnsi="Times New Roman Regular" w:eastAsia="仿宋_GB2312" w:cs="Times New Roman Regular"/>
          <w:b/>
          <w:bCs/>
          <w:color w:val="auto"/>
          <w:kern w:val="2"/>
          <w:sz w:val="32"/>
          <w:szCs w:val="32"/>
          <w:highlight w:val="none"/>
          <w:lang w:val="en-US" w:eastAsia="zh-CN" w:bidi="ar-SA"/>
        </w:rPr>
        <w:t>（二）项目资金下达时序不均衡，前期统筹压力较大</w:t>
      </w:r>
    </w:p>
    <w:p w14:paraId="6F886C0A">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jc w:val="both"/>
        <w:textAlignment w:val="auto"/>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lang w:val="en-US" w:eastAsia="zh-CN"/>
        </w:rPr>
        <w:t>市政维护工作突发性、临时性任务多，部分专项资金下达时间偏滞后，资金到位与项目实施时序存在错配。年度前期可统筹资金有限，导致部分计划性养护工作无法提前全面铺开，工作推进存在阶段性不均衡现象，对年度均衡施工作业造成一定影响。主要是因为本年度财政资金紧张，部分年初预算项目资金未及时下达。</w:t>
      </w:r>
    </w:p>
    <w:p w14:paraId="1C3AEFC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Times New Roman Regular" w:hAnsi="Times New Roman Regular" w:eastAsia="仿宋_GB2312" w:cs="Times New Roman Regular"/>
          <w:b/>
          <w:bCs/>
          <w:color w:val="auto"/>
          <w:kern w:val="2"/>
          <w:sz w:val="32"/>
          <w:szCs w:val="32"/>
          <w:highlight w:val="none"/>
          <w:lang w:val="en-US" w:eastAsia="zh-CN" w:bidi="ar-SA"/>
        </w:rPr>
      </w:pPr>
      <w:r>
        <w:rPr>
          <w:rFonts w:hint="eastAsia" w:ascii="Times New Roman Regular" w:hAnsi="Times New Roman Regular" w:eastAsia="仿宋_GB2312" w:cs="Times New Roman Regular"/>
          <w:b/>
          <w:bCs/>
          <w:color w:val="auto"/>
          <w:kern w:val="2"/>
          <w:sz w:val="32"/>
          <w:szCs w:val="32"/>
          <w:highlight w:val="none"/>
          <w:lang w:val="en-US" w:eastAsia="zh-CN" w:bidi="ar-SA"/>
        </w:rPr>
        <w:t>（三</w:t>
      </w:r>
      <w:r>
        <w:rPr>
          <w:rFonts w:hint="default" w:ascii="Times New Roman Regular" w:hAnsi="Times New Roman Regular" w:eastAsia="仿宋_GB2312" w:cs="Times New Roman Regular"/>
          <w:b/>
          <w:bCs/>
          <w:color w:val="auto"/>
          <w:kern w:val="2"/>
          <w:sz w:val="32"/>
          <w:szCs w:val="32"/>
          <w:highlight w:val="none"/>
          <w:lang w:val="en-US" w:eastAsia="zh-CN" w:bidi="ar-SA"/>
        </w:rPr>
        <w:t>）信息化智慧管护应用程度不高</w:t>
      </w:r>
    </w:p>
    <w:p w14:paraId="5FE5BFD9">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jc w:val="both"/>
        <w:textAlignment w:val="auto"/>
        <w:rPr>
          <w:rFonts w:hint="default" w:ascii="仿宋" w:hAnsi="仿宋" w:eastAsia="仿宋" w:cs="仿宋"/>
          <w:spacing w:val="-2"/>
          <w:sz w:val="32"/>
          <w:szCs w:val="32"/>
          <w:highlight w:val="none"/>
          <w:lang w:val="en-US" w:eastAsia="zh-CN"/>
        </w:rPr>
      </w:pPr>
      <w:r>
        <w:rPr>
          <w:rFonts w:hint="default" w:ascii="仿宋" w:hAnsi="仿宋" w:eastAsia="仿宋" w:cs="仿宋"/>
          <w:spacing w:val="-2"/>
          <w:sz w:val="32"/>
          <w:szCs w:val="32"/>
          <w:highlight w:val="none"/>
          <w:lang w:val="en-US" w:eastAsia="zh-CN"/>
        </w:rPr>
        <w:t>目前设施管护仍以人工巡查、纸质记录、传统台账为主，信息化、数字化监管手段运用不足。市政设施电子动态台账更新不及时，大数据分析、预判养护、智能监管能力较弱，智慧运维赋能不足。</w:t>
      </w:r>
      <w:r>
        <w:rPr>
          <w:rFonts w:hint="eastAsia" w:ascii="仿宋" w:hAnsi="仿宋" w:eastAsia="仿宋" w:cs="仿宋"/>
          <w:spacing w:val="-2"/>
          <w:sz w:val="32"/>
          <w:szCs w:val="32"/>
          <w:highlight w:val="none"/>
          <w:lang w:val="en-US" w:eastAsia="zh-CN"/>
        </w:rPr>
        <w:t>主要是因为智慧市政运维系统应用推广力度不足，人员数字化操作能力有待提升，传统管护模式固化，未能充分利用信息化手段提升巡查、处置、监管、分析的整体效能。</w:t>
      </w:r>
    </w:p>
    <w:p w14:paraId="4F0F780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十、下一步改进措施</w:t>
      </w:r>
    </w:p>
    <w:p w14:paraId="4ED3F1EE">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textAlignment w:val="auto"/>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lang w:val="en-US" w:eastAsia="zh-CN"/>
        </w:rPr>
        <w:t>针对本年度绩效自评发现的薄弱环节，我中心将立足市政养护工作职责，坚持问题导向、目标导向、结果导向相结合，补齐管理短板，健全长效机制，持续提升城市市政设施管护水平和财政资金使用效益。改进措施：一是强化全过程预算绩效管理，提升绩效管控质效；二是加强资金对接统筹，实现资金与项目高效衔接；推进智慧市政建设，提升数字化管护能力。</w:t>
      </w:r>
    </w:p>
    <w:p w14:paraId="6A2EBD7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十一、绩效自评结果拟应用和公开情况</w:t>
      </w:r>
    </w:p>
    <w:p w14:paraId="2DBCACD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根据2025年本单位绩效自评结果进一步优化目标管理、改进履职效能、加强预算绩效管理等。绩效自评结果将按照怀化市财政局的要求，在相关网站予以公示。</w:t>
      </w:r>
    </w:p>
    <w:p w14:paraId="0D944C4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十二、其他需要说明的情况</w:t>
      </w:r>
    </w:p>
    <w:p w14:paraId="5549CDF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无。</w:t>
      </w:r>
    </w:p>
    <w:p w14:paraId="4FD3C6E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0B257E3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整体支出报告需要以下附件：</w:t>
      </w:r>
    </w:p>
    <w:p w14:paraId="28AC6E9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1.部门整体支出绩效评价基础数据表</w:t>
      </w:r>
    </w:p>
    <w:p w14:paraId="54EE272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2.部门整体支出绩效自评表</w:t>
      </w:r>
    </w:p>
    <w:p w14:paraId="70DDFBE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3.项目支出绩效自评表（每个一级项目支出一张表）</w:t>
      </w:r>
    </w:p>
    <w:p w14:paraId="09B3977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仿宋" w:hAnsi="仿宋" w:eastAsia="仿宋" w:cs="仿宋"/>
          <w:b w:val="0"/>
          <w:bCs w:val="0"/>
          <w:color w:val="auto"/>
          <w:sz w:val="32"/>
          <w:szCs w:val="32"/>
          <w:highlight w:val="none"/>
          <w:lang w:val="en-US" w:eastAsia="zh-CN"/>
        </w:rPr>
        <w:sectPr>
          <w:pgSz w:w="11906" w:h="16838"/>
          <w:pgMar w:top="2098" w:right="1474" w:bottom="1984" w:left="1587" w:header="851" w:footer="992" w:gutter="0"/>
          <w:cols w:space="425" w:num="1"/>
          <w:docGrid w:type="lines" w:linePitch="312" w:charSpace="0"/>
        </w:sectPr>
      </w:pPr>
      <w:r>
        <w:rPr>
          <w:rFonts w:hint="eastAsia" w:ascii="仿宋" w:hAnsi="仿宋" w:eastAsia="仿宋" w:cs="仿宋"/>
          <w:b w:val="0"/>
          <w:bCs w:val="0"/>
          <w:color w:val="auto"/>
          <w:sz w:val="32"/>
          <w:szCs w:val="32"/>
          <w:highlight w:val="none"/>
          <w:lang w:val="en-US" w:eastAsia="zh-CN"/>
        </w:rPr>
        <w:t>4</w:t>
      </w:r>
      <w:r>
        <w:rPr>
          <w:rFonts w:hint="default" w:ascii="仿宋" w:hAnsi="仿宋" w:eastAsia="仿宋" w:cs="仿宋"/>
          <w:b w:val="0"/>
          <w:bCs w:val="0"/>
          <w:color w:val="auto"/>
          <w:sz w:val="32"/>
          <w:szCs w:val="32"/>
          <w:highlight w:val="none"/>
          <w:lang w:val="en-US" w:eastAsia="zh-CN"/>
        </w:rPr>
        <w:t>、政府性基金预算支出情</w:t>
      </w:r>
    </w:p>
    <w:p w14:paraId="1119EA2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t>附件1</w:t>
      </w:r>
    </w:p>
    <w:p w14:paraId="14699D8D">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0048CCBF">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9"/>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18E8A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37033F5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4E2FC96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15E8DAE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5F52092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685E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75A25556">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1C5600B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160</w:t>
            </w:r>
            <w:r>
              <w:rPr>
                <w:rFonts w:hint="eastAsia" w:ascii="仿宋" w:hAnsi="仿宋" w:eastAsia="仿宋" w:cs="仿宋"/>
                <w:b w:val="0"/>
                <w:bCs w:val="0"/>
                <w:kern w:val="0"/>
                <w:sz w:val="20"/>
                <w:szCs w:val="20"/>
              </w:rPr>
              <w:t>　</w:t>
            </w:r>
          </w:p>
        </w:tc>
        <w:tc>
          <w:tcPr>
            <w:tcW w:w="2240" w:type="dxa"/>
            <w:gridSpan w:val="2"/>
            <w:noWrap w:val="0"/>
            <w:vAlign w:val="center"/>
          </w:tcPr>
          <w:p w14:paraId="58EDE97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149</w:t>
            </w:r>
            <w:r>
              <w:rPr>
                <w:rFonts w:hint="eastAsia" w:ascii="仿宋" w:hAnsi="仿宋" w:eastAsia="仿宋" w:cs="仿宋"/>
                <w:b w:val="0"/>
                <w:bCs w:val="0"/>
                <w:kern w:val="0"/>
                <w:sz w:val="20"/>
                <w:szCs w:val="20"/>
              </w:rPr>
              <w:t>　</w:t>
            </w:r>
          </w:p>
        </w:tc>
        <w:tc>
          <w:tcPr>
            <w:tcW w:w="1832" w:type="dxa"/>
            <w:gridSpan w:val="2"/>
            <w:noWrap w:val="0"/>
            <w:vAlign w:val="center"/>
          </w:tcPr>
          <w:p w14:paraId="19FD767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93.13%</w:t>
            </w:r>
            <w:r>
              <w:rPr>
                <w:rFonts w:hint="eastAsia" w:ascii="仿宋" w:hAnsi="仿宋" w:eastAsia="仿宋" w:cs="仿宋"/>
                <w:b w:val="0"/>
                <w:bCs w:val="0"/>
                <w:kern w:val="0"/>
                <w:sz w:val="20"/>
                <w:szCs w:val="20"/>
              </w:rPr>
              <w:t>　</w:t>
            </w:r>
          </w:p>
        </w:tc>
      </w:tr>
      <w:tr w14:paraId="2542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E0DEC8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181A9CF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B87DB5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6A1560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478CA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84F50C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63DBACC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31D1ECE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0.6</w:t>
            </w:r>
            <w:r>
              <w:rPr>
                <w:rFonts w:hint="eastAsia" w:ascii="仿宋" w:hAnsi="仿宋" w:eastAsia="仿宋" w:cs="仿宋"/>
                <w:b w:val="0"/>
                <w:bCs w:val="0"/>
                <w:kern w:val="0"/>
                <w:sz w:val="20"/>
                <w:szCs w:val="20"/>
              </w:rPr>
              <w:t>　</w:t>
            </w:r>
          </w:p>
        </w:tc>
        <w:tc>
          <w:tcPr>
            <w:tcW w:w="1832" w:type="dxa"/>
            <w:gridSpan w:val="2"/>
            <w:noWrap w:val="0"/>
            <w:vAlign w:val="center"/>
          </w:tcPr>
          <w:p w14:paraId="74B5A59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0.13</w:t>
            </w:r>
          </w:p>
        </w:tc>
      </w:tr>
      <w:tr w14:paraId="7E2B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4775716">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20E2F7F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3A938E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61813B5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59D8C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2908F0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43F39DB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558FB9E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1037159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694A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11B3187">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2F5BE3B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18688F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3F327C7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7395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354" w:type="dxa"/>
            <w:noWrap w:val="0"/>
            <w:vAlign w:val="center"/>
          </w:tcPr>
          <w:p w14:paraId="1BB38F7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6690C0E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32506E8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395B8C1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778D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354" w:type="dxa"/>
            <w:noWrap w:val="0"/>
            <w:vAlign w:val="center"/>
          </w:tcPr>
          <w:p w14:paraId="149C15DC">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0D0F16B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62DC659F">
            <w:pPr>
              <w:widowControl/>
              <w:jc w:val="center"/>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0.6</w:t>
            </w:r>
          </w:p>
        </w:tc>
        <w:tc>
          <w:tcPr>
            <w:tcW w:w="1832" w:type="dxa"/>
            <w:gridSpan w:val="2"/>
            <w:noWrap w:val="0"/>
            <w:vAlign w:val="center"/>
          </w:tcPr>
          <w:p w14:paraId="773DC788">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0.13</w:t>
            </w:r>
          </w:p>
        </w:tc>
      </w:tr>
      <w:tr w14:paraId="13DA9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D3FC51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01763D4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2924.89</w:t>
            </w:r>
            <w:r>
              <w:rPr>
                <w:rFonts w:hint="eastAsia" w:ascii="仿宋" w:hAnsi="仿宋" w:eastAsia="仿宋" w:cs="仿宋"/>
                <w:b w:val="0"/>
                <w:bCs w:val="0"/>
                <w:kern w:val="0"/>
                <w:sz w:val="20"/>
                <w:szCs w:val="20"/>
              </w:rPr>
              <w:t>　</w:t>
            </w:r>
          </w:p>
        </w:tc>
        <w:tc>
          <w:tcPr>
            <w:tcW w:w="2240" w:type="dxa"/>
            <w:gridSpan w:val="2"/>
            <w:noWrap w:val="0"/>
            <w:vAlign w:val="center"/>
          </w:tcPr>
          <w:p w14:paraId="5FCBC9C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3201.25</w:t>
            </w:r>
            <w:r>
              <w:rPr>
                <w:rFonts w:hint="eastAsia" w:ascii="仿宋" w:hAnsi="仿宋" w:eastAsia="仿宋" w:cs="仿宋"/>
                <w:b w:val="0"/>
                <w:bCs w:val="0"/>
                <w:kern w:val="0"/>
                <w:sz w:val="20"/>
                <w:szCs w:val="20"/>
              </w:rPr>
              <w:t>　</w:t>
            </w:r>
          </w:p>
        </w:tc>
        <w:tc>
          <w:tcPr>
            <w:tcW w:w="1832" w:type="dxa"/>
            <w:gridSpan w:val="2"/>
            <w:noWrap w:val="0"/>
            <w:vAlign w:val="center"/>
          </w:tcPr>
          <w:p w14:paraId="4888506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2291.52</w:t>
            </w:r>
            <w:r>
              <w:rPr>
                <w:rFonts w:hint="eastAsia" w:ascii="仿宋" w:hAnsi="仿宋" w:eastAsia="仿宋" w:cs="仿宋"/>
                <w:b w:val="0"/>
                <w:bCs w:val="0"/>
                <w:kern w:val="0"/>
                <w:sz w:val="20"/>
                <w:szCs w:val="20"/>
              </w:rPr>
              <w:t>　</w:t>
            </w:r>
          </w:p>
        </w:tc>
      </w:tr>
      <w:tr w14:paraId="233F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3354" w:type="dxa"/>
            <w:noWrap w:val="0"/>
            <w:vAlign w:val="center"/>
          </w:tcPr>
          <w:p w14:paraId="4FA0BEF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2B92F5E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1B11E3D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69457CF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3345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32FD9A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536EA39E">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2499.86</w:t>
            </w:r>
          </w:p>
        </w:tc>
        <w:tc>
          <w:tcPr>
            <w:tcW w:w="2240" w:type="dxa"/>
            <w:gridSpan w:val="2"/>
            <w:noWrap w:val="0"/>
            <w:vAlign w:val="center"/>
          </w:tcPr>
          <w:p w14:paraId="1F9F4C2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2300</w:t>
            </w:r>
            <w:r>
              <w:rPr>
                <w:rFonts w:hint="eastAsia" w:ascii="仿宋" w:hAnsi="仿宋" w:eastAsia="仿宋" w:cs="仿宋"/>
                <w:b w:val="0"/>
                <w:bCs w:val="0"/>
                <w:kern w:val="0"/>
                <w:sz w:val="20"/>
                <w:szCs w:val="20"/>
              </w:rPr>
              <w:t>　</w:t>
            </w:r>
          </w:p>
        </w:tc>
        <w:tc>
          <w:tcPr>
            <w:tcW w:w="1832" w:type="dxa"/>
            <w:gridSpan w:val="2"/>
            <w:noWrap w:val="0"/>
            <w:vAlign w:val="center"/>
          </w:tcPr>
          <w:p w14:paraId="380168B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1865.89</w:t>
            </w:r>
            <w:r>
              <w:rPr>
                <w:rFonts w:hint="eastAsia" w:ascii="仿宋" w:hAnsi="仿宋" w:eastAsia="仿宋" w:cs="仿宋"/>
                <w:b w:val="0"/>
                <w:bCs w:val="0"/>
                <w:kern w:val="0"/>
                <w:sz w:val="20"/>
                <w:szCs w:val="20"/>
              </w:rPr>
              <w:t>　</w:t>
            </w:r>
          </w:p>
        </w:tc>
      </w:tr>
      <w:tr w14:paraId="7FAA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354" w:type="dxa"/>
            <w:noWrap w:val="0"/>
            <w:vAlign w:val="center"/>
          </w:tcPr>
          <w:p w14:paraId="1F7E1730">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tc>
        <w:tc>
          <w:tcPr>
            <w:tcW w:w="2038" w:type="dxa"/>
            <w:gridSpan w:val="2"/>
            <w:noWrap w:val="0"/>
            <w:vAlign w:val="center"/>
          </w:tcPr>
          <w:p w14:paraId="3896134D">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425.03</w:t>
            </w:r>
          </w:p>
        </w:tc>
        <w:tc>
          <w:tcPr>
            <w:tcW w:w="2240" w:type="dxa"/>
            <w:gridSpan w:val="2"/>
            <w:noWrap w:val="0"/>
            <w:vAlign w:val="center"/>
          </w:tcPr>
          <w:p w14:paraId="2A477A20">
            <w:pPr>
              <w:widowControl/>
              <w:jc w:val="center"/>
              <w:rPr>
                <w:rFonts w:hint="default" w:ascii="仿宋" w:hAnsi="仿宋" w:eastAsia="仿宋" w:cs="仿宋"/>
                <w:b w:val="0"/>
                <w:bCs w:val="0"/>
                <w:kern w:val="0"/>
                <w:sz w:val="20"/>
                <w:szCs w:val="20"/>
                <w:highlight w:val="none"/>
                <w:lang w:val="en-US" w:eastAsia="zh-CN"/>
              </w:rPr>
            </w:pPr>
            <w:r>
              <w:rPr>
                <w:rFonts w:hint="eastAsia" w:ascii="仿宋" w:hAnsi="仿宋" w:eastAsia="仿宋" w:cs="仿宋"/>
                <w:b w:val="0"/>
                <w:bCs w:val="0"/>
                <w:kern w:val="0"/>
                <w:sz w:val="20"/>
                <w:szCs w:val="20"/>
                <w:highlight w:val="none"/>
                <w:lang w:val="en-US" w:eastAsia="zh-CN"/>
              </w:rPr>
              <w:t xml:space="preserve">  901.25</w:t>
            </w:r>
          </w:p>
        </w:tc>
        <w:tc>
          <w:tcPr>
            <w:tcW w:w="1832" w:type="dxa"/>
            <w:gridSpan w:val="2"/>
            <w:noWrap w:val="0"/>
            <w:vAlign w:val="center"/>
          </w:tcPr>
          <w:p w14:paraId="11BCECB8">
            <w:pPr>
              <w:widowControl/>
              <w:jc w:val="center"/>
              <w:rPr>
                <w:rFonts w:hint="eastAsia" w:ascii="仿宋" w:hAnsi="仿宋" w:eastAsia="仿宋" w:cs="仿宋"/>
                <w:b w:val="0"/>
                <w:bCs w:val="0"/>
                <w:kern w:val="0"/>
                <w:sz w:val="20"/>
                <w:szCs w:val="20"/>
                <w:highlight w:val="none"/>
              </w:rPr>
            </w:pPr>
            <w:r>
              <w:rPr>
                <w:rFonts w:hint="eastAsia" w:ascii="仿宋" w:hAnsi="仿宋" w:eastAsia="仿宋" w:cs="仿宋"/>
                <w:b w:val="0"/>
                <w:bCs w:val="0"/>
                <w:kern w:val="0"/>
                <w:sz w:val="20"/>
                <w:szCs w:val="20"/>
                <w:highlight w:val="none"/>
                <w:lang w:val="en-US" w:eastAsia="zh-CN"/>
              </w:rPr>
              <w:t>425.63</w:t>
            </w:r>
          </w:p>
        </w:tc>
      </w:tr>
      <w:tr w14:paraId="41DF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6E5386E">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舞水三桥、四桥及黄花坪大桥维修项目</w:t>
            </w:r>
          </w:p>
        </w:tc>
        <w:tc>
          <w:tcPr>
            <w:tcW w:w="2038" w:type="dxa"/>
            <w:gridSpan w:val="2"/>
            <w:noWrap w:val="0"/>
            <w:vAlign w:val="center"/>
          </w:tcPr>
          <w:p w14:paraId="55F26F84">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0.48</w:t>
            </w:r>
          </w:p>
        </w:tc>
        <w:tc>
          <w:tcPr>
            <w:tcW w:w="2240" w:type="dxa"/>
            <w:gridSpan w:val="2"/>
            <w:noWrap w:val="0"/>
            <w:vAlign w:val="center"/>
          </w:tcPr>
          <w:p w14:paraId="6A0B34D6">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71F6631C">
            <w:pPr>
              <w:widowControl/>
              <w:jc w:val="center"/>
              <w:rPr>
                <w:rFonts w:hint="eastAsia" w:ascii="仿宋" w:hAnsi="仿宋" w:eastAsia="仿宋" w:cs="仿宋"/>
                <w:b w:val="0"/>
                <w:bCs w:val="0"/>
                <w:kern w:val="0"/>
                <w:sz w:val="20"/>
                <w:szCs w:val="20"/>
              </w:rPr>
            </w:pPr>
          </w:p>
        </w:tc>
      </w:tr>
      <w:tr w14:paraId="3E64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354" w:type="dxa"/>
            <w:noWrap w:val="0"/>
            <w:vAlign w:val="center"/>
          </w:tcPr>
          <w:p w14:paraId="276E35DF">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沥青混合料搅拌环保设备</w:t>
            </w:r>
          </w:p>
        </w:tc>
        <w:tc>
          <w:tcPr>
            <w:tcW w:w="2038" w:type="dxa"/>
            <w:gridSpan w:val="2"/>
            <w:noWrap w:val="0"/>
            <w:vAlign w:val="center"/>
          </w:tcPr>
          <w:p w14:paraId="313CA21D">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43.27</w:t>
            </w:r>
          </w:p>
        </w:tc>
        <w:tc>
          <w:tcPr>
            <w:tcW w:w="2240" w:type="dxa"/>
            <w:gridSpan w:val="2"/>
            <w:noWrap w:val="0"/>
            <w:vAlign w:val="center"/>
          </w:tcPr>
          <w:p w14:paraId="79BA6F52">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0E679411">
            <w:pPr>
              <w:widowControl/>
              <w:jc w:val="center"/>
              <w:rPr>
                <w:rFonts w:hint="eastAsia" w:ascii="仿宋" w:hAnsi="仿宋" w:eastAsia="仿宋" w:cs="仿宋"/>
                <w:b w:val="0"/>
                <w:bCs w:val="0"/>
                <w:kern w:val="0"/>
                <w:sz w:val="20"/>
                <w:szCs w:val="20"/>
              </w:rPr>
            </w:pPr>
          </w:p>
        </w:tc>
      </w:tr>
      <w:tr w14:paraId="1089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72DBB63">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迎丰路等3条路道路路灯接地制作项目</w:t>
            </w:r>
          </w:p>
        </w:tc>
        <w:tc>
          <w:tcPr>
            <w:tcW w:w="2038" w:type="dxa"/>
            <w:gridSpan w:val="2"/>
            <w:noWrap w:val="0"/>
            <w:vAlign w:val="center"/>
          </w:tcPr>
          <w:p w14:paraId="596BEFF1">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46.72</w:t>
            </w:r>
          </w:p>
        </w:tc>
        <w:tc>
          <w:tcPr>
            <w:tcW w:w="2240" w:type="dxa"/>
            <w:gridSpan w:val="2"/>
            <w:noWrap w:val="0"/>
            <w:vAlign w:val="center"/>
          </w:tcPr>
          <w:p w14:paraId="3AF83DE1">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4499E184">
            <w:pPr>
              <w:widowControl/>
              <w:jc w:val="center"/>
              <w:rPr>
                <w:rFonts w:hint="eastAsia" w:ascii="仿宋" w:hAnsi="仿宋" w:eastAsia="仿宋" w:cs="仿宋"/>
                <w:b w:val="0"/>
                <w:bCs w:val="0"/>
                <w:kern w:val="0"/>
                <w:sz w:val="20"/>
                <w:szCs w:val="20"/>
              </w:rPr>
            </w:pPr>
          </w:p>
        </w:tc>
      </w:tr>
      <w:tr w14:paraId="2D3D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79516F44">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怀化学院东校区北门交通分流改造项目</w:t>
            </w:r>
          </w:p>
        </w:tc>
        <w:tc>
          <w:tcPr>
            <w:tcW w:w="2038" w:type="dxa"/>
            <w:gridSpan w:val="2"/>
            <w:noWrap w:val="0"/>
            <w:vAlign w:val="center"/>
          </w:tcPr>
          <w:p w14:paraId="41BFE0D1">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bidi="ar-SA"/>
              </w:rPr>
              <w:t>4.1</w:t>
            </w:r>
          </w:p>
        </w:tc>
        <w:tc>
          <w:tcPr>
            <w:tcW w:w="2240" w:type="dxa"/>
            <w:gridSpan w:val="2"/>
            <w:noWrap w:val="0"/>
            <w:vAlign w:val="center"/>
          </w:tcPr>
          <w:p w14:paraId="64AF1274">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03F6E37F">
            <w:pPr>
              <w:widowControl/>
              <w:jc w:val="center"/>
              <w:rPr>
                <w:rFonts w:hint="eastAsia" w:ascii="仿宋" w:hAnsi="仿宋" w:eastAsia="仿宋" w:cs="仿宋"/>
                <w:b w:val="0"/>
                <w:bCs w:val="0"/>
                <w:kern w:val="0"/>
                <w:sz w:val="20"/>
                <w:szCs w:val="20"/>
              </w:rPr>
            </w:pPr>
          </w:p>
        </w:tc>
      </w:tr>
      <w:tr w14:paraId="622F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74BAAED">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迎丰市场铁路桥等5座城市桥梁内侧墙面涂装美化改造</w:t>
            </w:r>
          </w:p>
        </w:tc>
        <w:tc>
          <w:tcPr>
            <w:tcW w:w="2038" w:type="dxa"/>
            <w:gridSpan w:val="2"/>
            <w:noWrap w:val="0"/>
            <w:vAlign w:val="center"/>
          </w:tcPr>
          <w:p w14:paraId="12FD4306">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bidi="ar-SA"/>
              </w:rPr>
              <w:t>106.56</w:t>
            </w:r>
          </w:p>
        </w:tc>
        <w:tc>
          <w:tcPr>
            <w:tcW w:w="2240" w:type="dxa"/>
            <w:gridSpan w:val="2"/>
            <w:noWrap w:val="0"/>
            <w:vAlign w:val="center"/>
          </w:tcPr>
          <w:p w14:paraId="22196517">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6C80ABD7">
            <w:pPr>
              <w:widowControl/>
              <w:jc w:val="center"/>
              <w:rPr>
                <w:rFonts w:hint="eastAsia" w:ascii="仿宋" w:hAnsi="仿宋" w:eastAsia="仿宋" w:cs="仿宋"/>
                <w:b w:val="0"/>
                <w:bCs w:val="0"/>
                <w:kern w:val="0"/>
                <w:sz w:val="20"/>
                <w:szCs w:val="20"/>
              </w:rPr>
            </w:pPr>
          </w:p>
        </w:tc>
      </w:tr>
      <w:tr w14:paraId="01F56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938937C">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湖天北路绿化带内排水管塌陷抢修经费</w:t>
            </w:r>
          </w:p>
        </w:tc>
        <w:tc>
          <w:tcPr>
            <w:tcW w:w="2038" w:type="dxa"/>
            <w:gridSpan w:val="2"/>
            <w:noWrap w:val="0"/>
            <w:vAlign w:val="center"/>
          </w:tcPr>
          <w:p w14:paraId="6B92ACC9">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bidi="ar-SA"/>
              </w:rPr>
              <w:t>2.35</w:t>
            </w:r>
          </w:p>
        </w:tc>
        <w:tc>
          <w:tcPr>
            <w:tcW w:w="2240" w:type="dxa"/>
            <w:gridSpan w:val="2"/>
            <w:noWrap w:val="0"/>
            <w:vAlign w:val="center"/>
          </w:tcPr>
          <w:p w14:paraId="7D0C54D9">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3413874B">
            <w:pPr>
              <w:widowControl/>
              <w:jc w:val="center"/>
              <w:rPr>
                <w:rFonts w:hint="eastAsia" w:ascii="仿宋" w:hAnsi="仿宋" w:eastAsia="仿宋" w:cs="仿宋"/>
                <w:b w:val="0"/>
                <w:bCs w:val="0"/>
                <w:kern w:val="0"/>
                <w:sz w:val="20"/>
                <w:szCs w:val="20"/>
              </w:rPr>
            </w:pPr>
          </w:p>
        </w:tc>
      </w:tr>
      <w:tr w14:paraId="22FD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32865F5A">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拆除重建团结二桥和改造犀牛塘建设工程水土保持编制费</w:t>
            </w:r>
          </w:p>
        </w:tc>
        <w:tc>
          <w:tcPr>
            <w:tcW w:w="2038" w:type="dxa"/>
            <w:gridSpan w:val="2"/>
            <w:noWrap w:val="0"/>
            <w:vAlign w:val="center"/>
          </w:tcPr>
          <w:p w14:paraId="2F6EF709">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bidi="ar-SA"/>
              </w:rPr>
              <w:t>173.95</w:t>
            </w:r>
          </w:p>
        </w:tc>
        <w:tc>
          <w:tcPr>
            <w:tcW w:w="2240" w:type="dxa"/>
            <w:gridSpan w:val="2"/>
            <w:noWrap w:val="0"/>
            <w:vAlign w:val="center"/>
          </w:tcPr>
          <w:p w14:paraId="36946245">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0886AA72">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100.63</w:t>
            </w:r>
          </w:p>
        </w:tc>
      </w:tr>
      <w:tr w14:paraId="1DA9A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3354" w:type="dxa"/>
            <w:noWrap w:val="0"/>
            <w:vAlign w:val="center"/>
          </w:tcPr>
          <w:p w14:paraId="491B3625">
            <w:pPr>
              <w:widowControl/>
              <w:ind w:firstLine="600" w:firstLineChars="3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桥梁检测费</w:t>
            </w:r>
          </w:p>
        </w:tc>
        <w:tc>
          <w:tcPr>
            <w:tcW w:w="2038" w:type="dxa"/>
            <w:gridSpan w:val="2"/>
            <w:noWrap w:val="0"/>
            <w:vAlign w:val="center"/>
          </w:tcPr>
          <w:p w14:paraId="283FBFE9">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47.6</w:t>
            </w:r>
          </w:p>
        </w:tc>
        <w:tc>
          <w:tcPr>
            <w:tcW w:w="2240" w:type="dxa"/>
            <w:gridSpan w:val="2"/>
            <w:noWrap w:val="0"/>
            <w:vAlign w:val="center"/>
          </w:tcPr>
          <w:p w14:paraId="5008DBCD">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139</w:t>
            </w:r>
          </w:p>
        </w:tc>
        <w:tc>
          <w:tcPr>
            <w:tcW w:w="1832" w:type="dxa"/>
            <w:gridSpan w:val="2"/>
            <w:noWrap w:val="0"/>
            <w:vAlign w:val="center"/>
          </w:tcPr>
          <w:p w14:paraId="6A916E91">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45</w:t>
            </w:r>
          </w:p>
        </w:tc>
      </w:tr>
      <w:tr w14:paraId="642B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3354" w:type="dxa"/>
            <w:noWrap w:val="0"/>
            <w:vAlign w:val="center"/>
          </w:tcPr>
          <w:p w14:paraId="325B40C1">
            <w:pPr>
              <w:widowControl/>
              <w:ind w:firstLine="600" w:firstLineChars="300"/>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2025年市政专项工作经费</w:t>
            </w:r>
          </w:p>
        </w:tc>
        <w:tc>
          <w:tcPr>
            <w:tcW w:w="2038" w:type="dxa"/>
            <w:gridSpan w:val="2"/>
            <w:noWrap w:val="0"/>
            <w:vAlign w:val="center"/>
          </w:tcPr>
          <w:p w14:paraId="6D11ABC8">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4FAC6C82">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192.25</w:t>
            </w:r>
          </w:p>
        </w:tc>
        <w:tc>
          <w:tcPr>
            <w:tcW w:w="1832" w:type="dxa"/>
            <w:gridSpan w:val="2"/>
            <w:noWrap w:val="0"/>
            <w:vAlign w:val="center"/>
          </w:tcPr>
          <w:p w14:paraId="1112F05C">
            <w:pPr>
              <w:widowControl/>
              <w:jc w:val="center"/>
              <w:rPr>
                <w:rFonts w:hint="eastAsia" w:ascii="仿宋" w:hAnsi="仿宋" w:eastAsia="仿宋" w:cs="仿宋"/>
                <w:b w:val="0"/>
                <w:bCs w:val="0"/>
                <w:kern w:val="0"/>
                <w:sz w:val="20"/>
                <w:szCs w:val="20"/>
              </w:rPr>
            </w:pPr>
          </w:p>
        </w:tc>
      </w:tr>
      <w:tr w14:paraId="63A2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354" w:type="dxa"/>
            <w:noWrap w:val="0"/>
            <w:vAlign w:val="center"/>
          </w:tcPr>
          <w:p w14:paraId="41FBBB9D">
            <w:pPr>
              <w:widowControl/>
              <w:ind w:firstLine="600" w:firstLineChars="300"/>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城市桥梁增设防撞护栏</w:t>
            </w:r>
          </w:p>
        </w:tc>
        <w:tc>
          <w:tcPr>
            <w:tcW w:w="2038" w:type="dxa"/>
            <w:gridSpan w:val="2"/>
            <w:noWrap w:val="0"/>
            <w:vAlign w:val="center"/>
          </w:tcPr>
          <w:p w14:paraId="0A19AD09">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505B1F0A">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200</w:t>
            </w:r>
          </w:p>
        </w:tc>
        <w:tc>
          <w:tcPr>
            <w:tcW w:w="1832" w:type="dxa"/>
            <w:gridSpan w:val="2"/>
            <w:noWrap w:val="0"/>
            <w:vAlign w:val="center"/>
          </w:tcPr>
          <w:p w14:paraId="35259AB9">
            <w:pPr>
              <w:widowControl/>
              <w:jc w:val="center"/>
              <w:rPr>
                <w:rFonts w:hint="eastAsia" w:ascii="仿宋" w:hAnsi="仿宋" w:eastAsia="仿宋" w:cs="仿宋"/>
                <w:b w:val="0"/>
                <w:bCs w:val="0"/>
                <w:kern w:val="0"/>
                <w:sz w:val="20"/>
                <w:szCs w:val="20"/>
              </w:rPr>
            </w:pPr>
          </w:p>
        </w:tc>
      </w:tr>
      <w:tr w14:paraId="770F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3354" w:type="dxa"/>
            <w:noWrap w:val="0"/>
            <w:vAlign w:val="center"/>
          </w:tcPr>
          <w:p w14:paraId="3CE4D5C5">
            <w:pPr>
              <w:widowControl/>
              <w:ind w:firstLine="600" w:firstLineChars="300"/>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市政管理专项经费</w:t>
            </w:r>
          </w:p>
        </w:tc>
        <w:tc>
          <w:tcPr>
            <w:tcW w:w="2038" w:type="dxa"/>
            <w:gridSpan w:val="2"/>
            <w:noWrap w:val="0"/>
            <w:vAlign w:val="center"/>
          </w:tcPr>
          <w:p w14:paraId="0D5B08B2">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006BB1F4">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280</w:t>
            </w:r>
          </w:p>
        </w:tc>
        <w:tc>
          <w:tcPr>
            <w:tcW w:w="1832" w:type="dxa"/>
            <w:gridSpan w:val="2"/>
            <w:noWrap w:val="0"/>
            <w:vAlign w:val="center"/>
          </w:tcPr>
          <w:p w14:paraId="65732532">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280</w:t>
            </w:r>
          </w:p>
        </w:tc>
      </w:tr>
      <w:tr w14:paraId="38A7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C9BC17C">
            <w:pPr>
              <w:widowControl/>
              <w:ind w:firstLine="600" w:firstLineChars="300"/>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云溪一桥桥头路基挡土墙维修加固</w:t>
            </w:r>
          </w:p>
        </w:tc>
        <w:tc>
          <w:tcPr>
            <w:tcW w:w="2038" w:type="dxa"/>
            <w:gridSpan w:val="2"/>
            <w:noWrap w:val="0"/>
            <w:vAlign w:val="center"/>
          </w:tcPr>
          <w:p w14:paraId="2E2E2178">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504CD3D0">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40</w:t>
            </w:r>
          </w:p>
        </w:tc>
        <w:tc>
          <w:tcPr>
            <w:tcW w:w="1832" w:type="dxa"/>
            <w:gridSpan w:val="2"/>
            <w:noWrap w:val="0"/>
            <w:vAlign w:val="center"/>
          </w:tcPr>
          <w:p w14:paraId="3E5C0381">
            <w:pPr>
              <w:widowControl/>
              <w:jc w:val="center"/>
              <w:rPr>
                <w:rFonts w:hint="eastAsia" w:ascii="仿宋" w:hAnsi="仿宋" w:eastAsia="仿宋" w:cs="仿宋"/>
                <w:b w:val="0"/>
                <w:bCs w:val="0"/>
                <w:kern w:val="0"/>
                <w:sz w:val="20"/>
                <w:szCs w:val="20"/>
              </w:rPr>
            </w:pPr>
          </w:p>
        </w:tc>
      </w:tr>
      <w:tr w14:paraId="14809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76453BC">
            <w:pPr>
              <w:widowControl/>
              <w:ind w:firstLine="600" w:firstLineChars="300"/>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新增移交锦园路支路一、支路二道路缺陷修复</w:t>
            </w:r>
          </w:p>
        </w:tc>
        <w:tc>
          <w:tcPr>
            <w:tcW w:w="2038" w:type="dxa"/>
            <w:gridSpan w:val="2"/>
            <w:noWrap w:val="0"/>
            <w:vAlign w:val="center"/>
          </w:tcPr>
          <w:p w14:paraId="35B645C1">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61ABE4C9">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50</w:t>
            </w:r>
          </w:p>
        </w:tc>
        <w:tc>
          <w:tcPr>
            <w:tcW w:w="1832" w:type="dxa"/>
            <w:gridSpan w:val="2"/>
            <w:noWrap w:val="0"/>
            <w:vAlign w:val="center"/>
          </w:tcPr>
          <w:p w14:paraId="17F3CD25">
            <w:pPr>
              <w:widowControl/>
              <w:jc w:val="center"/>
              <w:rPr>
                <w:rFonts w:hint="eastAsia" w:ascii="仿宋" w:hAnsi="仿宋" w:eastAsia="仿宋" w:cs="仿宋"/>
                <w:b w:val="0"/>
                <w:bCs w:val="0"/>
                <w:kern w:val="0"/>
                <w:sz w:val="20"/>
                <w:szCs w:val="20"/>
              </w:rPr>
            </w:pPr>
          </w:p>
        </w:tc>
      </w:tr>
      <w:tr w14:paraId="3AB5C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D3624F4">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1D63322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E79CDE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26103FC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2F45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DA3994">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774B9E8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64.94</w:t>
            </w:r>
            <w:r>
              <w:rPr>
                <w:rFonts w:hint="eastAsia" w:ascii="仿宋" w:hAnsi="仿宋" w:eastAsia="仿宋" w:cs="仿宋"/>
                <w:b w:val="0"/>
                <w:bCs w:val="0"/>
                <w:kern w:val="0"/>
                <w:sz w:val="20"/>
                <w:szCs w:val="20"/>
              </w:rPr>
              <w:t>　</w:t>
            </w:r>
          </w:p>
        </w:tc>
        <w:tc>
          <w:tcPr>
            <w:tcW w:w="2240" w:type="dxa"/>
            <w:gridSpan w:val="2"/>
            <w:noWrap w:val="0"/>
            <w:vAlign w:val="center"/>
          </w:tcPr>
          <w:p w14:paraId="0490AF8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114</w:t>
            </w:r>
            <w:r>
              <w:rPr>
                <w:rFonts w:hint="eastAsia" w:ascii="仿宋" w:hAnsi="仿宋" w:eastAsia="仿宋" w:cs="仿宋"/>
                <w:b w:val="0"/>
                <w:bCs w:val="0"/>
                <w:kern w:val="0"/>
                <w:sz w:val="20"/>
                <w:szCs w:val="20"/>
              </w:rPr>
              <w:t>　</w:t>
            </w:r>
          </w:p>
        </w:tc>
        <w:tc>
          <w:tcPr>
            <w:tcW w:w="1832" w:type="dxa"/>
            <w:gridSpan w:val="2"/>
            <w:noWrap w:val="0"/>
            <w:vAlign w:val="center"/>
          </w:tcPr>
          <w:p w14:paraId="53BA164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6.97</w:t>
            </w:r>
            <w:r>
              <w:rPr>
                <w:rFonts w:hint="eastAsia" w:ascii="仿宋" w:hAnsi="仿宋" w:eastAsia="仿宋" w:cs="仿宋"/>
                <w:b w:val="0"/>
                <w:bCs w:val="0"/>
                <w:kern w:val="0"/>
                <w:sz w:val="20"/>
                <w:szCs w:val="20"/>
              </w:rPr>
              <w:t>　</w:t>
            </w:r>
          </w:p>
        </w:tc>
      </w:tr>
      <w:tr w14:paraId="18A1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82BA75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03B6FF6F">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FF0000"/>
                <w:kern w:val="0"/>
                <w:sz w:val="20"/>
                <w:szCs w:val="20"/>
              </w:rPr>
              <w:t>　</w:t>
            </w:r>
          </w:p>
        </w:tc>
        <w:tc>
          <w:tcPr>
            <w:tcW w:w="2240" w:type="dxa"/>
            <w:gridSpan w:val="2"/>
            <w:noWrap w:val="0"/>
            <w:vAlign w:val="center"/>
          </w:tcPr>
          <w:p w14:paraId="0CF27B78">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p>
        </w:tc>
        <w:tc>
          <w:tcPr>
            <w:tcW w:w="1832" w:type="dxa"/>
            <w:gridSpan w:val="2"/>
            <w:noWrap w:val="0"/>
            <w:vAlign w:val="center"/>
          </w:tcPr>
          <w:p w14:paraId="5DD70525">
            <w:pPr>
              <w:widowControl/>
              <w:jc w:val="center"/>
              <w:rPr>
                <w:rFonts w:hint="eastAsia"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r>
              <w:rPr>
                <w:rFonts w:hint="eastAsia" w:ascii="仿宋" w:hAnsi="仿宋" w:eastAsia="仿宋" w:cs="仿宋"/>
                <w:b w:val="0"/>
                <w:bCs w:val="0"/>
                <w:color w:val="auto"/>
                <w:kern w:val="0"/>
                <w:sz w:val="20"/>
                <w:szCs w:val="20"/>
                <w:lang w:val="en-US" w:eastAsia="zh-CN"/>
              </w:rPr>
              <w:t xml:space="preserve">  </w:t>
            </w:r>
          </w:p>
        </w:tc>
      </w:tr>
      <w:tr w14:paraId="1A46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B6A191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17AFF191">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FF0000"/>
                <w:kern w:val="0"/>
                <w:sz w:val="20"/>
                <w:szCs w:val="20"/>
              </w:rPr>
              <w:t>　</w:t>
            </w:r>
          </w:p>
        </w:tc>
        <w:tc>
          <w:tcPr>
            <w:tcW w:w="2240" w:type="dxa"/>
            <w:gridSpan w:val="2"/>
            <w:noWrap w:val="0"/>
            <w:vAlign w:val="center"/>
          </w:tcPr>
          <w:p w14:paraId="4E467F09">
            <w:pPr>
              <w:widowControl/>
              <w:jc w:val="center"/>
              <w:rPr>
                <w:rFonts w:hint="eastAsia"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0</w:t>
            </w:r>
          </w:p>
        </w:tc>
        <w:tc>
          <w:tcPr>
            <w:tcW w:w="1832" w:type="dxa"/>
            <w:gridSpan w:val="2"/>
            <w:noWrap w:val="0"/>
            <w:vAlign w:val="center"/>
          </w:tcPr>
          <w:p w14:paraId="36784440">
            <w:pPr>
              <w:widowControl/>
              <w:jc w:val="center"/>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rPr>
              <w:t>　</w:t>
            </w:r>
            <w:r>
              <w:rPr>
                <w:rFonts w:hint="eastAsia" w:ascii="仿宋" w:hAnsi="仿宋" w:eastAsia="仿宋" w:cs="仿宋"/>
                <w:b w:val="0"/>
                <w:bCs w:val="0"/>
                <w:color w:val="auto"/>
                <w:kern w:val="0"/>
                <w:sz w:val="20"/>
                <w:szCs w:val="20"/>
                <w:lang w:val="en-US" w:eastAsia="zh-CN"/>
              </w:rPr>
              <w:t xml:space="preserve">0.12 </w:t>
            </w:r>
          </w:p>
        </w:tc>
      </w:tr>
      <w:tr w14:paraId="56F1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3B90D20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55D20745">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FF0000"/>
                <w:kern w:val="0"/>
                <w:sz w:val="20"/>
                <w:szCs w:val="20"/>
              </w:rPr>
              <w:t>　</w:t>
            </w:r>
          </w:p>
        </w:tc>
        <w:tc>
          <w:tcPr>
            <w:tcW w:w="2240" w:type="dxa"/>
            <w:gridSpan w:val="2"/>
            <w:noWrap w:val="0"/>
            <w:vAlign w:val="center"/>
          </w:tcPr>
          <w:p w14:paraId="570CAB7E">
            <w:pPr>
              <w:widowControl/>
              <w:jc w:val="center"/>
              <w:rPr>
                <w:rFonts w:hint="eastAsia"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0</w:t>
            </w:r>
          </w:p>
        </w:tc>
        <w:tc>
          <w:tcPr>
            <w:tcW w:w="1832" w:type="dxa"/>
            <w:gridSpan w:val="2"/>
            <w:noWrap w:val="0"/>
            <w:vAlign w:val="center"/>
          </w:tcPr>
          <w:p w14:paraId="5856BC31">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r>
      <w:tr w14:paraId="601F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9ED00E7">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72B6C22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57D55CAC">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1668.8</w:t>
            </w:r>
          </w:p>
        </w:tc>
        <w:tc>
          <w:tcPr>
            <w:tcW w:w="1832" w:type="dxa"/>
            <w:gridSpan w:val="2"/>
            <w:noWrap w:val="0"/>
            <w:vAlign w:val="center"/>
          </w:tcPr>
          <w:p w14:paraId="6BA6A43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911.41</w:t>
            </w:r>
            <w:r>
              <w:rPr>
                <w:rFonts w:hint="eastAsia" w:ascii="仿宋" w:hAnsi="仿宋" w:eastAsia="仿宋" w:cs="仿宋"/>
                <w:b w:val="0"/>
                <w:bCs w:val="0"/>
                <w:kern w:val="0"/>
                <w:sz w:val="20"/>
                <w:szCs w:val="20"/>
              </w:rPr>
              <w:t>　</w:t>
            </w:r>
          </w:p>
        </w:tc>
      </w:tr>
      <w:tr w14:paraId="05A74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F0C68D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38450E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0EC7A92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1955.64</w:t>
            </w:r>
            <w:r>
              <w:rPr>
                <w:rFonts w:hint="eastAsia" w:ascii="仿宋" w:hAnsi="仿宋" w:eastAsia="仿宋" w:cs="仿宋"/>
                <w:b w:val="0"/>
                <w:bCs w:val="0"/>
                <w:kern w:val="0"/>
                <w:sz w:val="20"/>
                <w:szCs w:val="20"/>
              </w:rPr>
              <w:t>　</w:t>
            </w:r>
          </w:p>
        </w:tc>
        <w:tc>
          <w:tcPr>
            <w:tcW w:w="1832" w:type="dxa"/>
            <w:gridSpan w:val="2"/>
            <w:noWrap w:val="0"/>
            <w:vAlign w:val="center"/>
          </w:tcPr>
          <w:p w14:paraId="0F34D8E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1663.37</w:t>
            </w:r>
            <w:r>
              <w:rPr>
                <w:rFonts w:hint="eastAsia" w:ascii="仿宋" w:hAnsi="仿宋" w:eastAsia="仿宋" w:cs="仿宋"/>
                <w:b w:val="0"/>
                <w:bCs w:val="0"/>
                <w:kern w:val="0"/>
                <w:sz w:val="20"/>
                <w:szCs w:val="20"/>
              </w:rPr>
              <w:t>　</w:t>
            </w:r>
          </w:p>
        </w:tc>
      </w:tr>
      <w:tr w14:paraId="7A15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0CF1684D">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264B8B2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035E09CB">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623DCAB3">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4CCD2070">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51C267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779294EA">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6CCB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7CA7759A">
            <w:pPr>
              <w:widowControl/>
              <w:jc w:val="left"/>
              <w:rPr>
                <w:rFonts w:hint="eastAsia" w:ascii="仿宋" w:hAnsi="仿宋" w:eastAsia="仿宋" w:cs="仿宋"/>
                <w:b w:val="0"/>
                <w:bCs w:val="0"/>
                <w:kern w:val="0"/>
                <w:sz w:val="20"/>
                <w:szCs w:val="20"/>
              </w:rPr>
            </w:pPr>
          </w:p>
        </w:tc>
        <w:tc>
          <w:tcPr>
            <w:tcW w:w="1189" w:type="dxa"/>
            <w:noWrap w:val="0"/>
            <w:vAlign w:val="center"/>
          </w:tcPr>
          <w:p w14:paraId="23C5948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849" w:type="dxa"/>
            <w:noWrap w:val="0"/>
            <w:vAlign w:val="center"/>
          </w:tcPr>
          <w:p w14:paraId="01AED918">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29" w:type="dxa"/>
            <w:noWrap w:val="0"/>
            <w:vAlign w:val="center"/>
          </w:tcPr>
          <w:p w14:paraId="3CBE8FAB">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11" w:type="dxa"/>
            <w:noWrap w:val="0"/>
            <w:vAlign w:val="center"/>
          </w:tcPr>
          <w:p w14:paraId="7B34BDE4">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969" w:type="dxa"/>
            <w:noWrap w:val="0"/>
            <w:vAlign w:val="center"/>
          </w:tcPr>
          <w:p w14:paraId="03F06B86">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863" w:type="dxa"/>
            <w:noWrap w:val="0"/>
            <w:vAlign w:val="center"/>
          </w:tcPr>
          <w:p w14:paraId="6DD802C8">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r>
      <w:tr w14:paraId="5FA0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400EE96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6310010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坚决做到厉行勤俭节约，真正将过紧日子要求落到实处，强化预算编制、严控支出管理等</w:t>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rPr>
              <w:t>　</w:t>
            </w:r>
          </w:p>
        </w:tc>
      </w:tr>
    </w:tbl>
    <w:p w14:paraId="4E6A8173">
      <w:pPr>
        <w:pStyle w:val="12"/>
        <w:keepNext/>
        <w:keepLines/>
        <w:pageBreakBefore w:val="0"/>
        <w:widowControl w:val="0"/>
        <w:kinsoku/>
        <w:wordWrap/>
        <w:overflowPunct/>
        <w:topLinePunct w:val="0"/>
        <w:autoSpaceDE/>
        <w:autoSpaceDN/>
        <w:bidi w:val="0"/>
        <w:adjustRightInd/>
        <w:snapToGrid/>
        <w:spacing w:line="280" w:lineRule="exact"/>
        <w:textAlignment w:val="auto"/>
        <w:rPr>
          <w:rFonts w:hint="eastAsia" w:eastAsia="仿宋_GB2312"/>
          <w:kern w:val="0"/>
          <w:sz w:val="22"/>
          <w:lang w:val="en-US" w:eastAsia="zh-CN"/>
        </w:rPr>
      </w:pPr>
      <w:r>
        <w:rPr>
          <w:rFonts w:eastAsia="仿宋_GB2312"/>
          <w:kern w:val="0"/>
          <w:sz w:val="22"/>
        </w:rPr>
        <w:t>说明：“项目支出”需要填报基本支出以外的所有项目支出情况，“公用经费”填报基本支出中的一般商品和服务支出。</w:t>
      </w:r>
    </w:p>
    <w:p w14:paraId="3678C5E6">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唐涛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 2026年5月25日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 13487553315 </w:t>
      </w:r>
    </w:p>
    <w:p w14:paraId="1C6423C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71E409E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255586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3772111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FA84D5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52BBF88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AE81B6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797E5B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6913014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0C30CE5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7FE311F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06730A0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3F283FF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0BB94FB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58EEB6B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E46EB3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85C6B5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6EF0E4F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6DDC043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t>附件2</w:t>
      </w:r>
    </w:p>
    <w:p w14:paraId="775EBD22">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9"/>
        <w:tblW w:w="9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926"/>
        <w:gridCol w:w="912"/>
        <w:gridCol w:w="1305"/>
        <w:gridCol w:w="359"/>
        <w:gridCol w:w="1164"/>
        <w:gridCol w:w="1128"/>
        <w:gridCol w:w="652"/>
        <w:gridCol w:w="777"/>
        <w:gridCol w:w="1037"/>
      </w:tblGrid>
      <w:tr w14:paraId="4BEA1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2" w:type="dxa"/>
            <w:noWrap w:val="0"/>
            <w:vAlign w:val="center"/>
          </w:tcPr>
          <w:p w14:paraId="1D2B81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260" w:type="dxa"/>
            <w:gridSpan w:val="9"/>
            <w:noWrap w:val="0"/>
            <w:vAlign w:val="center"/>
          </w:tcPr>
          <w:p w14:paraId="7EAB2A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怀化市市政设施维护中心</w:t>
            </w:r>
          </w:p>
        </w:tc>
      </w:tr>
      <w:tr w14:paraId="231B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2" w:type="dxa"/>
            <w:vMerge w:val="restart"/>
            <w:noWrap w:val="0"/>
            <w:vAlign w:val="center"/>
          </w:tcPr>
          <w:p w14:paraId="2E3C7E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58E60E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1838" w:type="dxa"/>
            <w:gridSpan w:val="2"/>
            <w:noWrap w:val="0"/>
            <w:vAlign w:val="center"/>
          </w:tcPr>
          <w:p w14:paraId="5652D1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1305" w:type="dxa"/>
            <w:noWrap w:val="0"/>
            <w:vAlign w:val="center"/>
          </w:tcPr>
          <w:p w14:paraId="4F76F3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5B79E5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523" w:type="dxa"/>
            <w:gridSpan w:val="2"/>
            <w:noWrap w:val="0"/>
            <w:vAlign w:val="center"/>
          </w:tcPr>
          <w:p w14:paraId="145F6D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128" w:type="dxa"/>
            <w:noWrap w:val="0"/>
            <w:vAlign w:val="center"/>
          </w:tcPr>
          <w:p w14:paraId="3108BB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E37F0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52" w:type="dxa"/>
            <w:noWrap w:val="0"/>
            <w:vAlign w:val="center"/>
          </w:tcPr>
          <w:p w14:paraId="4E83A5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777" w:type="dxa"/>
            <w:noWrap w:val="0"/>
            <w:vAlign w:val="center"/>
          </w:tcPr>
          <w:p w14:paraId="2E24A4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037" w:type="dxa"/>
            <w:noWrap w:val="0"/>
            <w:vAlign w:val="center"/>
          </w:tcPr>
          <w:p w14:paraId="249C7D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ACF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5E620C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838" w:type="dxa"/>
            <w:gridSpan w:val="2"/>
            <w:noWrap w:val="0"/>
            <w:vAlign w:val="center"/>
          </w:tcPr>
          <w:p w14:paraId="2B723A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1305" w:type="dxa"/>
            <w:noWrap w:val="0"/>
            <w:vAlign w:val="center"/>
          </w:tcPr>
          <w:p w14:paraId="787976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4810.23</w:t>
            </w:r>
          </w:p>
        </w:tc>
        <w:tc>
          <w:tcPr>
            <w:tcW w:w="1523" w:type="dxa"/>
            <w:gridSpan w:val="2"/>
            <w:noWrap w:val="0"/>
            <w:vAlign w:val="center"/>
          </w:tcPr>
          <w:p w14:paraId="22832B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color w:val="auto"/>
                <w:sz w:val="20"/>
                <w:szCs w:val="20"/>
                <w:lang w:val="en-US" w:eastAsia="zh-CN"/>
              </w:rPr>
              <w:t>5370.05</w:t>
            </w:r>
          </w:p>
        </w:tc>
        <w:tc>
          <w:tcPr>
            <w:tcW w:w="1128" w:type="dxa"/>
            <w:noWrap w:val="0"/>
            <w:vAlign w:val="center"/>
          </w:tcPr>
          <w:p w14:paraId="164A8E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3954.89</w:t>
            </w:r>
          </w:p>
        </w:tc>
        <w:tc>
          <w:tcPr>
            <w:tcW w:w="652" w:type="dxa"/>
            <w:noWrap w:val="0"/>
            <w:vAlign w:val="center"/>
          </w:tcPr>
          <w:p w14:paraId="7B42A4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777" w:type="dxa"/>
            <w:noWrap w:val="0"/>
            <w:vAlign w:val="center"/>
          </w:tcPr>
          <w:p w14:paraId="28E277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73.65%</w:t>
            </w:r>
          </w:p>
        </w:tc>
        <w:tc>
          <w:tcPr>
            <w:tcW w:w="1037" w:type="dxa"/>
            <w:noWrap w:val="0"/>
            <w:vAlign w:val="center"/>
          </w:tcPr>
          <w:p w14:paraId="20BBBB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7.37</w:t>
            </w:r>
          </w:p>
        </w:tc>
      </w:tr>
      <w:tr w14:paraId="001B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226516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6" w:type="dxa"/>
            <w:gridSpan w:val="5"/>
            <w:noWrap w:val="0"/>
            <w:vAlign w:val="center"/>
          </w:tcPr>
          <w:p w14:paraId="0D9D65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594" w:type="dxa"/>
            <w:gridSpan w:val="4"/>
            <w:noWrap w:val="0"/>
            <w:vAlign w:val="center"/>
          </w:tcPr>
          <w:p w14:paraId="2BACDF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0D30F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3C5CA1F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6" w:type="dxa"/>
            <w:gridSpan w:val="5"/>
            <w:noWrap w:val="0"/>
            <w:vAlign w:val="center"/>
          </w:tcPr>
          <w:p w14:paraId="79E099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2665.48</w:t>
            </w:r>
          </w:p>
        </w:tc>
        <w:tc>
          <w:tcPr>
            <w:tcW w:w="3594" w:type="dxa"/>
            <w:gridSpan w:val="4"/>
            <w:noWrap w:val="0"/>
            <w:vAlign w:val="center"/>
          </w:tcPr>
          <w:p w14:paraId="1691C5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1663.37</w:t>
            </w:r>
          </w:p>
        </w:tc>
      </w:tr>
      <w:tr w14:paraId="4839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655338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6" w:type="dxa"/>
            <w:gridSpan w:val="5"/>
            <w:noWrap w:val="0"/>
            <w:vAlign w:val="center"/>
          </w:tcPr>
          <w:p w14:paraId="2A428FA7">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政府性基金拨款：</w:t>
            </w:r>
            <w:r>
              <w:rPr>
                <w:rFonts w:hint="eastAsia" w:ascii="仿宋" w:hAnsi="仿宋" w:eastAsia="仿宋" w:cs="仿宋"/>
                <w:color w:val="000000"/>
                <w:kern w:val="0"/>
                <w:sz w:val="20"/>
                <w:szCs w:val="20"/>
                <w:lang w:val="en-US" w:eastAsia="zh-CN"/>
              </w:rPr>
              <w:t>915.89</w:t>
            </w:r>
          </w:p>
        </w:tc>
        <w:tc>
          <w:tcPr>
            <w:tcW w:w="3594" w:type="dxa"/>
            <w:gridSpan w:val="4"/>
            <w:noWrap w:val="0"/>
            <w:vAlign w:val="center"/>
          </w:tcPr>
          <w:p w14:paraId="2E37EE95">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2291.52</w:t>
            </w:r>
          </w:p>
        </w:tc>
      </w:tr>
      <w:tr w14:paraId="7B41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0FA3BB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6" w:type="dxa"/>
            <w:gridSpan w:val="5"/>
            <w:noWrap w:val="0"/>
            <w:vAlign w:val="center"/>
          </w:tcPr>
          <w:p w14:paraId="2C3593A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r>
              <w:rPr>
                <w:rFonts w:hint="eastAsia" w:ascii="仿宋" w:hAnsi="仿宋" w:eastAsia="仿宋" w:cs="仿宋"/>
                <w:color w:val="000000"/>
                <w:kern w:val="0"/>
                <w:sz w:val="20"/>
                <w:szCs w:val="20"/>
                <w:lang w:val="en-US" w:eastAsia="zh-CN"/>
              </w:rPr>
              <w:t>373.51</w:t>
            </w:r>
          </w:p>
        </w:tc>
        <w:tc>
          <w:tcPr>
            <w:tcW w:w="3594" w:type="dxa"/>
            <w:gridSpan w:val="4"/>
            <w:noWrap w:val="0"/>
            <w:vAlign w:val="center"/>
          </w:tcPr>
          <w:p w14:paraId="283AF8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3E4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12" w:type="dxa"/>
            <w:vMerge w:val="continue"/>
            <w:noWrap w:val="0"/>
            <w:vAlign w:val="center"/>
          </w:tcPr>
          <w:p w14:paraId="02AD5B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6" w:type="dxa"/>
            <w:gridSpan w:val="5"/>
            <w:noWrap w:val="0"/>
            <w:vAlign w:val="center"/>
          </w:tcPr>
          <w:p w14:paraId="4BDE8821">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其他资金：</w:t>
            </w:r>
          </w:p>
        </w:tc>
        <w:tc>
          <w:tcPr>
            <w:tcW w:w="3594" w:type="dxa"/>
            <w:gridSpan w:val="4"/>
            <w:noWrap w:val="0"/>
            <w:vAlign w:val="center"/>
          </w:tcPr>
          <w:p w14:paraId="3F6472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619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2" w:type="dxa"/>
            <w:vMerge w:val="restart"/>
            <w:noWrap w:val="0"/>
            <w:vAlign w:val="center"/>
          </w:tcPr>
          <w:p w14:paraId="5AF2DD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66" w:type="dxa"/>
            <w:gridSpan w:val="5"/>
            <w:noWrap w:val="0"/>
            <w:vAlign w:val="center"/>
          </w:tcPr>
          <w:p w14:paraId="1C9EA3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594" w:type="dxa"/>
            <w:gridSpan w:val="4"/>
            <w:noWrap w:val="0"/>
            <w:vAlign w:val="center"/>
          </w:tcPr>
          <w:p w14:paraId="21FF5C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32A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jc w:val="center"/>
        </w:trPr>
        <w:tc>
          <w:tcPr>
            <w:tcW w:w="1112" w:type="dxa"/>
            <w:vMerge w:val="continue"/>
            <w:noWrap w:val="0"/>
            <w:vAlign w:val="center"/>
          </w:tcPr>
          <w:p w14:paraId="6647A0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6" w:type="dxa"/>
            <w:gridSpan w:val="5"/>
            <w:noWrap w:val="0"/>
            <w:vAlign w:val="center"/>
          </w:tcPr>
          <w:p w14:paraId="613F57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目标1：保障怀化市市政设施研究、科技成果应用等</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目标2：保障城区内主次干道市政设施运行和应急处置</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目标3：智慧城管市政监控信息平台的受理分解和跟踪服务</w:t>
            </w:r>
            <w:r>
              <w:rPr>
                <w:rFonts w:hint="eastAsia" w:ascii="仿宋" w:hAnsi="仿宋" w:eastAsia="仿宋" w:cs="仿宋"/>
                <w:color w:val="000000"/>
                <w:kern w:val="0"/>
                <w:sz w:val="20"/>
                <w:szCs w:val="20"/>
                <w:lang w:eastAsia="zh-CN"/>
              </w:rPr>
              <w:t>。</w:t>
            </w:r>
          </w:p>
          <w:p w14:paraId="4AF9F2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3594" w:type="dxa"/>
            <w:gridSpan w:val="4"/>
            <w:noWrap w:val="0"/>
            <w:vAlign w:val="center"/>
          </w:tcPr>
          <w:p w14:paraId="07ADF78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目标1：保障怀化市市政设施研究、科技成果应用等</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目标2：保障城区内主次干道市政设施运行和应急处置</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目标3：智慧城管市政监控信息平台的受理分解和跟踪服务</w:t>
            </w:r>
            <w:r>
              <w:rPr>
                <w:rFonts w:hint="eastAsia" w:ascii="仿宋" w:hAnsi="仿宋" w:eastAsia="仿宋" w:cs="仿宋"/>
                <w:color w:val="000000"/>
                <w:kern w:val="0"/>
                <w:sz w:val="20"/>
                <w:szCs w:val="20"/>
                <w:lang w:eastAsia="zh-CN"/>
              </w:rPr>
              <w:t>。</w:t>
            </w:r>
          </w:p>
        </w:tc>
      </w:tr>
      <w:tr w14:paraId="5DA7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2" w:type="dxa"/>
            <w:vMerge w:val="restart"/>
            <w:noWrap w:val="0"/>
            <w:vAlign w:val="center"/>
          </w:tcPr>
          <w:p w14:paraId="0E0079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2D46F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4FD01A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8605B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926" w:type="dxa"/>
            <w:noWrap w:val="0"/>
            <w:vAlign w:val="center"/>
          </w:tcPr>
          <w:p w14:paraId="5D8D38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912" w:type="dxa"/>
            <w:noWrap w:val="0"/>
            <w:vAlign w:val="center"/>
          </w:tcPr>
          <w:p w14:paraId="64EE68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664" w:type="dxa"/>
            <w:gridSpan w:val="2"/>
            <w:noWrap w:val="0"/>
            <w:vAlign w:val="center"/>
          </w:tcPr>
          <w:p w14:paraId="7172FC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64" w:type="dxa"/>
            <w:noWrap w:val="0"/>
            <w:vAlign w:val="center"/>
          </w:tcPr>
          <w:p w14:paraId="0CEE71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EA92F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28" w:type="dxa"/>
            <w:noWrap w:val="0"/>
            <w:vAlign w:val="center"/>
          </w:tcPr>
          <w:p w14:paraId="510018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CE939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52" w:type="dxa"/>
            <w:noWrap w:val="0"/>
            <w:vAlign w:val="center"/>
          </w:tcPr>
          <w:p w14:paraId="7F8864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777" w:type="dxa"/>
            <w:noWrap w:val="0"/>
            <w:vAlign w:val="center"/>
          </w:tcPr>
          <w:p w14:paraId="17E9C3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037" w:type="dxa"/>
            <w:noWrap w:val="0"/>
            <w:vAlign w:val="top"/>
          </w:tcPr>
          <w:p w14:paraId="15C4A5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A3667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ED71C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34E3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12" w:type="dxa"/>
            <w:vMerge w:val="continue"/>
            <w:noWrap w:val="0"/>
            <w:vAlign w:val="center"/>
          </w:tcPr>
          <w:p w14:paraId="2142B2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restart"/>
            <w:noWrap w:val="0"/>
            <w:vAlign w:val="center"/>
          </w:tcPr>
          <w:p w14:paraId="441C68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912" w:type="dxa"/>
            <w:noWrap w:val="0"/>
            <w:vAlign w:val="center"/>
          </w:tcPr>
          <w:p w14:paraId="3556C2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664" w:type="dxa"/>
            <w:gridSpan w:val="2"/>
            <w:noWrap w:val="0"/>
            <w:vAlign w:val="center"/>
          </w:tcPr>
          <w:p w14:paraId="5A0BFF9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部门整体支出成本</w:t>
            </w:r>
          </w:p>
        </w:tc>
        <w:tc>
          <w:tcPr>
            <w:tcW w:w="1164" w:type="dxa"/>
            <w:noWrap w:val="0"/>
            <w:vAlign w:val="center"/>
          </w:tcPr>
          <w:p w14:paraId="0F57A4CF">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≤5370.05万元</w:t>
            </w:r>
          </w:p>
        </w:tc>
        <w:tc>
          <w:tcPr>
            <w:tcW w:w="1128" w:type="dxa"/>
            <w:noWrap w:val="0"/>
            <w:vAlign w:val="center"/>
          </w:tcPr>
          <w:p w14:paraId="2E60BB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3954.89万元</w:t>
            </w:r>
          </w:p>
        </w:tc>
        <w:tc>
          <w:tcPr>
            <w:tcW w:w="652" w:type="dxa"/>
            <w:noWrap w:val="0"/>
            <w:vAlign w:val="center"/>
          </w:tcPr>
          <w:p w14:paraId="30402B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77" w:type="dxa"/>
            <w:noWrap w:val="0"/>
            <w:vAlign w:val="center"/>
          </w:tcPr>
          <w:p w14:paraId="2D9D70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37" w:type="dxa"/>
            <w:noWrap w:val="0"/>
            <w:vAlign w:val="center"/>
          </w:tcPr>
          <w:p w14:paraId="51EF87B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8435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noWrap w:val="0"/>
            <w:vAlign w:val="center"/>
          </w:tcPr>
          <w:p w14:paraId="6CAD3E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21F52A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2" w:type="dxa"/>
            <w:noWrap w:val="0"/>
            <w:vAlign w:val="center"/>
          </w:tcPr>
          <w:p w14:paraId="323180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664" w:type="dxa"/>
            <w:gridSpan w:val="2"/>
            <w:noWrap w:val="0"/>
            <w:vAlign w:val="center"/>
          </w:tcPr>
          <w:p w14:paraId="7EF9469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164" w:type="dxa"/>
            <w:noWrap w:val="0"/>
            <w:vAlign w:val="center"/>
          </w:tcPr>
          <w:p w14:paraId="382F717D">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w:t>
            </w:r>
            <w:r>
              <w:rPr>
                <w:rFonts w:hint="eastAsia" w:ascii="仿宋" w:hAnsi="仿宋" w:eastAsia="仿宋" w:cs="仿宋"/>
                <w:color w:val="000000"/>
                <w:kern w:val="0"/>
                <w:sz w:val="20"/>
                <w:szCs w:val="20"/>
                <w:highlight w:val="none"/>
                <w:lang w:val="en-US" w:eastAsia="zh-CN"/>
              </w:rPr>
              <w:t>0%</w:t>
            </w:r>
          </w:p>
        </w:tc>
        <w:tc>
          <w:tcPr>
            <w:tcW w:w="1128" w:type="dxa"/>
            <w:noWrap w:val="0"/>
            <w:vAlign w:val="center"/>
          </w:tcPr>
          <w:p w14:paraId="571764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0%</w:t>
            </w:r>
          </w:p>
        </w:tc>
        <w:tc>
          <w:tcPr>
            <w:tcW w:w="652" w:type="dxa"/>
            <w:noWrap w:val="0"/>
            <w:vAlign w:val="center"/>
          </w:tcPr>
          <w:p w14:paraId="200D45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77" w:type="dxa"/>
            <w:noWrap w:val="0"/>
            <w:vAlign w:val="center"/>
          </w:tcPr>
          <w:p w14:paraId="2DAD4D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37" w:type="dxa"/>
            <w:noWrap w:val="0"/>
            <w:vAlign w:val="center"/>
          </w:tcPr>
          <w:p w14:paraId="52A399B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F8B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noWrap w:val="0"/>
            <w:vAlign w:val="center"/>
          </w:tcPr>
          <w:p w14:paraId="3C1C4C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7014AC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2" w:type="dxa"/>
            <w:noWrap w:val="0"/>
            <w:vAlign w:val="center"/>
          </w:tcPr>
          <w:p w14:paraId="259433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664" w:type="dxa"/>
            <w:gridSpan w:val="2"/>
            <w:noWrap w:val="0"/>
            <w:vAlign w:val="center"/>
          </w:tcPr>
          <w:p w14:paraId="705811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164" w:type="dxa"/>
            <w:noWrap w:val="0"/>
            <w:vAlign w:val="center"/>
          </w:tcPr>
          <w:p w14:paraId="31B7533F">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28" w:type="dxa"/>
            <w:noWrap w:val="0"/>
            <w:vAlign w:val="center"/>
          </w:tcPr>
          <w:p w14:paraId="74CAE4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w:t>
            </w:r>
          </w:p>
        </w:tc>
        <w:tc>
          <w:tcPr>
            <w:tcW w:w="652" w:type="dxa"/>
            <w:noWrap w:val="0"/>
            <w:vAlign w:val="center"/>
          </w:tcPr>
          <w:p w14:paraId="0FEFE5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777" w:type="dxa"/>
            <w:noWrap w:val="0"/>
            <w:vAlign w:val="center"/>
          </w:tcPr>
          <w:p w14:paraId="7B8D77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037" w:type="dxa"/>
            <w:noWrap w:val="0"/>
            <w:vAlign w:val="center"/>
          </w:tcPr>
          <w:p w14:paraId="088756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CB6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12" w:type="dxa"/>
            <w:vMerge w:val="continue"/>
            <w:noWrap w:val="0"/>
            <w:vAlign w:val="center"/>
          </w:tcPr>
          <w:p w14:paraId="054F42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restart"/>
            <w:noWrap w:val="0"/>
            <w:vAlign w:val="center"/>
          </w:tcPr>
          <w:p w14:paraId="05A521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16E0F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2" w:type="dxa"/>
            <w:vMerge w:val="restart"/>
            <w:noWrap w:val="0"/>
            <w:vAlign w:val="center"/>
          </w:tcPr>
          <w:p w14:paraId="6A4F8A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1B02D7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664" w:type="dxa"/>
            <w:gridSpan w:val="2"/>
            <w:noWrap w:val="0"/>
            <w:vAlign w:val="center"/>
          </w:tcPr>
          <w:p w14:paraId="0015C2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市政道路维护数</w:t>
            </w:r>
          </w:p>
        </w:tc>
        <w:tc>
          <w:tcPr>
            <w:tcW w:w="1164" w:type="dxa"/>
            <w:noWrap w:val="0"/>
            <w:vAlign w:val="center"/>
          </w:tcPr>
          <w:p w14:paraId="7F5C64D5">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87条</w:t>
            </w:r>
          </w:p>
        </w:tc>
        <w:tc>
          <w:tcPr>
            <w:tcW w:w="1128" w:type="dxa"/>
            <w:noWrap w:val="0"/>
            <w:vAlign w:val="center"/>
          </w:tcPr>
          <w:p w14:paraId="347674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FF0000"/>
                <w:kern w:val="0"/>
                <w:sz w:val="20"/>
                <w:szCs w:val="20"/>
                <w:lang w:val="en-US" w:eastAsia="zh-CN"/>
              </w:rPr>
            </w:pPr>
            <w:r>
              <w:rPr>
                <w:rFonts w:hint="eastAsia" w:ascii="仿宋" w:hAnsi="仿宋" w:eastAsia="仿宋" w:cs="仿宋"/>
                <w:color w:val="auto"/>
                <w:kern w:val="0"/>
                <w:sz w:val="20"/>
                <w:szCs w:val="20"/>
                <w:lang w:val="en-US" w:eastAsia="zh-CN"/>
              </w:rPr>
              <w:t>87条</w:t>
            </w:r>
          </w:p>
        </w:tc>
        <w:tc>
          <w:tcPr>
            <w:tcW w:w="652" w:type="dxa"/>
            <w:noWrap w:val="0"/>
            <w:vAlign w:val="center"/>
          </w:tcPr>
          <w:p w14:paraId="38FD58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7B3AB6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5F4E60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p>
          <w:p w14:paraId="541C41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766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2" w:type="dxa"/>
            <w:vMerge w:val="continue"/>
            <w:noWrap w:val="0"/>
            <w:vAlign w:val="center"/>
          </w:tcPr>
          <w:p w14:paraId="6DDA46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3566F2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7A9C8C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33E6D7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市政排水维护数</w:t>
            </w:r>
          </w:p>
        </w:tc>
        <w:tc>
          <w:tcPr>
            <w:tcW w:w="1164" w:type="dxa"/>
            <w:noWrap w:val="0"/>
            <w:vAlign w:val="center"/>
          </w:tcPr>
          <w:p w14:paraId="194457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≥429</w:t>
            </w:r>
            <w:r>
              <w:rPr>
                <w:rFonts w:hint="eastAsia" w:ascii="仿宋" w:hAnsi="仿宋" w:eastAsia="仿宋" w:cs="仿宋"/>
                <w:color w:val="000000"/>
                <w:kern w:val="0"/>
                <w:sz w:val="20"/>
                <w:szCs w:val="20"/>
                <w:lang w:eastAsia="zh-CN"/>
              </w:rPr>
              <w:t>公里</w:t>
            </w:r>
          </w:p>
        </w:tc>
        <w:tc>
          <w:tcPr>
            <w:tcW w:w="1128" w:type="dxa"/>
            <w:noWrap w:val="0"/>
            <w:vAlign w:val="center"/>
          </w:tcPr>
          <w:p w14:paraId="5A3211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429公里</w:t>
            </w:r>
          </w:p>
        </w:tc>
        <w:tc>
          <w:tcPr>
            <w:tcW w:w="652" w:type="dxa"/>
            <w:noWrap w:val="0"/>
            <w:vAlign w:val="center"/>
          </w:tcPr>
          <w:p w14:paraId="245E09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0A2419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39EC7F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8C1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2" w:type="dxa"/>
            <w:vMerge w:val="continue"/>
            <w:noWrap w:val="0"/>
            <w:vAlign w:val="center"/>
          </w:tcPr>
          <w:p w14:paraId="645926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6418BEC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2688A6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04D6258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市政照明维护数</w:t>
            </w:r>
          </w:p>
        </w:tc>
        <w:tc>
          <w:tcPr>
            <w:tcW w:w="1164" w:type="dxa"/>
            <w:noWrap w:val="0"/>
            <w:vAlign w:val="center"/>
          </w:tcPr>
          <w:p w14:paraId="42F77D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≥26361</w:t>
            </w:r>
            <w:r>
              <w:rPr>
                <w:rFonts w:hint="eastAsia" w:ascii="仿宋" w:hAnsi="仿宋" w:eastAsia="仿宋" w:cs="仿宋"/>
                <w:color w:val="000000"/>
                <w:kern w:val="0"/>
                <w:sz w:val="20"/>
                <w:szCs w:val="20"/>
                <w:lang w:eastAsia="zh-CN"/>
              </w:rPr>
              <w:t>盏</w:t>
            </w:r>
          </w:p>
        </w:tc>
        <w:tc>
          <w:tcPr>
            <w:tcW w:w="1128" w:type="dxa"/>
            <w:noWrap w:val="0"/>
            <w:vAlign w:val="center"/>
          </w:tcPr>
          <w:p w14:paraId="1BC1A0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26361盏</w:t>
            </w:r>
          </w:p>
        </w:tc>
        <w:tc>
          <w:tcPr>
            <w:tcW w:w="652" w:type="dxa"/>
            <w:noWrap w:val="0"/>
            <w:vAlign w:val="center"/>
          </w:tcPr>
          <w:p w14:paraId="0656D4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32B19E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590B1A9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p>
        </w:tc>
      </w:tr>
      <w:tr w14:paraId="16D6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112" w:type="dxa"/>
            <w:vMerge w:val="continue"/>
            <w:noWrap w:val="0"/>
            <w:vAlign w:val="center"/>
          </w:tcPr>
          <w:p w14:paraId="1B48C1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06BEED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45CB1B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6CFFF7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市政桥梁维护数</w:t>
            </w:r>
          </w:p>
        </w:tc>
        <w:tc>
          <w:tcPr>
            <w:tcW w:w="1164" w:type="dxa"/>
            <w:noWrap w:val="0"/>
            <w:vAlign w:val="center"/>
          </w:tcPr>
          <w:p w14:paraId="36404CC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≥47</w:t>
            </w:r>
            <w:r>
              <w:rPr>
                <w:rFonts w:hint="eastAsia" w:ascii="仿宋" w:hAnsi="仿宋" w:eastAsia="仿宋" w:cs="仿宋"/>
                <w:color w:val="000000"/>
                <w:kern w:val="0"/>
                <w:sz w:val="20"/>
                <w:szCs w:val="20"/>
                <w:lang w:eastAsia="zh-CN"/>
              </w:rPr>
              <w:t>座</w:t>
            </w:r>
          </w:p>
        </w:tc>
        <w:tc>
          <w:tcPr>
            <w:tcW w:w="1128" w:type="dxa"/>
            <w:noWrap w:val="0"/>
            <w:vAlign w:val="center"/>
          </w:tcPr>
          <w:p w14:paraId="514831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47座</w:t>
            </w:r>
          </w:p>
        </w:tc>
        <w:tc>
          <w:tcPr>
            <w:tcW w:w="652" w:type="dxa"/>
            <w:noWrap w:val="0"/>
            <w:vAlign w:val="center"/>
          </w:tcPr>
          <w:p w14:paraId="409F1B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328AF4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default" w:ascii="仿宋" w:hAnsi="仿宋" w:eastAsia="仿宋" w:cs="仿宋"/>
                <w:color w:val="000000"/>
                <w:kern w:val="0"/>
                <w:sz w:val="20"/>
                <w:szCs w:val="20"/>
                <w:lang w:val="en-US" w:eastAsia="zh-CN"/>
              </w:rPr>
              <w:t>3</w:t>
            </w:r>
          </w:p>
        </w:tc>
        <w:tc>
          <w:tcPr>
            <w:tcW w:w="1037" w:type="dxa"/>
            <w:noWrap w:val="0"/>
            <w:vAlign w:val="center"/>
          </w:tcPr>
          <w:p w14:paraId="2DD002D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FF0000"/>
                <w:kern w:val="0"/>
                <w:sz w:val="20"/>
                <w:szCs w:val="20"/>
                <w:lang w:val="en-US" w:eastAsia="zh-CN"/>
              </w:rPr>
            </w:pPr>
            <w:r>
              <w:rPr>
                <w:rFonts w:hint="eastAsia" w:ascii="仿宋" w:hAnsi="仿宋" w:eastAsia="仿宋" w:cs="仿宋"/>
                <w:color w:val="auto"/>
                <w:kern w:val="0"/>
                <w:sz w:val="20"/>
                <w:szCs w:val="20"/>
                <w:lang w:eastAsia="zh-CN"/>
              </w:rPr>
              <w:t>含已拆除</w:t>
            </w:r>
            <w:r>
              <w:rPr>
                <w:rFonts w:hint="eastAsia" w:ascii="仿宋" w:hAnsi="仿宋" w:eastAsia="仿宋" w:cs="仿宋"/>
                <w:color w:val="auto"/>
                <w:kern w:val="0"/>
                <w:sz w:val="20"/>
                <w:szCs w:val="20"/>
                <w:lang w:val="en-US" w:eastAsia="zh-CN"/>
              </w:rPr>
              <w:t>2座</w:t>
            </w:r>
          </w:p>
        </w:tc>
      </w:tr>
      <w:tr w14:paraId="7041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2" w:type="dxa"/>
            <w:vMerge w:val="continue"/>
            <w:noWrap w:val="0"/>
            <w:vAlign w:val="center"/>
          </w:tcPr>
          <w:p w14:paraId="796CD8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075AAF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1CA879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31B744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开展安全隐患排查</w:t>
            </w:r>
          </w:p>
        </w:tc>
        <w:tc>
          <w:tcPr>
            <w:tcW w:w="1164" w:type="dxa"/>
            <w:noWrap w:val="0"/>
            <w:vAlign w:val="center"/>
          </w:tcPr>
          <w:p w14:paraId="086740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12次</w:t>
            </w:r>
          </w:p>
        </w:tc>
        <w:tc>
          <w:tcPr>
            <w:tcW w:w="1128" w:type="dxa"/>
            <w:noWrap w:val="0"/>
            <w:vAlign w:val="center"/>
          </w:tcPr>
          <w:p w14:paraId="13B0F9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64次</w:t>
            </w:r>
          </w:p>
        </w:tc>
        <w:tc>
          <w:tcPr>
            <w:tcW w:w="652" w:type="dxa"/>
            <w:noWrap w:val="0"/>
            <w:vAlign w:val="center"/>
          </w:tcPr>
          <w:p w14:paraId="6EF9FF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690F66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77A38F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FF0000"/>
                <w:kern w:val="0"/>
                <w:sz w:val="20"/>
                <w:szCs w:val="20"/>
                <w:lang w:eastAsia="zh-CN"/>
              </w:rPr>
            </w:pPr>
          </w:p>
        </w:tc>
      </w:tr>
      <w:tr w14:paraId="6636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2" w:type="dxa"/>
            <w:vMerge w:val="continue"/>
            <w:noWrap w:val="0"/>
            <w:vAlign w:val="center"/>
          </w:tcPr>
          <w:p w14:paraId="20A274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30E405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7D4302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7B8E33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开展市政设施重点整治活动</w:t>
            </w:r>
          </w:p>
        </w:tc>
        <w:tc>
          <w:tcPr>
            <w:tcW w:w="1164" w:type="dxa"/>
            <w:noWrap w:val="0"/>
            <w:vAlign w:val="center"/>
          </w:tcPr>
          <w:p w14:paraId="2429574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≥2次</w:t>
            </w:r>
          </w:p>
        </w:tc>
        <w:tc>
          <w:tcPr>
            <w:tcW w:w="1128" w:type="dxa"/>
            <w:noWrap w:val="0"/>
            <w:vAlign w:val="center"/>
          </w:tcPr>
          <w:p w14:paraId="434338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FF0000"/>
                <w:kern w:val="0"/>
                <w:sz w:val="20"/>
                <w:szCs w:val="20"/>
                <w:lang w:val="en-US" w:eastAsia="zh-CN"/>
              </w:rPr>
            </w:pPr>
            <w:r>
              <w:rPr>
                <w:rFonts w:hint="eastAsia" w:ascii="仿宋" w:hAnsi="仿宋" w:eastAsia="仿宋" w:cs="仿宋"/>
                <w:color w:val="auto"/>
                <w:kern w:val="0"/>
                <w:sz w:val="20"/>
                <w:szCs w:val="20"/>
                <w:lang w:val="en-US" w:eastAsia="zh-CN"/>
              </w:rPr>
              <w:t>2次</w:t>
            </w:r>
          </w:p>
        </w:tc>
        <w:tc>
          <w:tcPr>
            <w:tcW w:w="652" w:type="dxa"/>
            <w:noWrap w:val="0"/>
            <w:vAlign w:val="center"/>
          </w:tcPr>
          <w:p w14:paraId="484216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611D99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35DBFE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16A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noWrap w:val="0"/>
            <w:vAlign w:val="center"/>
          </w:tcPr>
          <w:p w14:paraId="3A9E00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4562E02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restart"/>
            <w:noWrap w:val="0"/>
            <w:vAlign w:val="center"/>
          </w:tcPr>
          <w:p w14:paraId="39C6E3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282302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664" w:type="dxa"/>
            <w:gridSpan w:val="2"/>
            <w:noWrap w:val="0"/>
            <w:vAlign w:val="center"/>
          </w:tcPr>
          <w:p w14:paraId="23CF41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市民服务热线</w:t>
            </w:r>
          </w:p>
        </w:tc>
        <w:tc>
          <w:tcPr>
            <w:tcW w:w="1164" w:type="dxa"/>
            <w:noWrap w:val="0"/>
            <w:vAlign w:val="center"/>
          </w:tcPr>
          <w:p w14:paraId="5CA323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28" w:type="dxa"/>
            <w:noWrap w:val="0"/>
            <w:vAlign w:val="center"/>
          </w:tcPr>
          <w:p w14:paraId="0F3FC2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52" w:type="dxa"/>
            <w:noWrap w:val="0"/>
            <w:vAlign w:val="center"/>
          </w:tcPr>
          <w:p w14:paraId="5284B1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0BC325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0687634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349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112" w:type="dxa"/>
            <w:vMerge w:val="continue"/>
            <w:noWrap w:val="0"/>
            <w:vAlign w:val="center"/>
          </w:tcPr>
          <w:p w14:paraId="5DEE88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0368E3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0B684C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58CC183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智慧城管派单办结率</w:t>
            </w:r>
          </w:p>
        </w:tc>
        <w:tc>
          <w:tcPr>
            <w:tcW w:w="1164" w:type="dxa"/>
            <w:noWrap w:val="0"/>
            <w:vAlign w:val="center"/>
          </w:tcPr>
          <w:p w14:paraId="0DF6EB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≥80%</w:t>
            </w:r>
          </w:p>
        </w:tc>
        <w:tc>
          <w:tcPr>
            <w:tcW w:w="1128" w:type="dxa"/>
            <w:noWrap w:val="0"/>
            <w:vAlign w:val="center"/>
          </w:tcPr>
          <w:p w14:paraId="5D3D3B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52" w:type="dxa"/>
            <w:noWrap w:val="0"/>
            <w:vAlign w:val="center"/>
          </w:tcPr>
          <w:p w14:paraId="619BC2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33CBFB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3CB720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1F2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12" w:type="dxa"/>
            <w:vMerge w:val="continue"/>
            <w:noWrap w:val="0"/>
            <w:vAlign w:val="center"/>
          </w:tcPr>
          <w:p w14:paraId="172EFD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572EB7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6965F1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2E8963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安全隐患排查覆盖率</w:t>
            </w:r>
          </w:p>
        </w:tc>
        <w:tc>
          <w:tcPr>
            <w:tcW w:w="1164" w:type="dxa"/>
            <w:noWrap w:val="0"/>
            <w:vAlign w:val="center"/>
          </w:tcPr>
          <w:p w14:paraId="40680C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28" w:type="dxa"/>
            <w:noWrap w:val="0"/>
            <w:vAlign w:val="center"/>
          </w:tcPr>
          <w:p w14:paraId="0DFBDB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52" w:type="dxa"/>
            <w:noWrap w:val="0"/>
            <w:vAlign w:val="center"/>
          </w:tcPr>
          <w:p w14:paraId="6589CD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69CF13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5A3E07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921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112" w:type="dxa"/>
            <w:vMerge w:val="continue"/>
            <w:noWrap w:val="0"/>
            <w:vAlign w:val="center"/>
          </w:tcPr>
          <w:p w14:paraId="4D41BB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548C12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noWrap w:val="0"/>
            <w:vAlign w:val="center"/>
          </w:tcPr>
          <w:p w14:paraId="0560B7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238DAA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664" w:type="dxa"/>
            <w:gridSpan w:val="2"/>
            <w:noWrap w:val="0"/>
            <w:vAlign w:val="center"/>
          </w:tcPr>
          <w:p w14:paraId="25D799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工作完成时间</w:t>
            </w:r>
          </w:p>
        </w:tc>
        <w:tc>
          <w:tcPr>
            <w:tcW w:w="1164" w:type="dxa"/>
            <w:noWrap w:val="0"/>
            <w:vAlign w:val="center"/>
          </w:tcPr>
          <w:p w14:paraId="4FCEF9CA">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年12月31日前</w:t>
            </w:r>
          </w:p>
        </w:tc>
        <w:tc>
          <w:tcPr>
            <w:tcW w:w="1128" w:type="dxa"/>
            <w:noWrap w:val="0"/>
            <w:vAlign w:val="center"/>
          </w:tcPr>
          <w:p w14:paraId="629F1E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652" w:type="dxa"/>
            <w:noWrap w:val="0"/>
            <w:vAlign w:val="center"/>
          </w:tcPr>
          <w:p w14:paraId="5A46FC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721DFB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0D997C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7BC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112" w:type="dxa"/>
            <w:vMerge w:val="continue"/>
            <w:noWrap w:val="0"/>
            <w:vAlign w:val="center"/>
          </w:tcPr>
          <w:p w14:paraId="51E2DE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restart"/>
            <w:noWrap w:val="0"/>
            <w:vAlign w:val="center"/>
          </w:tcPr>
          <w:p w14:paraId="29EF3B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B472B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2" w:type="dxa"/>
            <w:noWrap w:val="0"/>
            <w:vAlign w:val="center"/>
          </w:tcPr>
          <w:p w14:paraId="427C27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02F5B6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64" w:type="dxa"/>
            <w:gridSpan w:val="2"/>
            <w:noWrap w:val="0"/>
            <w:vAlign w:val="center"/>
          </w:tcPr>
          <w:p w14:paraId="130A857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非税收入完成额</w:t>
            </w:r>
          </w:p>
        </w:tc>
        <w:tc>
          <w:tcPr>
            <w:tcW w:w="1164" w:type="dxa"/>
            <w:noWrap w:val="0"/>
            <w:vAlign w:val="center"/>
          </w:tcPr>
          <w:p w14:paraId="59CBA0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≥356</w:t>
            </w:r>
            <w:r>
              <w:rPr>
                <w:rFonts w:hint="eastAsia" w:ascii="仿宋" w:hAnsi="仿宋" w:eastAsia="仿宋" w:cs="仿宋"/>
                <w:color w:val="000000"/>
                <w:kern w:val="0"/>
                <w:sz w:val="20"/>
                <w:szCs w:val="20"/>
                <w:lang w:eastAsia="zh-CN"/>
              </w:rPr>
              <w:t>万元</w:t>
            </w:r>
          </w:p>
        </w:tc>
        <w:tc>
          <w:tcPr>
            <w:tcW w:w="1128" w:type="dxa"/>
            <w:noWrap w:val="0"/>
            <w:vAlign w:val="center"/>
          </w:tcPr>
          <w:p w14:paraId="3BCBDA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356万元</w:t>
            </w:r>
          </w:p>
        </w:tc>
        <w:tc>
          <w:tcPr>
            <w:tcW w:w="652" w:type="dxa"/>
            <w:noWrap w:val="0"/>
            <w:vAlign w:val="center"/>
          </w:tcPr>
          <w:p w14:paraId="226F41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77" w:type="dxa"/>
            <w:noWrap w:val="0"/>
            <w:vAlign w:val="center"/>
          </w:tcPr>
          <w:p w14:paraId="1B649FD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37" w:type="dxa"/>
            <w:noWrap w:val="0"/>
            <w:vAlign w:val="center"/>
          </w:tcPr>
          <w:p w14:paraId="068DE4F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F46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1112" w:type="dxa"/>
            <w:vMerge w:val="continue"/>
            <w:noWrap w:val="0"/>
            <w:vAlign w:val="center"/>
          </w:tcPr>
          <w:p w14:paraId="76CF6B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55F2C59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noWrap w:val="0"/>
            <w:vAlign w:val="center"/>
          </w:tcPr>
          <w:p w14:paraId="36200F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56CEC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64" w:type="dxa"/>
            <w:gridSpan w:val="2"/>
            <w:noWrap w:val="0"/>
            <w:vAlign w:val="center"/>
          </w:tcPr>
          <w:p w14:paraId="53D7C9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改善城市市容形象，提升城市品味，保障城市文明出行</w:t>
            </w:r>
          </w:p>
        </w:tc>
        <w:tc>
          <w:tcPr>
            <w:tcW w:w="1164" w:type="dxa"/>
            <w:noWrap w:val="0"/>
            <w:vAlign w:val="center"/>
          </w:tcPr>
          <w:p w14:paraId="7C9FC7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28" w:type="dxa"/>
            <w:noWrap w:val="0"/>
            <w:vAlign w:val="center"/>
          </w:tcPr>
          <w:p w14:paraId="6ED4DF77">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52" w:type="dxa"/>
            <w:noWrap w:val="0"/>
            <w:vAlign w:val="center"/>
          </w:tcPr>
          <w:p w14:paraId="7F7D19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77" w:type="dxa"/>
            <w:noWrap w:val="0"/>
            <w:vAlign w:val="center"/>
          </w:tcPr>
          <w:p w14:paraId="04D909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37" w:type="dxa"/>
            <w:noWrap w:val="0"/>
            <w:vAlign w:val="center"/>
          </w:tcPr>
          <w:p w14:paraId="4B39B8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F8FA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12" w:type="dxa"/>
            <w:vMerge w:val="continue"/>
            <w:noWrap w:val="0"/>
            <w:vAlign w:val="center"/>
          </w:tcPr>
          <w:p w14:paraId="426524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0A5684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noWrap w:val="0"/>
            <w:vAlign w:val="center"/>
          </w:tcPr>
          <w:p w14:paraId="204FEC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25788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64" w:type="dxa"/>
            <w:gridSpan w:val="2"/>
            <w:noWrap w:val="0"/>
            <w:vAlign w:val="center"/>
          </w:tcPr>
          <w:p w14:paraId="7F2433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164" w:type="dxa"/>
            <w:noWrap w:val="0"/>
            <w:vAlign w:val="center"/>
          </w:tcPr>
          <w:p w14:paraId="38C286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28" w:type="dxa"/>
            <w:noWrap w:val="0"/>
            <w:vAlign w:val="center"/>
          </w:tcPr>
          <w:p w14:paraId="13D0D4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52" w:type="dxa"/>
            <w:noWrap w:val="0"/>
            <w:vAlign w:val="center"/>
          </w:tcPr>
          <w:p w14:paraId="18FCF8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77" w:type="dxa"/>
            <w:noWrap w:val="0"/>
            <w:vAlign w:val="center"/>
          </w:tcPr>
          <w:p w14:paraId="1988FF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37" w:type="dxa"/>
            <w:noWrap w:val="0"/>
            <w:vAlign w:val="center"/>
          </w:tcPr>
          <w:p w14:paraId="316D20B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AAE2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12" w:type="dxa"/>
            <w:vMerge w:val="continue"/>
            <w:noWrap w:val="0"/>
            <w:vAlign w:val="center"/>
          </w:tcPr>
          <w:p w14:paraId="49E1D9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56972D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noWrap w:val="0"/>
            <w:vAlign w:val="center"/>
          </w:tcPr>
          <w:p w14:paraId="27170F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664" w:type="dxa"/>
            <w:gridSpan w:val="2"/>
            <w:noWrap w:val="0"/>
            <w:vAlign w:val="center"/>
          </w:tcPr>
          <w:p w14:paraId="252E21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持续提升市容形象、城市品味</w:t>
            </w:r>
          </w:p>
        </w:tc>
        <w:tc>
          <w:tcPr>
            <w:tcW w:w="1164" w:type="dxa"/>
            <w:noWrap w:val="0"/>
            <w:vAlign w:val="center"/>
          </w:tcPr>
          <w:p w14:paraId="22C683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28" w:type="dxa"/>
            <w:noWrap w:val="0"/>
            <w:vAlign w:val="center"/>
          </w:tcPr>
          <w:p w14:paraId="2C21BE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52" w:type="dxa"/>
            <w:noWrap w:val="0"/>
            <w:vAlign w:val="center"/>
          </w:tcPr>
          <w:p w14:paraId="614FE3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77" w:type="dxa"/>
            <w:noWrap w:val="0"/>
            <w:vAlign w:val="center"/>
          </w:tcPr>
          <w:p w14:paraId="7605EC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37" w:type="dxa"/>
            <w:noWrap w:val="0"/>
            <w:vAlign w:val="center"/>
          </w:tcPr>
          <w:p w14:paraId="594D31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081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12" w:type="dxa"/>
            <w:vMerge w:val="continue"/>
            <w:noWrap w:val="0"/>
            <w:vAlign w:val="center"/>
          </w:tcPr>
          <w:p w14:paraId="7CE398F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26" w:type="dxa"/>
            <w:noWrap w:val="0"/>
            <w:vAlign w:val="center"/>
          </w:tcPr>
          <w:p w14:paraId="0F6F6A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1AD650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0BC131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2" w:type="dxa"/>
            <w:noWrap w:val="0"/>
            <w:vAlign w:val="center"/>
          </w:tcPr>
          <w:p w14:paraId="0ACB0E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664" w:type="dxa"/>
            <w:gridSpan w:val="2"/>
            <w:noWrap w:val="0"/>
            <w:vAlign w:val="center"/>
          </w:tcPr>
          <w:p w14:paraId="08D4FF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社会公众满意度</w:t>
            </w:r>
          </w:p>
        </w:tc>
        <w:tc>
          <w:tcPr>
            <w:tcW w:w="1164" w:type="dxa"/>
            <w:noWrap w:val="0"/>
            <w:vAlign w:val="center"/>
          </w:tcPr>
          <w:p w14:paraId="0B8B98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28" w:type="dxa"/>
            <w:noWrap w:val="0"/>
            <w:vAlign w:val="center"/>
          </w:tcPr>
          <w:p w14:paraId="731AB9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652" w:type="dxa"/>
            <w:noWrap w:val="0"/>
            <w:vAlign w:val="center"/>
          </w:tcPr>
          <w:p w14:paraId="126D57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77" w:type="dxa"/>
            <w:noWrap w:val="0"/>
            <w:vAlign w:val="center"/>
          </w:tcPr>
          <w:p w14:paraId="1A7E1D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37" w:type="dxa"/>
            <w:noWrap w:val="0"/>
            <w:vAlign w:val="center"/>
          </w:tcPr>
          <w:p w14:paraId="15B545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52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6" w:type="dxa"/>
            <w:gridSpan w:val="7"/>
            <w:noWrap w:val="0"/>
            <w:vAlign w:val="center"/>
          </w:tcPr>
          <w:p w14:paraId="299F5B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52" w:type="dxa"/>
            <w:noWrap w:val="0"/>
            <w:vAlign w:val="center"/>
          </w:tcPr>
          <w:p w14:paraId="1921E3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777" w:type="dxa"/>
            <w:noWrap w:val="0"/>
            <w:vAlign w:val="center"/>
          </w:tcPr>
          <w:p w14:paraId="1E1D02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97.37</w:t>
            </w:r>
            <w:r>
              <w:rPr>
                <w:rFonts w:hint="eastAsia" w:ascii="仿宋" w:hAnsi="仿宋" w:eastAsia="仿宋" w:cs="仿宋"/>
                <w:color w:val="000000"/>
                <w:kern w:val="0"/>
                <w:sz w:val="20"/>
                <w:szCs w:val="20"/>
              </w:rPr>
              <w:t>　</w:t>
            </w:r>
          </w:p>
        </w:tc>
        <w:tc>
          <w:tcPr>
            <w:tcW w:w="1037" w:type="dxa"/>
            <w:noWrap w:val="0"/>
            <w:vAlign w:val="center"/>
          </w:tcPr>
          <w:p w14:paraId="357917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BC7088C">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唐涛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 2026年5月25日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 13487553315 </w:t>
      </w:r>
    </w:p>
    <w:p w14:paraId="0C27BF6B">
      <w:pPr>
        <w:rPr>
          <w:rFonts w:hint="default"/>
          <w:lang w:val="en-US" w:eastAsia="zh-CN"/>
        </w:rPr>
      </w:pPr>
    </w:p>
    <w:p w14:paraId="20CD0E19">
      <w:pPr>
        <w:rPr>
          <w:rFonts w:hint="default"/>
          <w:lang w:val="en-US" w:eastAsia="zh-CN"/>
        </w:rPr>
      </w:pPr>
    </w:p>
    <w:p w14:paraId="76CE0841">
      <w:pPr>
        <w:rPr>
          <w:rFonts w:hint="default"/>
          <w:lang w:val="en-US" w:eastAsia="zh-CN"/>
        </w:rPr>
      </w:pPr>
    </w:p>
    <w:p w14:paraId="3ED07C69">
      <w:pPr>
        <w:rPr>
          <w:rFonts w:hint="default"/>
          <w:lang w:val="en-US" w:eastAsia="zh-CN"/>
        </w:rPr>
      </w:pPr>
    </w:p>
    <w:p w14:paraId="14850990">
      <w:pPr>
        <w:rPr>
          <w:rFonts w:hint="default"/>
          <w:lang w:val="en-US" w:eastAsia="zh-CN"/>
        </w:rPr>
      </w:pPr>
    </w:p>
    <w:p w14:paraId="08483CBA">
      <w:pPr>
        <w:rPr>
          <w:rFonts w:hint="default"/>
          <w:lang w:val="en-US" w:eastAsia="zh-CN"/>
        </w:rPr>
      </w:pPr>
    </w:p>
    <w:p w14:paraId="62D83E14">
      <w:pPr>
        <w:rPr>
          <w:rFonts w:hint="default"/>
          <w:lang w:val="en-US" w:eastAsia="zh-CN"/>
        </w:rPr>
      </w:pPr>
    </w:p>
    <w:p w14:paraId="07BFE1E5">
      <w:pPr>
        <w:rPr>
          <w:rFonts w:hint="default"/>
          <w:lang w:val="en-US" w:eastAsia="zh-CN"/>
        </w:rPr>
      </w:pPr>
    </w:p>
    <w:p w14:paraId="09226B58">
      <w:pPr>
        <w:rPr>
          <w:rFonts w:hint="default"/>
          <w:lang w:val="en-US" w:eastAsia="zh-CN"/>
        </w:rPr>
      </w:pPr>
    </w:p>
    <w:p w14:paraId="1BF64CF5">
      <w:pPr>
        <w:rPr>
          <w:rFonts w:hint="default"/>
          <w:lang w:val="en-US" w:eastAsia="zh-CN"/>
        </w:rPr>
      </w:pPr>
    </w:p>
    <w:p w14:paraId="73FF2D6E">
      <w:pPr>
        <w:rPr>
          <w:rFonts w:hint="default"/>
          <w:lang w:val="en-US" w:eastAsia="zh-CN"/>
        </w:rPr>
      </w:pPr>
    </w:p>
    <w:p w14:paraId="2F5EB1C6">
      <w:pPr>
        <w:rPr>
          <w:rFonts w:hint="default"/>
          <w:lang w:val="en-US" w:eastAsia="zh-CN"/>
        </w:rPr>
      </w:pPr>
    </w:p>
    <w:p w14:paraId="6678BFD7">
      <w:pPr>
        <w:rPr>
          <w:rFonts w:hint="default"/>
          <w:lang w:val="en-US" w:eastAsia="zh-CN"/>
        </w:rPr>
      </w:pPr>
    </w:p>
    <w:p w14:paraId="2F108664">
      <w:pPr>
        <w:rPr>
          <w:rFonts w:hint="default"/>
          <w:lang w:val="en-US" w:eastAsia="zh-CN"/>
        </w:rPr>
      </w:pPr>
    </w:p>
    <w:p w14:paraId="3983E09A">
      <w:pPr>
        <w:rPr>
          <w:rFonts w:hint="default"/>
          <w:lang w:val="en-US" w:eastAsia="zh-CN"/>
        </w:rPr>
      </w:pPr>
    </w:p>
    <w:p w14:paraId="4EFAC71A">
      <w:pPr>
        <w:rPr>
          <w:rFonts w:hint="default"/>
          <w:lang w:val="en-US" w:eastAsia="zh-CN"/>
        </w:rPr>
      </w:pPr>
    </w:p>
    <w:p w14:paraId="71B88498">
      <w:pPr>
        <w:rPr>
          <w:rFonts w:hint="default"/>
          <w:lang w:val="en-US" w:eastAsia="zh-CN"/>
        </w:rPr>
      </w:pPr>
    </w:p>
    <w:p w14:paraId="55B23EEB">
      <w:pPr>
        <w:rPr>
          <w:rFonts w:hint="default"/>
          <w:lang w:val="en-US" w:eastAsia="zh-CN"/>
        </w:rPr>
      </w:pPr>
    </w:p>
    <w:p w14:paraId="7FD09965">
      <w:pPr>
        <w:rPr>
          <w:rFonts w:hint="default"/>
          <w:lang w:val="en-US" w:eastAsia="zh-CN"/>
        </w:rPr>
      </w:pPr>
    </w:p>
    <w:p w14:paraId="64185ACB">
      <w:pPr>
        <w:rPr>
          <w:rFonts w:hint="default"/>
          <w:lang w:val="en-US" w:eastAsia="zh-CN"/>
        </w:rPr>
      </w:pPr>
    </w:p>
    <w:p w14:paraId="08ED41C0">
      <w:pPr>
        <w:rPr>
          <w:rFonts w:hint="default"/>
          <w:lang w:val="en-US" w:eastAsia="zh-CN"/>
        </w:rPr>
      </w:pPr>
    </w:p>
    <w:p w14:paraId="6D9C6A4E">
      <w:pPr>
        <w:rPr>
          <w:rFonts w:hint="default"/>
          <w:lang w:val="en-US" w:eastAsia="zh-CN"/>
        </w:rPr>
      </w:pPr>
    </w:p>
    <w:p w14:paraId="470D769E">
      <w:pPr>
        <w:rPr>
          <w:rFonts w:hint="default"/>
          <w:lang w:val="en-US" w:eastAsia="zh-CN"/>
        </w:rPr>
      </w:pPr>
    </w:p>
    <w:p w14:paraId="3C250ED0">
      <w:pPr>
        <w:rPr>
          <w:rFonts w:hint="default"/>
          <w:lang w:val="en-US" w:eastAsia="zh-CN"/>
        </w:rPr>
      </w:pPr>
    </w:p>
    <w:p w14:paraId="780D84C1">
      <w:pPr>
        <w:rPr>
          <w:rFonts w:hint="default"/>
          <w:lang w:val="en-US" w:eastAsia="zh-CN"/>
        </w:rPr>
      </w:pPr>
    </w:p>
    <w:p w14:paraId="4502E2C9">
      <w:pPr>
        <w:rPr>
          <w:rFonts w:hint="default"/>
          <w:lang w:val="en-US" w:eastAsia="zh-CN"/>
        </w:rPr>
      </w:pPr>
    </w:p>
    <w:p w14:paraId="35D4E14F">
      <w:pPr>
        <w:rPr>
          <w:rFonts w:hint="default"/>
          <w:lang w:val="en-US" w:eastAsia="zh-CN"/>
        </w:rPr>
      </w:pPr>
    </w:p>
    <w:p w14:paraId="65344C32">
      <w:pPr>
        <w:rPr>
          <w:rFonts w:hint="default"/>
          <w:lang w:val="en-US" w:eastAsia="zh-CN"/>
        </w:rPr>
      </w:pPr>
    </w:p>
    <w:p w14:paraId="3F8F3A76">
      <w:pPr>
        <w:rPr>
          <w:rFonts w:hint="default"/>
          <w:lang w:val="en-US" w:eastAsia="zh-CN"/>
        </w:rPr>
      </w:pPr>
    </w:p>
    <w:p w14:paraId="06E34B45">
      <w:pPr>
        <w:rPr>
          <w:rFonts w:hint="default"/>
          <w:lang w:val="en-US" w:eastAsia="zh-CN"/>
        </w:rPr>
      </w:pPr>
    </w:p>
    <w:p w14:paraId="0DFC08E1">
      <w:pPr>
        <w:rPr>
          <w:rFonts w:hint="default"/>
          <w:lang w:val="en-US" w:eastAsia="zh-CN"/>
        </w:rPr>
      </w:pPr>
    </w:p>
    <w:p w14:paraId="0E308BB2">
      <w:pPr>
        <w:rPr>
          <w:rFonts w:hint="default"/>
          <w:lang w:val="en-US" w:eastAsia="zh-CN"/>
        </w:rPr>
      </w:pPr>
    </w:p>
    <w:p w14:paraId="02DB3185">
      <w:pPr>
        <w:rPr>
          <w:rFonts w:hint="default"/>
          <w:lang w:val="en-US" w:eastAsia="zh-CN"/>
        </w:rPr>
      </w:pPr>
    </w:p>
    <w:p w14:paraId="251F4894">
      <w:pPr>
        <w:rPr>
          <w:rFonts w:hint="default"/>
          <w:lang w:val="en-US" w:eastAsia="zh-CN"/>
        </w:rPr>
      </w:pPr>
    </w:p>
    <w:p w14:paraId="51F831C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t>附件3-1</w:t>
      </w:r>
    </w:p>
    <w:p w14:paraId="6AF8F3AF">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pPr>
      <w:r>
        <w:rPr>
          <w:rFonts w:hint="eastAsia" w:ascii="方正小标宋_GBK" w:hAnsi="方正小标宋_GBK" w:eastAsia="方正小标宋_GBK" w:cs="方正小标宋_GBK"/>
          <w:b/>
          <w:bCs/>
          <w:i w:val="0"/>
          <w:iCs w:val="0"/>
          <w:caps w:val="0"/>
          <w:color w:val="auto"/>
          <w:spacing w:val="0"/>
          <w:kern w:val="0"/>
          <w:sz w:val="28"/>
          <w:szCs w:val="28"/>
          <w:shd w:val="clear" w:color="auto" w:fill="FFFFFF"/>
          <w:lang w:val="en-US" w:eastAsia="zh-CN" w:bidi="ar"/>
        </w:rPr>
        <w:t>项目</w:t>
      </w:r>
      <w:r>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t>支出绩效自评</w:t>
      </w:r>
      <w:r>
        <w:rPr>
          <w:rFonts w:hint="eastAsia" w:ascii="方正小标宋_GBK" w:hAnsi="方正小标宋_GBK" w:eastAsia="方正小标宋_GBK" w:cs="方正小标宋_GBK"/>
          <w:b/>
          <w:bCs/>
          <w:i w:val="0"/>
          <w:iCs w:val="0"/>
          <w:caps w:val="0"/>
          <w:color w:val="000000"/>
          <w:spacing w:val="0"/>
          <w:kern w:val="0"/>
          <w:sz w:val="28"/>
          <w:szCs w:val="28"/>
          <w:shd w:val="clear" w:color="auto" w:fill="FFFFFF"/>
          <w:lang w:val="en-US" w:eastAsia="zh-CN" w:bidi="ar"/>
        </w:rPr>
        <w:t>表</w:t>
      </w:r>
    </w:p>
    <w:tbl>
      <w:tblPr>
        <w:tblStyle w:val="9"/>
        <w:tblW w:w="9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696"/>
        <w:gridCol w:w="1476"/>
        <w:gridCol w:w="1836"/>
        <w:gridCol w:w="1212"/>
        <w:gridCol w:w="1139"/>
        <w:gridCol w:w="604"/>
        <w:gridCol w:w="686"/>
        <w:gridCol w:w="1158"/>
      </w:tblGrid>
      <w:tr w14:paraId="5455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73" w:type="dxa"/>
            <w:noWrap w:val="0"/>
            <w:vAlign w:val="center"/>
          </w:tcPr>
          <w:p w14:paraId="00E855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4A68D64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807" w:type="dxa"/>
            <w:gridSpan w:val="8"/>
            <w:noWrap w:val="0"/>
            <w:vAlign w:val="center"/>
          </w:tcPr>
          <w:p w14:paraId="220870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b w:val="0"/>
                <w:bCs w:val="0"/>
                <w:color w:val="auto"/>
                <w:kern w:val="0"/>
                <w:sz w:val="20"/>
                <w:szCs w:val="20"/>
                <w:lang w:val="en-US" w:eastAsia="zh-CN"/>
              </w:rPr>
              <w:t>桥梁检测费</w:t>
            </w:r>
          </w:p>
        </w:tc>
      </w:tr>
      <w:tr w14:paraId="4765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73" w:type="dxa"/>
            <w:noWrap w:val="0"/>
            <w:vAlign w:val="center"/>
          </w:tcPr>
          <w:p w14:paraId="5B2EA8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5220" w:type="dxa"/>
            <w:gridSpan w:val="4"/>
            <w:noWrap w:val="0"/>
            <w:vAlign w:val="center"/>
          </w:tcPr>
          <w:p w14:paraId="4A17B4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怀化市城市管理局</w:t>
            </w:r>
          </w:p>
        </w:tc>
        <w:tc>
          <w:tcPr>
            <w:tcW w:w="1139" w:type="dxa"/>
            <w:noWrap w:val="0"/>
            <w:vAlign w:val="center"/>
          </w:tcPr>
          <w:p w14:paraId="226EA8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448" w:type="dxa"/>
            <w:gridSpan w:val="3"/>
            <w:noWrap w:val="0"/>
            <w:vAlign w:val="center"/>
          </w:tcPr>
          <w:p w14:paraId="3331B6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怀化市市政设施维护</w:t>
            </w:r>
            <w:r>
              <w:rPr>
                <w:rFonts w:hint="eastAsia" w:ascii="仿宋" w:hAnsi="仿宋" w:eastAsia="仿宋" w:cs="仿宋"/>
                <w:color w:val="000000"/>
                <w:kern w:val="0"/>
                <w:sz w:val="20"/>
                <w:szCs w:val="20"/>
                <w:lang w:eastAsia="zh-CN"/>
              </w:rPr>
              <w:t>中</w:t>
            </w:r>
            <w:r>
              <w:rPr>
                <w:rFonts w:hint="eastAsia" w:ascii="仿宋" w:hAnsi="仿宋" w:eastAsia="仿宋" w:cs="仿宋"/>
                <w:color w:val="000000"/>
                <w:kern w:val="0"/>
                <w:sz w:val="20"/>
                <w:szCs w:val="20"/>
              </w:rPr>
              <w:t>心</w:t>
            </w:r>
          </w:p>
        </w:tc>
      </w:tr>
      <w:tr w14:paraId="081E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restart"/>
            <w:noWrap w:val="0"/>
            <w:vAlign w:val="center"/>
          </w:tcPr>
          <w:p w14:paraId="13A93A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72" w:type="dxa"/>
            <w:gridSpan w:val="2"/>
            <w:noWrap w:val="0"/>
            <w:vAlign w:val="center"/>
          </w:tcPr>
          <w:p w14:paraId="251054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836" w:type="dxa"/>
            <w:noWrap w:val="0"/>
            <w:vAlign w:val="center"/>
          </w:tcPr>
          <w:p w14:paraId="1DE649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5739CC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12" w:type="dxa"/>
            <w:noWrap w:val="0"/>
            <w:vAlign w:val="center"/>
          </w:tcPr>
          <w:p w14:paraId="19A422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D3D06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9" w:type="dxa"/>
            <w:noWrap w:val="0"/>
            <w:vAlign w:val="center"/>
          </w:tcPr>
          <w:p w14:paraId="7B69B6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011E6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04" w:type="dxa"/>
            <w:noWrap w:val="0"/>
            <w:vAlign w:val="center"/>
          </w:tcPr>
          <w:p w14:paraId="3ACD00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686" w:type="dxa"/>
            <w:noWrap w:val="0"/>
            <w:vAlign w:val="center"/>
          </w:tcPr>
          <w:p w14:paraId="5B5B30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58" w:type="dxa"/>
            <w:noWrap w:val="0"/>
            <w:vAlign w:val="center"/>
          </w:tcPr>
          <w:p w14:paraId="56E674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3188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73" w:type="dxa"/>
            <w:vMerge w:val="continue"/>
            <w:noWrap w:val="0"/>
            <w:vAlign w:val="center"/>
          </w:tcPr>
          <w:p w14:paraId="1CCA3E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72" w:type="dxa"/>
            <w:gridSpan w:val="2"/>
            <w:noWrap w:val="0"/>
            <w:vAlign w:val="center"/>
          </w:tcPr>
          <w:p w14:paraId="6DD243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年度资金总额</w:t>
            </w:r>
          </w:p>
        </w:tc>
        <w:tc>
          <w:tcPr>
            <w:tcW w:w="1836" w:type="dxa"/>
            <w:noWrap w:val="0"/>
            <w:vAlign w:val="center"/>
          </w:tcPr>
          <w:p w14:paraId="72A9E19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139</w:t>
            </w:r>
          </w:p>
        </w:tc>
        <w:tc>
          <w:tcPr>
            <w:tcW w:w="1212" w:type="dxa"/>
            <w:noWrap w:val="0"/>
            <w:vAlign w:val="center"/>
          </w:tcPr>
          <w:p w14:paraId="77C1FD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45</w:t>
            </w:r>
          </w:p>
        </w:tc>
        <w:tc>
          <w:tcPr>
            <w:tcW w:w="1139" w:type="dxa"/>
            <w:noWrap w:val="0"/>
            <w:vAlign w:val="center"/>
          </w:tcPr>
          <w:p w14:paraId="01E871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45</w:t>
            </w:r>
          </w:p>
        </w:tc>
        <w:tc>
          <w:tcPr>
            <w:tcW w:w="604" w:type="dxa"/>
            <w:noWrap w:val="0"/>
            <w:vAlign w:val="center"/>
          </w:tcPr>
          <w:p w14:paraId="3FF09C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686" w:type="dxa"/>
            <w:noWrap w:val="0"/>
            <w:vAlign w:val="center"/>
          </w:tcPr>
          <w:p w14:paraId="348EEF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58" w:type="dxa"/>
            <w:noWrap w:val="0"/>
            <w:vAlign w:val="center"/>
          </w:tcPr>
          <w:p w14:paraId="1D722C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34F6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1073" w:type="dxa"/>
            <w:vMerge w:val="continue"/>
            <w:noWrap w:val="0"/>
            <w:vAlign w:val="center"/>
          </w:tcPr>
          <w:p w14:paraId="7DAFCA2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72" w:type="dxa"/>
            <w:gridSpan w:val="2"/>
            <w:noWrap w:val="0"/>
            <w:vAlign w:val="center"/>
          </w:tcPr>
          <w:p w14:paraId="0FBF24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其中：当年财政拨款</w:t>
            </w:r>
          </w:p>
        </w:tc>
        <w:tc>
          <w:tcPr>
            <w:tcW w:w="1836" w:type="dxa"/>
            <w:noWrap w:val="0"/>
            <w:vAlign w:val="center"/>
          </w:tcPr>
          <w:p w14:paraId="44854A1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139</w:t>
            </w:r>
          </w:p>
        </w:tc>
        <w:tc>
          <w:tcPr>
            <w:tcW w:w="1212" w:type="dxa"/>
            <w:noWrap w:val="0"/>
            <w:vAlign w:val="center"/>
          </w:tcPr>
          <w:p w14:paraId="52D32F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1139" w:type="dxa"/>
            <w:noWrap w:val="0"/>
            <w:vAlign w:val="center"/>
          </w:tcPr>
          <w:p w14:paraId="6F0E7B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604" w:type="dxa"/>
            <w:noWrap w:val="0"/>
            <w:vAlign w:val="center"/>
          </w:tcPr>
          <w:p w14:paraId="72B4CC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686" w:type="dxa"/>
            <w:noWrap w:val="0"/>
            <w:vAlign w:val="center"/>
          </w:tcPr>
          <w:p w14:paraId="515349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158" w:type="dxa"/>
            <w:noWrap w:val="0"/>
            <w:vAlign w:val="center"/>
          </w:tcPr>
          <w:p w14:paraId="342EAD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r>
      <w:tr w14:paraId="3333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073" w:type="dxa"/>
            <w:vMerge w:val="continue"/>
            <w:noWrap w:val="0"/>
            <w:vAlign w:val="center"/>
          </w:tcPr>
          <w:p w14:paraId="7AF454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72" w:type="dxa"/>
            <w:gridSpan w:val="2"/>
            <w:noWrap w:val="0"/>
            <w:vAlign w:val="center"/>
          </w:tcPr>
          <w:p w14:paraId="106C8118">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上年结转资金</w:t>
            </w:r>
          </w:p>
        </w:tc>
        <w:tc>
          <w:tcPr>
            <w:tcW w:w="1836" w:type="dxa"/>
            <w:noWrap w:val="0"/>
            <w:vAlign w:val="center"/>
          </w:tcPr>
          <w:p w14:paraId="04A68A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212" w:type="dxa"/>
            <w:noWrap w:val="0"/>
            <w:vAlign w:val="center"/>
          </w:tcPr>
          <w:p w14:paraId="51F456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43</w:t>
            </w:r>
          </w:p>
        </w:tc>
        <w:tc>
          <w:tcPr>
            <w:tcW w:w="1139" w:type="dxa"/>
            <w:noWrap w:val="0"/>
            <w:vAlign w:val="center"/>
          </w:tcPr>
          <w:p w14:paraId="07A9FC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43</w:t>
            </w:r>
          </w:p>
        </w:tc>
        <w:tc>
          <w:tcPr>
            <w:tcW w:w="604" w:type="dxa"/>
            <w:noWrap w:val="0"/>
            <w:vAlign w:val="center"/>
          </w:tcPr>
          <w:p w14:paraId="0CE08D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686" w:type="dxa"/>
            <w:noWrap w:val="0"/>
            <w:vAlign w:val="center"/>
          </w:tcPr>
          <w:p w14:paraId="78E129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158" w:type="dxa"/>
            <w:noWrap w:val="0"/>
            <w:vAlign w:val="center"/>
          </w:tcPr>
          <w:p w14:paraId="2D7C4A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r>
      <w:tr w14:paraId="4207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1073" w:type="dxa"/>
            <w:vMerge w:val="continue"/>
            <w:noWrap w:val="0"/>
            <w:vAlign w:val="center"/>
          </w:tcPr>
          <w:p w14:paraId="17235A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72" w:type="dxa"/>
            <w:gridSpan w:val="2"/>
            <w:noWrap w:val="0"/>
            <w:vAlign w:val="center"/>
          </w:tcPr>
          <w:p w14:paraId="3B5AA6DC">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836" w:type="dxa"/>
            <w:noWrap w:val="0"/>
            <w:vAlign w:val="center"/>
          </w:tcPr>
          <w:p w14:paraId="10BBEB7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212" w:type="dxa"/>
            <w:noWrap w:val="0"/>
            <w:vAlign w:val="center"/>
          </w:tcPr>
          <w:p w14:paraId="7D8E182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139" w:type="dxa"/>
            <w:noWrap w:val="0"/>
            <w:vAlign w:val="center"/>
          </w:tcPr>
          <w:p w14:paraId="0C1AD5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04" w:type="dxa"/>
            <w:noWrap w:val="0"/>
            <w:vAlign w:val="center"/>
          </w:tcPr>
          <w:p w14:paraId="314295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86" w:type="dxa"/>
            <w:noWrap w:val="0"/>
            <w:vAlign w:val="center"/>
          </w:tcPr>
          <w:p w14:paraId="6C934C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158" w:type="dxa"/>
            <w:noWrap w:val="0"/>
            <w:vAlign w:val="center"/>
          </w:tcPr>
          <w:p w14:paraId="29762B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2DDFA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73" w:type="dxa"/>
            <w:vMerge w:val="restart"/>
            <w:noWrap w:val="0"/>
            <w:vAlign w:val="center"/>
          </w:tcPr>
          <w:p w14:paraId="27425C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220" w:type="dxa"/>
            <w:gridSpan w:val="4"/>
            <w:noWrap w:val="0"/>
            <w:vAlign w:val="center"/>
          </w:tcPr>
          <w:p w14:paraId="6CDEB0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587" w:type="dxa"/>
            <w:gridSpan w:val="4"/>
            <w:noWrap w:val="0"/>
            <w:vAlign w:val="center"/>
          </w:tcPr>
          <w:p w14:paraId="285308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实际完成情况</w:t>
            </w:r>
          </w:p>
        </w:tc>
      </w:tr>
      <w:tr w14:paraId="5EBB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73" w:type="dxa"/>
            <w:vMerge w:val="continue"/>
            <w:noWrap w:val="0"/>
            <w:vAlign w:val="center"/>
          </w:tcPr>
          <w:p w14:paraId="494C82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5220" w:type="dxa"/>
            <w:gridSpan w:val="4"/>
            <w:noWrap w:val="0"/>
            <w:vAlign w:val="center"/>
          </w:tcPr>
          <w:p w14:paraId="23235830">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目标1：完成云溪桥、绕城高速城南入口匝道桥等17座城市桥梁进行结构安全定期检测；目标2：保障中心城区城市桥梁安全运行。</w:t>
            </w:r>
          </w:p>
        </w:tc>
        <w:tc>
          <w:tcPr>
            <w:tcW w:w="3587" w:type="dxa"/>
            <w:gridSpan w:val="4"/>
            <w:noWrap w:val="0"/>
            <w:vAlign w:val="center"/>
          </w:tcPr>
          <w:p w14:paraId="1A30F1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完成云溪桥、绕城高速城南入口匝道桥等17座城市桥梁进行结构安全定期检测；保障中心城区城市桥梁安全运行。</w:t>
            </w:r>
          </w:p>
        </w:tc>
      </w:tr>
      <w:tr w14:paraId="1EA3E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73" w:type="dxa"/>
            <w:vMerge w:val="restart"/>
            <w:noWrap w:val="0"/>
            <w:vAlign w:val="center"/>
          </w:tcPr>
          <w:p w14:paraId="60718D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00499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654BA1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32DCF5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696" w:type="dxa"/>
            <w:noWrap w:val="0"/>
            <w:vAlign w:val="center"/>
          </w:tcPr>
          <w:p w14:paraId="7385A0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476" w:type="dxa"/>
            <w:noWrap w:val="0"/>
            <w:vAlign w:val="center"/>
          </w:tcPr>
          <w:p w14:paraId="4BC047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836" w:type="dxa"/>
            <w:noWrap w:val="0"/>
            <w:vAlign w:val="center"/>
          </w:tcPr>
          <w:p w14:paraId="2F08B2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12" w:type="dxa"/>
            <w:noWrap w:val="0"/>
            <w:vAlign w:val="center"/>
          </w:tcPr>
          <w:p w14:paraId="5F4075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507A40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9" w:type="dxa"/>
            <w:noWrap w:val="0"/>
            <w:vAlign w:val="center"/>
          </w:tcPr>
          <w:p w14:paraId="54C104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456E4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04" w:type="dxa"/>
            <w:noWrap w:val="0"/>
            <w:vAlign w:val="center"/>
          </w:tcPr>
          <w:p w14:paraId="2424F1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686" w:type="dxa"/>
            <w:noWrap w:val="0"/>
            <w:vAlign w:val="center"/>
          </w:tcPr>
          <w:p w14:paraId="667BFB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58" w:type="dxa"/>
            <w:noWrap w:val="0"/>
            <w:vAlign w:val="center"/>
          </w:tcPr>
          <w:p w14:paraId="3807C3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偏差原因分析及改进措施</w:t>
            </w:r>
          </w:p>
        </w:tc>
      </w:tr>
      <w:tr w14:paraId="2F5E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73" w:type="dxa"/>
            <w:vMerge w:val="continue"/>
            <w:noWrap w:val="0"/>
            <w:vAlign w:val="center"/>
          </w:tcPr>
          <w:p w14:paraId="15C2043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restart"/>
            <w:noWrap w:val="0"/>
            <w:vAlign w:val="center"/>
          </w:tcPr>
          <w:p w14:paraId="4D7811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w:t>
            </w:r>
          </w:p>
          <w:p w14:paraId="308E33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指标</w:t>
            </w:r>
          </w:p>
        </w:tc>
        <w:tc>
          <w:tcPr>
            <w:tcW w:w="1476" w:type="dxa"/>
            <w:noWrap w:val="0"/>
            <w:vAlign w:val="center"/>
          </w:tcPr>
          <w:p w14:paraId="4503BA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836" w:type="dxa"/>
            <w:noWrap w:val="0"/>
            <w:vAlign w:val="center"/>
          </w:tcPr>
          <w:p w14:paraId="3AAB8F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桥梁检测费用</w:t>
            </w:r>
          </w:p>
        </w:tc>
        <w:tc>
          <w:tcPr>
            <w:tcW w:w="1212" w:type="dxa"/>
            <w:noWrap w:val="0"/>
            <w:vAlign w:val="center"/>
          </w:tcPr>
          <w:p w14:paraId="1A2502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≤139万元</w:t>
            </w:r>
          </w:p>
        </w:tc>
        <w:tc>
          <w:tcPr>
            <w:tcW w:w="1139" w:type="dxa"/>
            <w:noWrap w:val="0"/>
            <w:vAlign w:val="center"/>
          </w:tcPr>
          <w:p w14:paraId="3AE239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45万元</w:t>
            </w:r>
          </w:p>
        </w:tc>
        <w:tc>
          <w:tcPr>
            <w:tcW w:w="604" w:type="dxa"/>
            <w:noWrap w:val="0"/>
            <w:vAlign w:val="center"/>
          </w:tcPr>
          <w:p w14:paraId="3C9FE0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686" w:type="dxa"/>
            <w:noWrap w:val="0"/>
            <w:vAlign w:val="center"/>
          </w:tcPr>
          <w:p w14:paraId="7D8C29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58" w:type="dxa"/>
            <w:noWrap w:val="0"/>
            <w:vAlign w:val="center"/>
          </w:tcPr>
          <w:p w14:paraId="42600F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6E5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73" w:type="dxa"/>
            <w:vMerge w:val="continue"/>
            <w:noWrap w:val="0"/>
            <w:vAlign w:val="center"/>
          </w:tcPr>
          <w:p w14:paraId="0F38A4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041DC55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476" w:type="dxa"/>
            <w:noWrap w:val="0"/>
            <w:vAlign w:val="center"/>
          </w:tcPr>
          <w:p w14:paraId="1DE594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836" w:type="dxa"/>
            <w:noWrap w:val="0"/>
            <w:vAlign w:val="center"/>
          </w:tcPr>
          <w:p w14:paraId="23C446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212" w:type="dxa"/>
            <w:noWrap w:val="0"/>
            <w:vAlign w:val="center"/>
          </w:tcPr>
          <w:p w14:paraId="3CFE93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2"/>
                <w:szCs w:val="22"/>
                <w:lang w:val="en-US" w:eastAsia="zh-CN"/>
              </w:rPr>
              <w:t>0%</w:t>
            </w:r>
          </w:p>
        </w:tc>
        <w:tc>
          <w:tcPr>
            <w:tcW w:w="1139" w:type="dxa"/>
            <w:noWrap w:val="0"/>
            <w:vAlign w:val="center"/>
          </w:tcPr>
          <w:p w14:paraId="503A77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04" w:type="dxa"/>
            <w:noWrap w:val="0"/>
            <w:vAlign w:val="center"/>
          </w:tcPr>
          <w:p w14:paraId="2AB17A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w:t>
            </w:r>
          </w:p>
        </w:tc>
        <w:tc>
          <w:tcPr>
            <w:tcW w:w="686" w:type="dxa"/>
            <w:noWrap w:val="0"/>
            <w:vAlign w:val="center"/>
          </w:tcPr>
          <w:p w14:paraId="4F9314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w:t>
            </w:r>
          </w:p>
        </w:tc>
        <w:tc>
          <w:tcPr>
            <w:tcW w:w="1158" w:type="dxa"/>
            <w:noWrap w:val="0"/>
            <w:vAlign w:val="center"/>
          </w:tcPr>
          <w:p w14:paraId="1C3A19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0AF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73" w:type="dxa"/>
            <w:vMerge w:val="continue"/>
            <w:noWrap w:val="0"/>
            <w:vAlign w:val="center"/>
          </w:tcPr>
          <w:p w14:paraId="2D76EF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6DEF4B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476" w:type="dxa"/>
            <w:noWrap w:val="0"/>
            <w:vAlign w:val="center"/>
          </w:tcPr>
          <w:p w14:paraId="3DE574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836" w:type="dxa"/>
            <w:noWrap w:val="0"/>
            <w:vAlign w:val="center"/>
          </w:tcPr>
          <w:p w14:paraId="178574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12" w:type="dxa"/>
            <w:noWrap w:val="0"/>
            <w:vAlign w:val="center"/>
          </w:tcPr>
          <w:p w14:paraId="29A012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2"/>
                <w:szCs w:val="22"/>
                <w:lang w:val="en-US" w:eastAsia="zh-CN"/>
              </w:rPr>
              <w:t>0%</w:t>
            </w:r>
          </w:p>
        </w:tc>
        <w:tc>
          <w:tcPr>
            <w:tcW w:w="1139" w:type="dxa"/>
            <w:noWrap w:val="0"/>
            <w:vAlign w:val="center"/>
          </w:tcPr>
          <w:p w14:paraId="0A8F4F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04" w:type="dxa"/>
            <w:noWrap w:val="0"/>
            <w:vAlign w:val="center"/>
          </w:tcPr>
          <w:p w14:paraId="0A5B9D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686" w:type="dxa"/>
            <w:noWrap w:val="0"/>
            <w:vAlign w:val="center"/>
          </w:tcPr>
          <w:p w14:paraId="7B0040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58" w:type="dxa"/>
            <w:noWrap w:val="0"/>
            <w:vAlign w:val="center"/>
          </w:tcPr>
          <w:p w14:paraId="6BDE5E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195AC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73" w:type="dxa"/>
            <w:vMerge w:val="continue"/>
            <w:noWrap w:val="0"/>
            <w:vAlign w:val="center"/>
          </w:tcPr>
          <w:p w14:paraId="4558C83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restart"/>
            <w:noWrap w:val="0"/>
            <w:vAlign w:val="center"/>
          </w:tcPr>
          <w:p w14:paraId="1C9784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w:t>
            </w:r>
          </w:p>
          <w:p w14:paraId="008434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指标</w:t>
            </w:r>
          </w:p>
        </w:tc>
        <w:tc>
          <w:tcPr>
            <w:tcW w:w="1476" w:type="dxa"/>
            <w:vMerge w:val="restart"/>
            <w:noWrap w:val="0"/>
            <w:vAlign w:val="center"/>
          </w:tcPr>
          <w:p w14:paraId="218E11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836" w:type="dxa"/>
            <w:noWrap w:val="0"/>
            <w:vAlign w:val="center"/>
          </w:tcPr>
          <w:p w14:paraId="667B7D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开展桥梁定期检测</w:t>
            </w:r>
          </w:p>
        </w:tc>
        <w:tc>
          <w:tcPr>
            <w:tcW w:w="1212" w:type="dxa"/>
            <w:noWrap w:val="0"/>
            <w:vAlign w:val="center"/>
          </w:tcPr>
          <w:p w14:paraId="157ED1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≥1次</w:t>
            </w:r>
          </w:p>
        </w:tc>
        <w:tc>
          <w:tcPr>
            <w:tcW w:w="1139" w:type="dxa"/>
            <w:noWrap w:val="0"/>
            <w:vAlign w:val="center"/>
          </w:tcPr>
          <w:p w14:paraId="7CDE08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1次</w:t>
            </w:r>
          </w:p>
        </w:tc>
        <w:tc>
          <w:tcPr>
            <w:tcW w:w="604" w:type="dxa"/>
            <w:noWrap w:val="0"/>
            <w:vAlign w:val="center"/>
          </w:tcPr>
          <w:p w14:paraId="105B33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686" w:type="dxa"/>
            <w:noWrap w:val="0"/>
            <w:vAlign w:val="center"/>
          </w:tcPr>
          <w:p w14:paraId="7AAACF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1158" w:type="dxa"/>
            <w:noWrap w:val="0"/>
            <w:vAlign w:val="center"/>
          </w:tcPr>
          <w:p w14:paraId="3D9A9E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49EF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73" w:type="dxa"/>
            <w:vMerge w:val="continue"/>
            <w:noWrap w:val="0"/>
            <w:vAlign w:val="center"/>
          </w:tcPr>
          <w:p w14:paraId="37451E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10BAFC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76" w:type="dxa"/>
            <w:vMerge w:val="continue"/>
            <w:noWrap w:val="0"/>
            <w:vAlign w:val="center"/>
          </w:tcPr>
          <w:p w14:paraId="78CDC6D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836" w:type="dxa"/>
            <w:noWrap w:val="0"/>
            <w:vAlign w:val="center"/>
          </w:tcPr>
          <w:p w14:paraId="43EA56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定期检测桥梁数</w:t>
            </w:r>
          </w:p>
        </w:tc>
        <w:tc>
          <w:tcPr>
            <w:tcW w:w="1212" w:type="dxa"/>
            <w:noWrap w:val="0"/>
            <w:vAlign w:val="center"/>
          </w:tcPr>
          <w:p w14:paraId="727F8D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2"/>
                <w:szCs w:val="22"/>
                <w:lang w:val="en-US" w:eastAsia="zh-CN"/>
              </w:rPr>
              <w:t>=</w:t>
            </w:r>
            <w:r>
              <w:rPr>
                <w:rFonts w:hint="eastAsia" w:ascii="仿宋" w:hAnsi="仿宋" w:eastAsia="仿宋" w:cs="仿宋"/>
                <w:color w:val="auto"/>
                <w:kern w:val="0"/>
                <w:sz w:val="20"/>
                <w:szCs w:val="20"/>
                <w:lang w:val="en-US" w:eastAsia="zh-CN"/>
              </w:rPr>
              <w:t>17座</w:t>
            </w:r>
          </w:p>
        </w:tc>
        <w:tc>
          <w:tcPr>
            <w:tcW w:w="1139" w:type="dxa"/>
            <w:noWrap w:val="0"/>
            <w:vAlign w:val="center"/>
          </w:tcPr>
          <w:p w14:paraId="505ACE9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17座</w:t>
            </w:r>
          </w:p>
        </w:tc>
        <w:tc>
          <w:tcPr>
            <w:tcW w:w="604" w:type="dxa"/>
            <w:noWrap w:val="0"/>
            <w:vAlign w:val="center"/>
          </w:tcPr>
          <w:p w14:paraId="5B99DA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686" w:type="dxa"/>
            <w:noWrap w:val="0"/>
            <w:vAlign w:val="center"/>
          </w:tcPr>
          <w:p w14:paraId="1A4B95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1158" w:type="dxa"/>
            <w:noWrap w:val="0"/>
            <w:vAlign w:val="center"/>
          </w:tcPr>
          <w:p w14:paraId="1CFC10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p>
        </w:tc>
      </w:tr>
      <w:tr w14:paraId="7C24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73" w:type="dxa"/>
            <w:vMerge w:val="continue"/>
            <w:noWrap w:val="0"/>
            <w:vAlign w:val="center"/>
          </w:tcPr>
          <w:p w14:paraId="571F41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274AB7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6" w:type="dxa"/>
            <w:vMerge w:val="restart"/>
            <w:noWrap w:val="0"/>
            <w:vAlign w:val="center"/>
          </w:tcPr>
          <w:p w14:paraId="615E05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836" w:type="dxa"/>
            <w:noWrap w:val="0"/>
            <w:vAlign w:val="center"/>
          </w:tcPr>
          <w:p w14:paraId="5AB95E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检测报告完整率</w:t>
            </w:r>
          </w:p>
        </w:tc>
        <w:tc>
          <w:tcPr>
            <w:tcW w:w="1212" w:type="dxa"/>
            <w:noWrap w:val="0"/>
            <w:vAlign w:val="center"/>
          </w:tcPr>
          <w:p w14:paraId="2255D2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2"/>
                <w:szCs w:val="22"/>
                <w:lang w:val="en-US" w:eastAsia="zh-CN"/>
              </w:rPr>
              <w:t>=100</w:t>
            </w:r>
            <w:r>
              <w:rPr>
                <w:rFonts w:hint="eastAsia" w:ascii="仿宋" w:hAnsi="仿宋" w:eastAsia="仿宋" w:cs="仿宋"/>
                <w:color w:val="auto"/>
                <w:kern w:val="0"/>
                <w:sz w:val="20"/>
                <w:szCs w:val="20"/>
                <w:lang w:val="en-US" w:eastAsia="zh-CN"/>
              </w:rPr>
              <w:t>%</w:t>
            </w:r>
          </w:p>
        </w:tc>
        <w:tc>
          <w:tcPr>
            <w:tcW w:w="1139" w:type="dxa"/>
            <w:noWrap w:val="0"/>
            <w:vAlign w:val="center"/>
          </w:tcPr>
          <w:p w14:paraId="0DCB37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100%</w:t>
            </w:r>
          </w:p>
        </w:tc>
        <w:tc>
          <w:tcPr>
            <w:tcW w:w="604" w:type="dxa"/>
            <w:noWrap w:val="0"/>
            <w:vAlign w:val="center"/>
          </w:tcPr>
          <w:p w14:paraId="570E91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686" w:type="dxa"/>
            <w:noWrap w:val="0"/>
            <w:vAlign w:val="center"/>
          </w:tcPr>
          <w:p w14:paraId="2CA17A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1158" w:type="dxa"/>
            <w:noWrap w:val="0"/>
            <w:vAlign w:val="center"/>
          </w:tcPr>
          <w:p w14:paraId="5D7DDAB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FF0000"/>
                <w:kern w:val="0"/>
                <w:sz w:val="20"/>
                <w:szCs w:val="20"/>
                <w:lang w:val="en-US" w:eastAsia="zh-CN"/>
              </w:rPr>
            </w:pPr>
          </w:p>
        </w:tc>
      </w:tr>
      <w:tr w14:paraId="6A01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73" w:type="dxa"/>
            <w:vMerge w:val="continue"/>
            <w:noWrap w:val="0"/>
            <w:vAlign w:val="center"/>
          </w:tcPr>
          <w:p w14:paraId="60A4F70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31BC26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6" w:type="dxa"/>
            <w:vMerge w:val="continue"/>
            <w:noWrap w:val="0"/>
            <w:vAlign w:val="center"/>
          </w:tcPr>
          <w:p w14:paraId="71F70E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836" w:type="dxa"/>
            <w:noWrap w:val="0"/>
            <w:vAlign w:val="center"/>
          </w:tcPr>
          <w:p w14:paraId="13C90F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资金使用合规率</w:t>
            </w:r>
          </w:p>
        </w:tc>
        <w:tc>
          <w:tcPr>
            <w:tcW w:w="1212" w:type="dxa"/>
            <w:noWrap w:val="0"/>
            <w:vAlign w:val="center"/>
          </w:tcPr>
          <w:p w14:paraId="6F1445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2"/>
                <w:szCs w:val="22"/>
                <w:lang w:val="en-US" w:eastAsia="zh-CN"/>
              </w:rPr>
              <w:t>=100</w:t>
            </w:r>
            <w:r>
              <w:rPr>
                <w:rFonts w:hint="eastAsia" w:ascii="仿宋" w:hAnsi="仿宋" w:eastAsia="仿宋" w:cs="仿宋"/>
                <w:color w:val="auto"/>
                <w:kern w:val="0"/>
                <w:sz w:val="20"/>
                <w:szCs w:val="20"/>
                <w:lang w:val="en-US" w:eastAsia="zh-CN"/>
              </w:rPr>
              <w:t>%</w:t>
            </w:r>
          </w:p>
        </w:tc>
        <w:tc>
          <w:tcPr>
            <w:tcW w:w="1139" w:type="dxa"/>
            <w:noWrap w:val="0"/>
            <w:vAlign w:val="center"/>
          </w:tcPr>
          <w:p w14:paraId="4A39DD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100%</w:t>
            </w:r>
          </w:p>
        </w:tc>
        <w:tc>
          <w:tcPr>
            <w:tcW w:w="604" w:type="dxa"/>
            <w:noWrap w:val="0"/>
            <w:vAlign w:val="center"/>
          </w:tcPr>
          <w:p w14:paraId="15A2D2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686" w:type="dxa"/>
            <w:noWrap w:val="0"/>
            <w:vAlign w:val="center"/>
          </w:tcPr>
          <w:p w14:paraId="43196EB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1158" w:type="dxa"/>
            <w:noWrap w:val="0"/>
            <w:vAlign w:val="center"/>
          </w:tcPr>
          <w:p w14:paraId="62ED3A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FF0000"/>
                <w:kern w:val="0"/>
                <w:sz w:val="20"/>
                <w:szCs w:val="20"/>
                <w:lang w:val="en-US" w:eastAsia="zh-CN"/>
              </w:rPr>
            </w:pPr>
          </w:p>
        </w:tc>
      </w:tr>
      <w:tr w14:paraId="2CB9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073" w:type="dxa"/>
            <w:vMerge w:val="continue"/>
            <w:noWrap w:val="0"/>
            <w:vAlign w:val="center"/>
          </w:tcPr>
          <w:p w14:paraId="49BB95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191727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6" w:type="dxa"/>
            <w:noWrap w:val="0"/>
            <w:vAlign w:val="center"/>
          </w:tcPr>
          <w:p w14:paraId="5D3853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836" w:type="dxa"/>
            <w:noWrap w:val="0"/>
            <w:vAlign w:val="center"/>
          </w:tcPr>
          <w:p w14:paraId="38CA95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项目完成时间</w:t>
            </w:r>
          </w:p>
        </w:tc>
        <w:tc>
          <w:tcPr>
            <w:tcW w:w="1212" w:type="dxa"/>
            <w:noWrap w:val="0"/>
            <w:vAlign w:val="center"/>
          </w:tcPr>
          <w:p w14:paraId="68D04F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2025年12月底之前</w:t>
            </w:r>
          </w:p>
        </w:tc>
        <w:tc>
          <w:tcPr>
            <w:tcW w:w="1139" w:type="dxa"/>
            <w:noWrap w:val="0"/>
            <w:vAlign w:val="center"/>
          </w:tcPr>
          <w:p w14:paraId="3A1B24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2025年12月底之前</w:t>
            </w:r>
          </w:p>
        </w:tc>
        <w:tc>
          <w:tcPr>
            <w:tcW w:w="604" w:type="dxa"/>
            <w:noWrap w:val="0"/>
            <w:vAlign w:val="center"/>
          </w:tcPr>
          <w:p w14:paraId="77AE7A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10</w:t>
            </w:r>
          </w:p>
        </w:tc>
        <w:tc>
          <w:tcPr>
            <w:tcW w:w="686" w:type="dxa"/>
            <w:noWrap w:val="0"/>
            <w:vAlign w:val="center"/>
          </w:tcPr>
          <w:p w14:paraId="21AB70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10</w:t>
            </w:r>
          </w:p>
        </w:tc>
        <w:tc>
          <w:tcPr>
            <w:tcW w:w="1158" w:type="dxa"/>
            <w:noWrap w:val="0"/>
            <w:vAlign w:val="center"/>
          </w:tcPr>
          <w:p w14:paraId="753940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p>
        </w:tc>
      </w:tr>
      <w:tr w14:paraId="41C68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73" w:type="dxa"/>
            <w:vMerge w:val="continue"/>
            <w:noWrap w:val="0"/>
            <w:vAlign w:val="center"/>
          </w:tcPr>
          <w:p w14:paraId="304AEC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restart"/>
            <w:noWrap w:val="0"/>
            <w:vAlign w:val="center"/>
          </w:tcPr>
          <w:p w14:paraId="0D3320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w:t>
            </w:r>
          </w:p>
          <w:p w14:paraId="55A227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476" w:type="dxa"/>
            <w:noWrap w:val="0"/>
            <w:vAlign w:val="center"/>
          </w:tcPr>
          <w:p w14:paraId="7426A8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A617C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836" w:type="dxa"/>
            <w:noWrap w:val="0"/>
            <w:vAlign w:val="center"/>
          </w:tcPr>
          <w:p w14:paraId="11D9D5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保障行人安全，减少人民经济损失</w:t>
            </w:r>
          </w:p>
        </w:tc>
        <w:tc>
          <w:tcPr>
            <w:tcW w:w="1212" w:type="dxa"/>
            <w:noWrap w:val="0"/>
            <w:vAlign w:val="center"/>
          </w:tcPr>
          <w:p w14:paraId="52D403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1139" w:type="dxa"/>
            <w:noWrap w:val="0"/>
            <w:vAlign w:val="center"/>
          </w:tcPr>
          <w:p w14:paraId="13E2E1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604" w:type="dxa"/>
            <w:noWrap w:val="0"/>
            <w:vAlign w:val="center"/>
          </w:tcPr>
          <w:p w14:paraId="51BADF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w:t>
            </w:r>
          </w:p>
        </w:tc>
        <w:tc>
          <w:tcPr>
            <w:tcW w:w="686" w:type="dxa"/>
            <w:noWrap w:val="0"/>
            <w:vAlign w:val="center"/>
          </w:tcPr>
          <w:p w14:paraId="07ED2B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w:t>
            </w:r>
          </w:p>
        </w:tc>
        <w:tc>
          <w:tcPr>
            <w:tcW w:w="1158" w:type="dxa"/>
            <w:noWrap w:val="0"/>
            <w:vAlign w:val="center"/>
          </w:tcPr>
          <w:p w14:paraId="22559E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39E1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073" w:type="dxa"/>
            <w:vMerge w:val="continue"/>
            <w:noWrap w:val="0"/>
            <w:vAlign w:val="center"/>
          </w:tcPr>
          <w:p w14:paraId="416A35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2573101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6" w:type="dxa"/>
            <w:noWrap w:val="0"/>
            <w:vAlign w:val="center"/>
          </w:tcPr>
          <w:p w14:paraId="2D4E63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7B994D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836" w:type="dxa"/>
            <w:noWrap w:val="0"/>
            <w:vAlign w:val="center"/>
          </w:tcPr>
          <w:p w14:paraId="662F5B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保障行人、车辆通行安全，维护社会稳定</w:t>
            </w:r>
          </w:p>
        </w:tc>
        <w:tc>
          <w:tcPr>
            <w:tcW w:w="1212" w:type="dxa"/>
            <w:noWrap w:val="0"/>
            <w:vAlign w:val="center"/>
          </w:tcPr>
          <w:p w14:paraId="7FBC23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139" w:type="dxa"/>
            <w:noWrap w:val="0"/>
            <w:vAlign w:val="center"/>
          </w:tcPr>
          <w:p w14:paraId="2D78A6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604" w:type="dxa"/>
            <w:noWrap w:val="0"/>
            <w:vAlign w:val="center"/>
          </w:tcPr>
          <w:p w14:paraId="611DE7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6" w:type="dxa"/>
            <w:noWrap w:val="0"/>
            <w:vAlign w:val="center"/>
          </w:tcPr>
          <w:p w14:paraId="229E21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58" w:type="dxa"/>
            <w:noWrap w:val="0"/>
            <w:vAlign w:val="center"/>
          </w:tcPr>
          <w:p w14:paraId="19FADAC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1207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3" w:type="dxa"/>
            <w:vMerge w:val="continue"/>
            <w:noWrap w:val="0"/>
            <w:vAlign w:val="center"/>
          </w:tcPr>
          <w:p w14:paraId="4CCC13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4E1AD6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6" w:type="dxa"/>
            <w:noWrap w:val="0"/>
            <w:vAlign w:val="center"/>
          </w:tcPr>
          <w:p w14:paraId="5E297C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1C633E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836" w:type="dxa"/>
            <w:noWrap w:val="0"/>
            <w:vAlign w:val="center"/>
          </w:tcPr>
          <w:p w14:paraId="21C2D5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生态效益情况</w:t>
            </w:r>
          </w:p>
        </w:tc>
        <w:tc>
          <w:tcPr>
            <w:tcW w:w="1212" w:type="dxa"/>
            <w:noWrap w:val="0"/>
            <w:vAlign w:val="center"/>
          </w:tcPr>
          <w:p w14:paraId="6C91C3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1139" w:type="dxa"/>
            <w:noWrap w:val="0"/>
            <w:vAlign w:val="center"/>
          </w:tcPr>
          <w:p w14:paraId="54F544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604" w:type="dxa"/>
            <w:noWrap w:val="0"/>
            <w:vAlign w:val="center"/>
          </w:tcPr>
          <w:p w14:paraId="1B98D7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5</w:t>
            </w:r>
          </w:p>
        </w:tc>
        <w:tc>
          <w:tcPr>
            <w:tcW w:w="686" w:type="dxa"/>
            <w:noWrap w:val="0"/>
            <w:vAlign w:val="center"/>
          </w:tcPr>
          <w:p w14:paraId="647091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5</w:t>
            </w:r>
          </w:p>
        </w:tc>
        <w:tc>
          <w:tcPr>
            <w:tcW w:w="1158" w:type="dxa"/>
            <w:noWrap w:val="0"/>
            <w:vAlign w:val="center"/>
          </w:tcPr>
          <w:p w14:paraId="12640B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124B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73" w:type="dxa"/>
            <w:vMerge w:val="continue"/>
            <w:noWrap w:val="0"/>
            <w:vAlign w:val="center"/>
          </w:tcPr>
          <w:p w14:paraId="6285C4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696" w:type="dxa"/>
            <w:vMerge w:val="continue"/>
            <w:noWrap w:val="0"/>
            <w:vAlign w:val="center"/>
          </w:tcPr>
          <w:p w14:paraId="56F103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6" w:type="dxa"/>
            <w:noWrap w:val="0"/>
            <w:vAlign w:val="center"/>
          </w:tcPr>
          <w:p w14:paraId="735B091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836" w:type="dxa"/>
            <w:noWrap w:val="0"/>
            <w:vAlign w:val="center"/>
          </w:tcPr>
          <w:p w14:paraId="7DD218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持续保障桥梁安全稳定运行</w:t>
            </w:r>
          </w:p>
        </w:tc>
        <w:tc>
          <w:tcPr>
            <w:tcW w:w="1212" w:type="dxa"/>
            <w:noWrap w:val="0"/>
            <w:vAlign w:val="center"/>
          </w:tcPr>
          <w:p w14:paraId="19A238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139" w:type="dxa"/>
            <w:noWrap w:val="0"/>
            <w:vAlign w:val="center"/>
          </w:tcPr>
          <w:p w14:paraId="1D06BC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604" w:type="dxa"/>
            <w:noWrap w:val="0"/>
            <w:vAlign w:val="center"/>
          </w:tcPr>
          <w:p w14:paraId="3B33A0D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686" w:type="dxa"/>
            <w:noWrap w:val="0"/>
            <w:vAlign w:val="center"/>
          </w:tcPr>
          <w:p w14:paraId="3AE531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158" w:type="dxa"/>
            <w:noWrap w:val="0"/>
            <w:vAlign w:val="center"/>
          </w:tcPr>
          <w:p w14:paraId="26B667F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6A88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073" w:type="dxa"/>
            <w:vMerge w:val="continue"/>
            <w:noWrap w:val="0"/>
            <w:vAlign w:val="center"/>
          </w:tcPr>
          <w:p w14:paraId="0303E8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noWrap w:val="0"/>
            <w:vAlign w:val="center"/>
          </w:tcPr>
          <w:p w14:paraId="5FA27A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满意度指标</w:t>
            </w:r>
          </w:p>
        </w:tc>
        <w:tc>
          <w:tcPr>
            <w:tcW w:w="1476" w:type="dxa"/>
            <w:noWrap w:val="0"/>
            <w:vAlign w:val="center"/>
          </w:tcPr>
          <w:p w14:paraId="39711D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836" w:type="dxa"/>
            <w:noWrap w:val="0"/>
            <w:vAlign w:val="center"/>
          </w:tcPr>
          <w:p w14:paraId="21E70D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人民群众满意度</w:t>
            </w:r>
          </w:p>
        </w:tc>
        <w:tc>
          <w:tcPr>
            <w:tcW w:w="1212" w:type="dxa"/>
            <w:noWrap w:val="0"/>
            <w:vAlign w:val="center"/>
          </w:tcPr>
          <w:p w14:paraId="6CC01D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0"/>
                <w:szCs w:val="20"/>
                <w:lang w:val="en-US" w:eastAsia="zh-CN"/>
              </w:rPr>
              <w:t>90%</w:t>
            </w:r>
          </w:p>
        </w:tc>
        <w:tc>
          <w:tcPr>
            <w:tcW w:w="1139" w:type="dxa"/>
            <w:noWrap w:val="0"/>
            <w:vAlign w:val="center"/>
          </w:tcPr>
          <w:p w14:paraId="2B29AD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95%</w:t>
            </w:r>
          </w:p>
        </w:tc>
        <w:tc>
          <w:tcPr>
            <w:tcW w:w="604" w:type="dxa"/>
            <w:noWrap w:val="0"/>
            <w:vAlign w:val="center"/>
          </w:tcPr>
          <w:p w14:paraId="417CE0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6" w:type="dxa"/>
            <w:noWrap w:val="0"/>
            <w:vAlign w:val="center"/>
          </w:tcPr>
          <w:p w14:paraId="59AD8F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58" w:type="dxa"/>
            <w:noWrap w:val="0"/>
            <w:vAlign w:val="center"/>
          </w:tcPr>
          <w:p w14:paraId="13AAE70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4C9C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2" w:type="dxa"/>
            <w:gridSpan w:val="6"/>
            <w:noWrap w:val="0"/>
            <w:vAlign w:val="center"/>
          </w:tcPr>
          <w:p w14:paraId="5124B9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04" w:type="dxa"/>
            <w:noWrap w:val="0"/>
            <w:vAlign w:val="center"/>
          </w:tcPr>
          <w:p w14:paraId="5C9136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686" w:type="dxa"/>
            <w:noWrap w:val="0"/>
            <w:vAlign w:val="center"/>
          </w:tcPr>
          <w:p w14:paraId="4F03F0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58" w:type="dxa"/>
            <w:noWrap w:val="0"/>
            <w:vAlign w:val="center"/>
          </w:tcPr>
          <w:p w14:paraId="3C3389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bl>
    <w:p w14:paraId="78913D17">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唐涛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13487553315 </w:t>
      </w:r>
    </w:p>
    <w:p w14:paraId="6CDE33A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335FD91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944CF9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t>附件3-2</w:t>
      </w:r>
    </w:p>
    <w:p w14:paraId="0A751E10">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default"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pPr>
      <w:r>
        <w:rPr>
          <w:rFonts w:hint="eastAsia" w:ascii="方正小标宋_GBK" w:hAnsi="方正小标宋_GBK" w:eastAsia="方正小标宋_GBK" w:cs="方正小标宋_GBK"/>
          <w:b/>
          <w:bCs/>
          <w:i w:val="0"/>
          <w:iCs w:val="0"/>
          <w:caps w:val="0"/>
          <w:color w:val="auto"/>
          <w:spacing w:val="0"/>
          <w:kern w:val="0"/>
          <w:sz w:val="28"/>
          <w:szCs w:val="28"/>
          <w:shd w:val="clear" w:color="auto" w:fill="FFFFFF"/>
          <w:lang w:val="en-US" w:eastAsia="zh-CN" w:bidi="ar"/>
        </w:rPr>
        <w:t>项目</w:t>
      </w:r>
      <w:r>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t>支出绩效自评</w:t>
      </w:r>
      <w:r>
        <w:rPr>
          <w:rFonts w:hint="eastAsia" w:ascii="方正小标宋_GBK" w:hAnsi="方正小标宋_GBK" w:eastAsia="方正小标宋_GBK" w:cs="方正小标宋_GBK"/>
          <w:b/>
          <w:bCs/>
          <w:i w:val="0"/>
          <w:iCs w:val="0"/>
          <w:caps w:val="0"/>
          <w:color w:val="000000"/>
          <w:spacing w:val="0"/>
          <w:kern w:val="0"/>
          <w:sz w:val="28"/>
          <w:szCs w:val="28"/>
          <w:shd w:val="clear" w:color="auto" w:fill="FFFFFF"/>
          <w:lang w:val="en-US" w:eastAsia="zh-CN" w:bidi="ar"/>
        </w:rPr>
        <w:t>表</w:t>
      </w:r>
    </w:p>
    <w:tbl>
      <w:tblPr>
        <w:tblStyle w:val="9"/>
        <w:tblW w:w="101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738"/>
        <w:gridCol w:w="1056"/>
        <w:gridCol w:w="2151"/>
        <w:gridCol w:w="1209"/>
        <w:gridCol w:w="1368"/>
        <w:gridCol w:w="612"/>
        <w:gridCol w:w="816"/>
        <w:gridCol w:w="1092"/>
      </w:tblGrid>
      <w:tr w14:paraId="1432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6D2E07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633346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9042" w:type="dxa"/>
            <w:gridSpan w:val="8"/>
            <w:noWrap w:val="0"/>
            <w:vAlign w:val="center"/>
          </w:tcPr>
          <w:p w14:paraId="0ECF75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日常维护费</w:t>
            </w:r>
          </w:p>
        </w:tc>
      </w:tr>
      <w:tr w14:paraId="1B5C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4B9B97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5154" w:type="dxa"/>
            <w:gridSpan w:val="4"/>
            <w:noWrap w:val="0"/>
            <w:vAlign w:val="center"/>
          </w:tcPr>
          <w:p w14:paraId="27E71F3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怀化市城市管理局</w:t>
            </w:r>
          </w:p>
        </w:tc>
        <w:tc>
          <w:tcPr>
            <w:tcW w:w="1368" w:type="dxa"/>
            <w:noWrap w:val="0"/>
            <w:vAlign w:val="center"/>
          </w:tcPr>
          <w:p w14:paraId="445B357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520" w:type="dxa"/>
            <w:gridSpan w:val="3"/>
            <w:noWrap w:val="0"/>
            <w:vAlign w:val="center"/>
          </w:tcPr>
          <w:p w14:paraId="4DEACA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怀化市市政设施维护中心</w:t>
            </w:r>
          </w:p>
        </w:tc>
      </w:tr>
      <w:tr w14:paraId="4DE6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AB358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1794" w:type="dxa"/>
            <w:gridSpan w:val="2"/>
            <w:noWrap w:val="0"/>
            <w:vAlign w:val="center"/>
          </w:tcPr>
          <w:p w14:paraId="7B3C8B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2151" w:type="dxa"/>
            <w:noWrap w:val="0"/>
            <w:vAlign w:val="center"/>
          </w:tcPr>
          <w:p w14:paraId="545248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502FF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7B4EAA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068F2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368" w:type="dxa"/>
            <w:noWrap w:val="0"/>
            <w:vAlign w:val="center"/>
          </w:tcPr>
          <w:p w14:paraId="6224D5B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93442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12" w:type="dxa"/>
            <w:noWrap w:val="0"/>
            <w:vAlign w:val="center"/>
          </w:tcPr>
          <w:p w14:paraId="181802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6" w:type="dxa"/>
            <w:noWrap w:val="0"/>
            <w:vAlign w:val="center"/>
          </w:tcPr>
          <w:p w14:paraId="00962E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092" w:type="dxa"/>
            <w:noWrap w:val="0"/>
            <w:vAlign w:val="center"/>
          </w:tcPr>
          <w:p w14:paraId="18B139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7786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21829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794" w:type="dxa"/>
            <w:gridSpan w:val="2"/>
            <w:noWrap w:val="0"/>
            <w:vAlign w:val="center"/>
          </w:tcPr>
          <w:p w14:paraId="24D13C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年度资金总额</w:t>
            </w:r>
          </w:p>
        </w:tc>
        <w:tc>
          <w:tcPr>
            <w:tcW w:w="2151" w:type="dxa"/>
            <w:noWrap w:val="0"/>
            <w:vAlign w:val="center"/>
          </w:tcPr>
          <w:p w14:paraId="12FCD8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2300</w:t>
            </w:r>
          </w:p>
        </w:tc>
        <w:tc>
          <w:tcPr>
            <w:tcW w:w="1209" w:type="dxa"/>
            <w:noWrap w:val="0"/>
            <w:vAlign w:val="center"/>
          </w:tcPr>
          <w:p w14:paraId="49780E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1865.89</w:t>
            </w:r>
          </w:p>
        </w:tc>
        <w:tc>
          <w:tcPr>
            <w:tcW w:w="1368" w:type="dxa"/>
            <w:noWrap w:val="0"/>
            <w:vAlign w:val="center"/>
          </w:tcPr>
          <w:p w14:paraId="49A1A9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1865.89</w:t>
            </w:r>
          </w:p>
        </w:tc>
        <w:tc>
          <w:tcPr>
            <w:tcW w:w="612" w:type="dxa"/>
            <w:noWrap w:val="0"/>
            <w:vAlign w:val="center"/>
          </w:tcPr>
          <w:p w14:paraId="1714A5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16" w:type="dxa"/>
            <w:noWrap w:val="0"/>
            <w:vAlign w:val="center"/>
          </w:tcPr>
          <w:p w14:paraId="63E2DF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92" w:type="dxa"/>
            <w:noWrap w:val="0"/>
            <w:vAlign w:val="center"/>
          </w:tcPr>
          <w:p w14:paraId="24E97C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r>
      <w:tr w14:paraId="44B9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67E3D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794" w:type="dxa"/>
            <w:gridSpan w:val="2"/>
            <w:noWrap w:val="0"/>
            <w:vAlign w:val="center"/>
          </w:tcPr>
          <w:p w14:paraId="2353C6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其中：当年财政拨款</w:t>
            </w:r>
          </w:p>
        </w:tc>
        <w:tc>
          <w:tcPr>
            <w:tcW w:w="2151" w:type="dxa"/>
            <w:noWrap w:val="0"/>
            <w:vAlign w:val="center"/>
          </w:tcPr>
          <w:p w14:paraId="7B20A0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2300</w:t>
            </w:r>
          </w:p>
        </w:tc>
        <w:tc>
          <w:tcPr>
            <w:tcW w:w="1209" w:type="dxa"/>
            <w:noWrap w:val="0"/>
            <w:vAlign w:val="center"/>
          </w:tcPr>
          <w:p w14:paraId="43A60E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1823</w:t>
            </w:r>
          </w:p>
        </w:tc>
        <w:tc>
          <w:tcPr>
            <w:tcW w:w="1368" w:type="dxa"/>
            <w:noWrap w:val="0"/>
            <w:vAlign w:val="center"/>
          </w:tcPr>
          <w:p w14:paraId="7C40C9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1823</w:t>
            </w:r>
          </w:p>
        </w:tc>
        <w:tc>
          <w:tcPr>
            <w:tcW w:w="612" w:type="dxa"/>
            <w:noWrap w:val="0"/>
            <w:vAlign w:val="center"/>
          </w:tcPr>
          <w:p w14:paraId="09AD32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816" w:type="dxa"/>
            <w:noWrap w:val="0"/>
            <w:vAlign w:val="center"/>
          </w:tcPr>
          <w:p w14:paraId="433974E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92" w:type="dxa"/>
            <w:noWrap w:val="0"/>
            <w:vAlign w:val="center"/>
          </w:tcPr>
          <w:p w14:paraId="22F40B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r>
      <w:tr w14:paraId="42EF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080" w:type="dxa"/>
            <w:vMerge w:val="continue"/>
            <w:noWrap w:val="0"/>
            <w:vAlign w:val="center"/>
          </w:tcPr>
          <w:p w14:paraId="44B507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794" w:type="dxa"/>
            <w:gridSpan w:val="2"/>
            <w:noWrap w:val="0"/>
            <w:vAlign w:val="center"/>
          </w:tcPr>
          <w:p w14:paraId="374483CB">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上年结转资金</w:t>
            </w:r>
          </w:p>
        </w:tc>
        <w:tc>
          <w:tcPr>
            <w:tcW w:w="2151" w:type="dxa"/>
            <w:noWrap w:val="0"/>
            <w:vAlign w:val="center"/>
          </w:tcPr>
          <w:p w14:paraId="3D3B22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209" w:type="dxa"/>
            <w:noWrap w:val="0"/>
            <w:vAlign w:val="center"/>
          </w:tcPr>
          <w:p w14:paraId="0B949E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42.89</w:t>
            </w:r>
          </w:p>
        </w:tc>
        <w:tc>
          <w:tcPr>
            <w:tcW w:w="1368" w:type="dxa"/>
            <w:noWrap w:val="0"/>
            <w:vAlign w:val="center"/>
          </w:tcPr>
          <w:p w14:paraId="689231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42.89</w:t>
            </w:r>
          </w:p>
        </w:tc>
        <w:tc>
          <w:tcPr>
            <w:tcW w:w="612" w:type="dxa"/>
            <w:noWrap w:val="0"/>
            <w:vAlign w:val="center"/>
          </w:tcPr>
          <w:p w14:paraId="6978FE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16" w:type="dxa"/>
            <w:noWrap w:val="0"/>
            <w:vAlign w:val="center"/>
          </w:tcPr>
          <w:p w14:paraId="29C63B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92" w:type="dxa"/>
            <w:noWrap w:val="0"/>
            <w:vAlign w:val="center"/>
          </w:tcPr>
          <w:p w14:paraId="4773FCE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54C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676B050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794" w:type="dxa"/>
            <w:gridSpan w:val="2"/>
            <w:noWrap w:val="0"/>
            <w:vAlign w:val="center"/>
          </w:tcPr>
          <w:p w14:paraId="3378ED2A">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2151" w:type="dxa"/>
            <w:noWrap w:val="0"/>
            <w:vAlign w:val="center"/>
          </w:tcPr>
          <w:p w14:paraId="72795A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209" w:type="dxa"/>
            <w:noWrap w:val="0"/>
            <w:vAlign w:val="center"/>
          </w:tcPr>
          <w:p w14:paraId="3E4F6A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368" w:type="dxa"/>
            <w:noWrap w:val="0"/>
            <w:vAlign w:val="center"/>
          </w:tcPr>
          <w:p w14:paraId="58BF861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612" w:type="dxa"/>
            <w:noWrap w:val="0"/>
            <w:vAlign w:val="center"/>
          </w:tcPr>
          <w:p w14:paraId="727A3F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16" w:type="dxa"/>
            <w:noWrap w:val="0"/>
            <w:vAlign w:val="center"/>
          </w:tcPr>
          <w:p w14:paraId="0862C2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92" w:type="dxa"/>
            <w:noWrap w:val="0"/>
            <w:vAlign w:val="center"/>
          </w:tcPr>
          <w:p w14:paraId="48C15D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4F00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23068C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154" w:type="dxa"/>
            <w:gridSpan w:val="4"/>
            <w:noWrap w:val="0"/>
            <w:vAlign w:val="center"/>
          </w:tcPr>
          <w:p w14:paraId="44327A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888" w:type="dxa"/>
            <w:gridSpan w:val="4"/>
            <w:noWrap w:val="0"/>
            <w:vAlign w:val="center"/>
          </w:tcPr>
          <w:p w14:paraId="4A7111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实际完成情况</w:t>
            </w:r>
          </w:p>
        </w:tc>
      </w:tr>
      <w:tr w14:paraId="036E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715B07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5154" w:type="dxa"/>
            <w:gridSpan w:val="4"/>
            <w:noWrap w:val="0"/>
            <w:vAlign w:val="center"/>
          </w:tcPr>
          <w:p w14:paraId="789CF138">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完成做好全市市政基础设施日常维护；保障市区主次干道、人行道、下水道、路灯、桥梁、广场等基础设施完好；提升城市品位，方便人民群众出行。</w:t>
            </w:r>
          </w:p>
        </w:tc>
        <w:tc>
          <w:tcPr>
            <w:tcW w:w="3888" w:type="dxa"/>
            <w:gridSpan w:val="4"/>
            <w:noWrap w:val="0"/>
            <w:vAlign w:val="center"/>
          </w:tcPr>
          <w:p w14:paraId="684D9B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完成做好全市市政基础设施日常维护；保障市区主次干道、人行道、下水道、路灯、桥梁、广场等基础设施完好；提升城市品位，方便人民群众出行。</w:t>
            </w:r>
          </w:p>
        </w:tc>
      </w:tr>
      <w:tr w14:paraId="6555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0A6FF2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A2A32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B3EA3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093176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738" w:type="dxa"/>
            <w:noWrap w:val="0"/>
            <w:vAlign w:val="center"/>
          </w:tcPr>
          <w:p w14:paraId="372743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56" w:type="dxa"/>
            <w:noWrap w:val="0"/>
            <w:vAlign w:val="center"/>
          </w:tcPr>
          <w:p w14:paraId="4BC92A2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2151" w:type="dxa"/>
            <w:noWrap w:val="0"/>
            <w:vAlign w:val="center"/>
          </w:tcPr>
          <w:p w14:paraId="19E92A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69F16E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0E5C1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368" w:type="dxa"/>
            <w:noWrap w:val="0"/>
            <w:vAlign w:val="center"/>
          </w:tcPr>
          <w:p w14:paraId="33C333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85482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12" w:type="dxa"/>
            <w:noWrap w:val="0"/>
            <w:vAlign w:val="center"/>
          </w:tcPr>
          <w:p w14:paraId="0ECDF4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noWrap w:val="0"/>
            <w:vAlign w:val="center"/>
          </w:tcPr>
          <w:p w14:paraId="34A082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092" w:type="dxa"/>
            <w:noWrap w:val="0"/>
            <w:vAlign w:val="center"/>
          </w:tcPr>
          <w:p w14:paraId="65ADDD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偏差原因分析及改进措施</w:t>
            </w:r>
          </w:p>
        </w:tc>
      </w:tr>
      <w:tr w14:paraId="36616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80" w:type="dxa"/>
            <w:vMerge w:val="continue"/>
            <w:noWrap w:val="0"/>
            <w:vAlign w:val="center"/>
          </w:tcPr>
          <w:p w14:paraId="104A26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restart"/>
            <w:noWrap w:val="0"/>
            <w:vAlign w:val="center"/>
          </w:tcPr>
          <w:p w14:paraId="6FE160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56" w:type="dxa"/>
            <w:noWrap w:val="0"/>
            <w:vAlign w:val="center"/>
          </w:tcPr>
          <w:p w14:paraId="60CEEE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2151" w:type="dxa"/>
            <w:noWrap w:val="0"/>
            <w:vAlign w:val="center"/>
          </w:tcPr>
          <w:p w14:paraId="285277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市政日常维护经费</w:t>
            </w:r>
          </w:p>
        </w:tc>
        <w:tc>
          <w:tcPr>
            <w:tcW w:w="1209" w:type="dxa"/>
            <w:noWrap w:val="0"/>
            <w:vAlign w:val="center"/>
          </w:tcPr>
          <w:p w14:paraId="4ADD6D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≤2300万元</w:t>
            </w:r>
          </w:p>
        </w:tc>
        <w:tc>
          <w:tcPr>
            <w:tcW w:w="1368" w:type="dxa"/>
            <w:noWrap w:val="0"/>
            <w:vAlign w:val="center"/>
          </w:tcPr>
          <w:p w14:paraId="04D32A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1865.89万元</w:t>
            </w:r>
          </w:p>
        </w:tc>
        <w:tc>
          <w:tcPr>
            <w:tcW w:w="612" w:type="dxa"/>
            <w:noWrap w:val="0"/>
            <w:vAlign w:val="center"/>
          </w:tcPr>
          <w:p w14:paraId="73DFD3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6" w:type="dxa"/>
            <w:noWrap w:val="0"/>
            <w:vAlign w:val="center"/>
          </w:tcPr>
          <w:p w14:paraId="19ABFD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092" w:type="dxa"/>
            <w:noWrap w:val="0"/>
            <w:vAlign w:val="center"/>
          </w:tcPr>
          <w:p w14:paraId="0F2BD4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CB28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continue"/>
            <w:noWrap w:val="0"/>
            <w:vAlign w:val="center"/>
          </w:tcPr>
          <w:p w14:paraId="33AD88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1602B3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noWrap w:val="0"/>
            <w:vAlign w:val="center"/>
          </w:tcPr>
          <w:p w14:paraId="53718D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2151" w:type="dxa"/>
            <w:noWrap w:val="0"/>
            <w:vAlign w:val="center"/>
          </w:tcPr>
          <w:p w14:paraId="5EABCA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73E914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2"/>
                <w:szCs w:val="22"/>
                <w:lang w:val="en-US" w:eastAsia="zh-CN"/>
              </w:rPr>
              <w:t>0%</w:t>
            </w:r>
          </w:p>
        </w:tc>
        <w:tc>
          <w:tcPr>
            <w:tcW w:w="1368" w:type="dxa"/>
            <w:noWrap w:val="0"/>
            <w:vAlign w:val="center"/>
          </w:tcPr>
          <w:p w14:paraId="350988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12" w:type="dxa"/>
            <w:noWrap w:val="0"/>
            <w:vAlign w:val="center"/>
          </w:tcPr>
          <w:p w14:paraId="115DAA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w:t>
            </w:r>
          </w:p>
        </w:tc>
        <w:tc>
          <w:tcPr>
            <w:tcW w:w="816" w:type="dxa"/>
            <w:noWrap w:val="0"/>
            <w:vAlign w:val="center"/>
          </w:tcPr>
          <w:p w14:paraId="042CB1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w:t>
            </w:r>
          </w:p>
        </w:tc>
        <w:tc>
          <w:tcPr>
            <w:tcW w:w="1092" w:type="dxa"/>
            <w:noWrap w:val="0"/>
            <w:vAlign w:val="center"/>
          </w:tcPr>
          <w:p w14:paraId="2DE516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82B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080" w:type="dxa"/>
            <w:vMerge w:val="continue"/>
            <w:noWrap w:val="0"/>
            <w:vAlign w:val="center"/>
          </w:tcPr>
          <w:p w14:paraId="511A6F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51EF9E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noWrap w:val="0"/>
            <w:vAlign w:val="center"/>
          </w:tcPr>
          <w:p w14:paraId="0A9E26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2151" w:type="dxa"/>
            <w:noWrap w:val="0"/>
            <w:vAlign w:val="center"/>
          </w:tcPr>
          <w:p w14:paraId="778C5E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2FF4F3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368" w:type="dxa"/>
            <w:noWrap w:val="0"/>
            <w:vAlign w:val="center"/>
          </w:tcPr>
          <w:p w14:paraId="5BFBA4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12" w:type="dxa"/>
            <w:noWrap w:val="0"/>
            <w:vAlign w:val="center"/>
          </w:tcPr>
          <w:p w14:paraId="011038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2E068C9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92" w:type="dxa"/>
            <w:noWrap w:val="0"/>
            <w:vAlign w:val="center"/>
          </w:tcPr>
          <w:p w14:paraId="320546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963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5780BE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restart"/>
            <w:noWrap w:val="0"/>
            <w:vAlign w:val="center"/>
          </w:tcPr>
          <w:p w14:paraId="1ED6DC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产出指标</w:t>
            </w:r>
          </w:p>
        </w:tc>
        <w:tc>
          <w:tcPr>
            <w:tcW w:w="1056" w:type="dxa"/>
            <w:vMerge w:val="restart"/>
            <w:noWrap w:val="0"/>
            <w:vAlign w:val="center"/>
          </w:tcPr>
          <w:p w14:paraId="181A3E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2151" w:type="dxa"/>
            <w:noWrap w:val="0"/>
            <w:vAlign w:val="center"/>
          </w:tcPr>
          <w:p w14:paraId="797A23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市政道路维护</w:t>
            </w:r>
          </w:p>
        </w:tc>
        <w:tc>
          <w:tcPr>
            <w:tcW w:w="1209" w:type="dxa"/>
            <w:noWrap w:val="0"/>
            <w:vAlign w:val="center"/>
          </w:tcPr>
          <w:p w14:paraId="1A6CAD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rPr>
              <w:t>≥</w:t>
            </w:r>
            <w:r>
              <w:rPr>
                <w:rFonts w:hint="eastAsia" w:ascii="仿宋" w:hAnsi="仿宋" w:eastAsia="仿宋" w:cs="仿宋"/>
                <w:color w:val="auto"/>
                <w:kern w:val="0"/>
                <w:sz w:val="20"/>
                <w:szCs w:val="20"/>
                <w:lang w:val="en-US" w:eastAsia="zh-CN"/>
              </w:rPr>
              <w:t>87条</w:t>
            </w:r>
          </w:p>
        </w:tc>
        <w:tc>
          <w:tcPr>
            <w:tcW w:w="1368" w:type="dxa"/>
            <w:noWrap w:val="0"/>
            <w:vAlign w:val="center"/>
          </w:tcPr>
          <w:p w14:paraId="3B11DA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87条</w:t>
            </w:r>
          </w:p>
        </w:tc>
        <w:tc>
          <w:tcPr>
            <w:tcW w:w="612" w:type="dxa"/>
            <w:noWrap w:val="0"/>
            <w:vAlign w:val="center"/>
          </w:tcPr>
          <w:p w14:paraId="420A95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w:t>
            </w:r>
          </w:p>
        </w:tc>
        <w:tc>
          <w:tcPr>
            <w:tcW w:w="816" w:type="dxa"/>
            <w:noWrap w:val="0"/>
            <w:vAlign w:val="center"/>
          </w:tcPr>
          <w:p w14:paraId="76AC27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w:t>
            </w:r>
          </w:p>
        </w:tc>
        <w:tc>
          <w:tcPr>
            <w:tcW w:w="1092" w:type="dxa"/>
            <w:noWrap w:val="0"/>
            <w:vAlign w:val="center"/>
          </w:tcPr>
          <w:p w14:paraId="329E752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23BE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6A541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7C9AD5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70C7F1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4E5282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市政排水维护</w:t>
            </w:r>
          </w:p>
        </w:tc>
        <w:tc>
          <w:tcPr>
            <w:tcW w:w="1209" w:type="dxa"/>
            <w:noWrap w:val="0"/>
            <w:vAlign w:val="center"/>
          </w:tcPr>
          <w:p w14:paraId="03DF91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rPr>
              <w:t>≥</w:t>
            </w:r>
            <w:r>
              <w:rPr>
                <w:rFonts w:hint="eastAsia" w:ascii="仿宋" w:hAnsi="仿宋" w:eastAsia="仿宋" w:cs="仿宋"/>
                <w:color w:val="auto"/>
                <w:kern w:val="0"/>
                <w:sz w:val="20"/>
                <w:szCs w:val="20"/>
                <w:lang w:val="en-US" w:eastAsia="zh-CN"/>
              </w:rPr>
              <w:t>429公里</w:t>
            </w:r>
          </w:p>
        </w:tc>
        <w:tc>
          <w:tcPr>
            <w:tcW w:w="1368" w:type="dxa"/>
            <w:noWrap w:val="0"/>
            <w:vAlign w:val="center"/>
          </w:tcPr>
          <w:p w14:paraId="1F8A79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429公里</w:t>
            </w:r>
          </w:p>
        </w:tc>
        <w:tc>
          <w:tcPr>
            <w:tcW w:w="612" w:type="dxa"/>
            <w:noWrap w:val="0"/>
            <w:vAlign w:val="center"/>
          </w:tcPr>
          <w:p w14:paraId="775E89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816" w:type="dxa"/>
            <w:noWrap w:val="0"/>
            <w:vAlign w:val="center"/>
          </w:tcPr>
          <w:p w14:paraId="407D11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1092" w:type="dxa"/>
            <w:noWrap w:val="0"/>
            <w:vAlign w:val="center"/>
          </w:tcPr>
          <w:p w14:paraId="5D9ADC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78162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6F2EE6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5A7F352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6A50D0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40C0C0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市政桥梁维护</w:t>
            </w:r>
          </w:p>
        </w:tc>
        <w:tc>
          <w:tcPr>
            <w:tcW w:w="1209" w:type="dxa"/>
            <w:noWrap w:val="0"/>
            <w:vAlign w:val="center"/>
          </w:tcPr>
          <w:p w14:paraId="5184D4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rPr>
              <w:t>≥</w:t>
            </w:r>
            <w:r>
              <w:rPr>
                <w:rFonts w:hint="eastAsia" w:ascii="仿宋" w:hAnsi="仿宋" w:eastAsia="仿宋" w:cs="仿宋"/>
                <w:color w:val="auto"/>
                <w:kern w:val="0"/>
                <w:sz w:val="20"/>
                <w:szCs w:val="20"/>
                <w:lang w:val="en-US" w:eastAsia="zh-CN"/>
              </w:rPr>
              <w:t>47座</w:t>
            </w:r>
          </w:p>
        </w:tc>
        <w:tc>
          <w:tcPr>
            <w:tcW w:w="1368" w:type="dxa"/>
            <w:noWrap w:val="0"/>
            <w:vAlign w:val="center"/>
          </w:tcPr>
          <w:p w14:paraId="33AF1F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47座</w:t>
            </w:r>
          </w:p>
        </w:tc>
        <w:tc>
          <w:tcPr>
            <w:tcW w:w="612" w:type="dxa"/>
            <w:noWrap w:val="0"/>
            <w:vAlign w:val="center"/>
          </w:tcPr>
          <w:p w14:paraId="43DC03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w:t>
            </w:r>
          </w:p>
        </w:tc>
        <w:tc>
          <w:tcPr>
            <w:tcW w:w="816" w:type="dxa"/>
            <w:noWrap w:val="0"/>
            <w:vAlign w:val="center"/>
          </w:tcPr>
          <w:p w14:paraId="370451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w:t>
            </w:r>
          </w:p>
        </w:tc>
        <w:tc>
          <w:tcPr>
            <w:tcW w:w="1092" w:type="dxa"/>
            <w:noWrap w:val="0"/>
            <w:vAlign w:val="center"/>
          </w:tcPr>
          <w:p w14:paraId="2BDC94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69FE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FAB67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16945C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3FC1CC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6A8E9E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市政照明维护</w:t>
            </w:r>
          </w:p>
        </w:tc>
        <w:tc>
          <w:tcPr>
            <w:tcW w:w="1209" w:type="dxa"/>
            <w:noWrap w:val="0"/>
            <w:vAlign w:val="center"/>
          </w:tcPr>
          <w:p w14:paraId="6BB807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000000"/>
                <w:kern w:val="0"/>
                <w:sz w:val="20"/>
                <w:szCs w:val="20"/>
              </w:rPr>
              <w:t>≥</w:t>
            </w:r>
            <w:r>
              <w:rPr>
                <w:rFonts w:hint="eastAsia" w:ascii="仿宋" w:hAnsi="仿宋" w:eastAsia="仿宋" w:cs="仿宋"/>
                <w:color w:val="auto"/>
                <w:kern w:val="0"/>
                <w:sz w:val="20"/>
                <w:szCs w:val="20"/>
              </w:rPr>
              <w:t>2</w:t>
            </w:r>
            <w:r>
              <w:rPr>
                <w:rFonts w:hint="eastAsia" w:ascii="仿宋" w:hAnsi="仿宋" w:eastAsia="仿宋" w:cs="仿宋"/>
                <w:color w:val="auto"/>
                <w:kern w:val="0"/>
                <w:sz w:val="20"/>
                <w:szCs w:val="20"/>
                <w:lang w:val="en-US" w:eastAsia="zh-CN"/>
              </w:rPr>
              <w:t>6361</w:t>
            </w:r>
            <w:r>
              <w:rPr>
                <w:rFonts w:hint="eastAsia" w:ascii="仿宋" w:hAnsi="仿宋" w:eastAsia="仿宋" w:cs="仿宋"/>
                <w:color w:val="auto"/>
                <w:kern w:val="0"/>
                <w:sz w:val="20"/>
                <w:szCs w:val="20"/>
              </w:rPr>
              <w:t>盏</w:t>
            </w:r>
          </w:p>
        </w:tc>
        <w:tc>
          <w:tcPr>
            <w:tcW w:w="1368" w:type="dxa"/>
            <w:noWrap w:val="0"/>
            <w:vAlign w:val="center"/>
          </w:tcPr>
          <w:p w14:paraId="49239A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FF0000"/>
                <w:kern w:val="0"/>
                <w:sz w:val="20"/>
                <w:szCs w:val="20"/>
                <w:lang w:val="en-US" w:eastAsia="zh-CN" w:bidi="ar-SA"/>
              </w:rPr>
            </w:pPr>
            <w:r>
              <w:rPr>
                <w:rFonts w:hint="eastAsia" w:ascii="仿宋" w:hAnsi="仿宋" w:eastAsia="仿宋" w:cs="仿宋"/>
                <w:color w:val="auto"/>
                <w:kern w:val="0"/>
                <w:sz w:val="20"/>
                <w:szCs w:val="20"/>
                <w:highlight w:val="none"/>
                <w:lang w:val="en-US" w:eastAsia="zh-CN"/>
              </w:rPr>
              <w:t xml:space="preserve">26361盏 </w:t>
            </w:r>
          </w:p>
        </w:tc>
        <w:tc>
          <w:tcPr>
            <w:tcW w:w="612" w:type="dxa"/>
            <w:noWrap w:val="0"/>
            <w:vAlign w:val="center"/>
          </w:tcPr>
          <w:p w14:paraId="0146A29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w:t>
            </w:r>
          </w:p>
        </w:tc>
        <w:tc>
          <w:tcPr>
            <w:tcW w:w="816" w:type="dxa"/>
            <w:noWrap w:val="0"/>
            <w:vAlign w:val="center"/>
          </w:tcPr>
          <w:p w14:paraId="5D42A9D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w:t>
            </w:r>
          </w:p>
        </w:tc>
        <w:tc>
          <w:tcPr>
            <w:tcW w:w="1092" w:type="dxa"/>
            <w:noWrap w:val="0"/>
            <w:vAlign w:val="center"/>
          </w:tcPr>
          <w:p w14:paraId="5872F4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p>
        </w:tc>
      </w:tr>
      <w:tr w14:paraId="39AF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CA279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40EB99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200E2D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558964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安装投光灯</w:t>
            </w:r>
          </w:p>
        </w:tc>
        <w:tc>
          <w:tcPr>
            <w:tcW w:w="1209" w:type="dxa"/>
            <w:noWrap w:val="0"/>
            <w:vAlign w:val="center"/>
          </w:tcPr>
          <w:p w14:paraId="40BEDF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=450套</w:t>
            </w:r>
          </w:p>
        </w:tc>
        <w:tc>
          <w:tcPr>
            <w:tcW w:w="1368" w:type="dxa"/>
            <w:noWrap w:val="0"/>
            <w:vAlign w:val="center"/>
          </w:tcPr>
          <w:p w14:paraId="6274B7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450套</w:t>
            </w:r>
          </w:p>
        </w:tc>
        <w:tc>
          <w:tcPr>
            <w:tcW w:w="612" w:type="dxa"/>
            <w:noWrap w:val="0"/>
            <w:vAlign w:val="center"/>
          </w:tcPr>
          <w:p w14:paraId="3978F0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816" w:type="dxa"/>
            <w:noWrap w:val="0"/>
            <w:vAlign w:val="center"/>
          </w:tcPr>
          <w:p w14:paraId="0AFB3B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1092" w:type="dxa"/>
            <w:noWrap w:val="0"/>
            <w:vAlign w:val="center"/>
          </w:tcPr>
          <w:p w14:paraId="7CFF3C5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64FF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3A1A06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07DBD2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6F7C24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6044F50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更换及修复路灯电缆</w:t>
            </w:r>
          </w:p>
        </w:tc>
        <w:tc>
          <w:tcPr>
            <w:tcW w:w="1209" w:type="dxa"/>
            <w:noWrap w:val="0"/>
            <w:vAlign w:val="center"/>
          </w:tcPr>
          <w:p w14:paraId="188071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=6602米</w:t>
            </w:r>
          </w:p>
        </w:tc>
        <w:tc>
          <w:tcPr>
            <w:tcW w:w="1368" w:type="dxa"/>
            <w:noWrap w:val="0"/>
            <w:vAlign w:val="center"/>
          </w:tcPr>
          <w:p w14:paraId="13473E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6602米</w:t>
            </w:r>
          </w:p>
        </w:tc>
        <w:tc>
          <w:tcPr>
            <w:tcW w:w="612" w:type="dxa"/>
            <w:noWrap w:val="0"/>
            <w:vAlign w:val="center"/>
          </w:tcPr>
          <w:p w14:paraId="1370AB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816" w:type="dxa"/>
            <w:noWrap w:val="0"/>
            <w:vAlign w:val="center"/>
          </w:tcPr>
          <w:p w14:paraId="612568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1092" w:type="dxa"/>
            <w:noWrap w:val="0"/>
            <w:vAlign w:val="center"/>
          </w:tcPr>
          <w:p w14:paraId="71E44B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26161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40275A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2B86EF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51D06B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71BE98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路灯杆刷漆</w:t>
            </w:r>
          </w:p>
        </w:tc>
        <w:tc>
          <w:tcPr>
            <w:tcW w:w="1209" w:type="dxa"/>
            <w:noWrap w:val="0"/>
            <w:vAlign w:val="center"/>
          </w:tcPr>
          <w:p w14:paraId="0DF585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=1900杆</w:t>
            </w:r>
          </w:p>
        </w:tc>
        <w:tc>
          <w:tcPr>
            <w:tcW w:w="1368" w:type="dxa"/>
            <w:noWrap w:val="0"/>
            <w:vAlign w:val="center"/>
          </w:tcPr>
          <w:p w14:paraId="29BA14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1900杆</w:t>
            </w:r>
          </w:p>
        </w:tc>
        <w:tc>
          <w:tcPr>
            <w:tcW w:w="612" w:type="dxa"/>
            <w:noWrap w:val="0"/>
            <w:vAlign w:val="center"/>
          </w:tcPr>
          <w:p w14:paraId="39F179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816" w:type="dxa"/>
            <w:noWrap w:val="0"/>
            <w:vAlign w:val="center"/>
          </w:tcPr>
          <w:p w14:paraId="0852ED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1092" w:type="dxa"/>
            <w:noWrap w:val="0"/>
            <w:vAlign w:val="center"/>
          </w:tcPr>
          <w:p w14:paraId="46EDAC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43A20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080" w:type="dxa"/>
            <w:vMerge w:val="continue"/>
            <w:noWrap w:val="0"/>
            <w:vAlign w:val="center"/>
          </w:tcPr>
          <w:p w14:paraId="7EF2CE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2AFD22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1240DE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022D4F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检修开关箱</w:t>
            </w:r>
          </w:p>
        </w:tc>
        <w:tc>
          <w:tcPr>
            <w:tcW w:w="1209" w:type="dxa"/>
            <w:noWrap w:val="0"/>
            <w:vAlign w:val="center"/>
          </w:tcPr>
          <w:p w14:paraId="19A704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=150台</w:t>
            </w:r>
          </w:p>
        </w:tc>
        <w:tc>
          <w:tcPr>
            <w:tcW w:w="1368" w:type="dxa"/>
            <w:noWrap w:val="0"/>
            <w:vAlign w:val="center"/>
          </w:tcPr>
          <w:p w14:paraId="25B137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150台</w:t>
            </w:r>
          </w:p>
        </w:tc>
        <w:tc>
          <w:tcPr>
            <w:tcW w:w="612" w:type="dxa"/>
            <w:noWrap w:val="0"/>
            <w:vAlign w:val="center"/>
          </w:tcPr>
          <w:p w14:paraId="432102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816" w:type="dxa"/>
            <w:noWrap w:val="0"/>
            <w:vAlign w:val="center"/>
          </w:tcPr>
          <w:p w14:paraId="3A0403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1092" w:type="dxa"/>
            <w:noWrap w:val="0"/>
            <w:vAlign w:val="center"/>
          </w:tcPr>
          <w:p w14:paraId="5ED0178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1C96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80" w:type="dxa"/>
            <w:vMerge w:val="continue"/>
            <w:noWrap w:val="0"/>
            <w:vAlign w:val="center"/>
          </w:tcPr>
          <w:p w14:paraId="77A2A14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70D470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56" w:type="dxa"/>
            <w:vMerge w:val="restart"/>
            <w:noWrap w:val="0"/>
            <w:vAlign w:val="center"/>
          </w:tcPr>
          <w:p w14:paraId="6E2ED4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2151" w:type="dxa"/>
            <w:noWrap w:val="0"/>
            <w:vAlign w:val="center"/>
          </w:tcPr>
          <w:p w14:paraId="04719B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资金使用合规率</w:t>
            </w:r>
          </w:p>
        </w:tc>
        <w:tc>
          <w:tcPr>
            <w:tcW w:w="1209" w:type="dxa"/>
            <w:noWrap w:val="0"/>
            <w:vAlign w:val="center"/>
          </w:tcPr>
          <w:p w14:paraId="54E9DB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2"/>
                <w:szCs w:val="22"/>
                <w:lang w:val="en-US" w:eastAsia="zh-CN"/>
              </w:rPr>
              <w:t>=100</w:t>
            </w:r>
            <w:r>
              <w:rPr>
                <w:rFonts w:hint="eastAsia" w:ascii="仿宋" w:hAnsi="仿宋" w:eastAsia="仿宋" w:cs="仿宋"/>
                <w:color w:val="auto"/>
                <w:kern w:val="0"/>
                <w:sz w:val="20"/>
                <w:szCs w:val="20"/>
                <w:lang w:val="en-US" w:eastAsia="zh-CN"/>
              </w:rPr>
              <w:t>%</w:t>
            </w:r>
          </w:p>
        </w:tc>
        <w:tc>
          <w:tcPr>
            <w:tcW w:w="1368" w:type="dxa"/>
            <w:noWrap w:val="0"/>
            <w:vAlign w:val="center"/>
          </w:tcPr>
          <w:p w14:paraId="3CA456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100%</w:t>
            </w:r>
          </w:p>
        </w:tc>
        <w:tc>
          <w:tcPr>
            <w:tcW w:w="612" w:type="dxa"/>
            <w:noWrap w:val="0"/>
            <w:vAlign w:val="center"/>
          </w:tcPr>
          <w:p w14:paraId="32C9AE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816" w:type="dxa"/>
            <w:noWrap w:val="0"/>
            <w:vAlign w:val="center"/>
          </w:tcPr>
          <w:p w14:paraId="090F60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1092" w:type="dxa"/>
            <w:noWrap w:val="0"/>
            <w:vAlign w:val="center"/>
          </w:tcPr>
          <w:p w14:paraId="72F1EA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589E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80" w:type="dxa"/>
            <w:vMerge w:val="continue"/>
            <w:noWrap w:val="0"/>
            <w:vAlign w:val="center"/>
          </w:tcPr>
          <w:p w14:paraId="0FDC17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2C8C8A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56" w:type="dxa"/>
            <w:vMerge w:val="continue"/>
            <w:noWrap w:val="0"/>
            <w:vAlign w:val="center"/>
          </w:tcPr>
          <w:p w14:paraId="1325ED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774DD7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基础设施维护完成率</w:t>
            </w:r>
          </w:p>
        </w:tc>
        <w:tc>
          <w:tcPr>
            <w:tcW w:w="1209" w:type="dxa"/>
            <w:noWrap w:val="0"/>
            <w:vAlign w:val="center"/>
          </w:tcPr>
          <w:p w14:paraId="361BC16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2"/>
                <w:szCs w:val="22"/>
                <w:lang w:val="en-US" w:eastAsia="zh-CN"/>
              </w:rPr>
            </w:pPr>
            <w:r>
              <w:rPr>
                <w:rFonts w:hint="eastAsia" w:ascii="仿宋" w:hAnsi="仿宋" w:eastAsia="仿宋" w:cs="仿宋"/>
                <w:color w:val="auto"/>
                <w:kern w:val="0"/>
                <w:sz w:val="22"/>
                <w:szCs w:val="22"/>
                <w:lang w:val="en-US" w:eastAsia="zh-CN"/>
              </w:rPr>
              <w:t>≥90%</w:t>
            </w:r>
          </w:p>
        </w:tc>
        <w:tc>
          <w:tcPr>
            <w:tcW w:w="1368" w:type="dxa"/>
            <w:noWrap w:val="0"/>
            <w:vAlign w:val="center"/>
          </w:tcPr>
          <w:p w14:paraId="563B13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w:t>
            </w:r>
          </w:p>
        </w:tc>
        <w:tc>
          <w:tcPr>
            <w:tcW w:w="612" w:type="dxa"/>
            <w:noWrap w:val="0"/>
            <w:vAlign w:val="center"/>
          </w:tcPr>
          <w:p w14:paraId="2C76FA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816" w:type="dxa"/>
            <w:noWrap w:val="0"/>
            <w:vAlign w:val="center"/>
          </w:tcPr>
          <w:p w14:paraId="6B711E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1092" w:type="dxa"/>
            <w:noWrap w:val="0"/>
            <w:vAlign w:val="center"/>
          </w:tcPr>
          <w:p w14:paraId="700F9D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5767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080" w:type="dxa"/>
            <w:vMerge w:val="continue"/>
            <w:noWrap w:val="0"/>
            <w:vAlign w:val="center"/>
          </w:tcPr>
          <w:p w14:paraId="288A19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1999E7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56" w:type="dxa"/>
            <w:noWrap w:val="0"/>
            <w:vAlign w:val="center"/>
          </w:tcPr>
          <w:p w14:paraId="081E3C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2151" w:type="dxa"/>
            <w:noWrap w:val="0"/>
            <w:vAlign w:val="center"/>
          </w:tcPr>
          <w:p w14:paraId="32DAA8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项目完成时间</w:t>
            </w:r>
          </w:p>
        </w:tc>
        <w:tc>
          <w:tcPr>
            <w:tcW w:w="1209" w:type="dxa"/>
            <w:noWrap w:val="0"/>
            <w:vAlign w:val="center"/>
          </w:tcPr>
          <w:p w14:paraId="4626209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2025年12月31日前</w:t>
            </w:r>
          </w:p>
        </w:tc>
        <w:tc>
          <w:tcPr>
            <w:tcW w:w="1368" w:type="dxa"/>
            <w:noWrap w:val="0"/>
            <w:vAlign w:val="center"/>
          </w:tcPr>
          <w:p w14:paraId="753F09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2025年12月31日前</w:t>
            </w:r>
          </w:p>
        </w:tc>
        <w:tc>
          <w:tcPr>
            <w:tcW w:w="612" w:type="dxa"/>
            <w:noWrap w:val="0"/>
            <w:vAlign w:val="center"/>
          </w:tcPr>
          <w:p w14:paraId="38247A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4</w:t>
            </w:r>
          </w:p>
        </w:tc>
        <w:tc>
          <w:tcPr>
            <w:tcW w:w="816" w:type="dxa"/>
            <w:noWrap w:val="0"/>
            <w:vAlign w:val="center"/>
          </w:tcPr>
          <w:p w14:paraId="0CE7F3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4</w:t>
            </w:r>
          </w:p>
        </w:tc>
        <w:tc>
          <w:tcPr>
            <w:tcW w:w="1092" w:type="dxa"/>
            <w:noWrap w:val="0"/>
            <w:vAlign w:val="center"/>
          </w:tcPr>
          <w:p w14:paraId="661FC6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08F6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080" w:type="dxa"/>
            <w:vMerge w:val="continue"/>
            <w:noWrap w:val="0"/>
            <w:vAlign w:val="center"/>
          </w:tcPr>
          <w:p w14:paraId="571C60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restart"/>
            <w:noWrap w:val="0"/>
            <w:vAlign w:val="center"/>
          </w:tcPr>
          <w:p w14:paraId="0319B6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tc>
        <w:tc>
          <w:tcPr>
            <w:tcW w:w="1056" w:type="dxa"/>
            <w:noWrap w:val="0"/>
            <w:vAlign w:val="center"/>
          </w:tcPr>
          <w:p w14:paraId="38A364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经济效益指标</w:t>
            </w:r>
          </w:p>
        </w:tc>
        <w:tc>
          <w:tcPr>
            <w:tcW w:w="2151" w:type="dxa"/>
            <w:noWrap w:val="0"/>
            <w:vAlign w:val="center"/>
          </w:tcPr>
          <w:p w14:paraId="2D9DC2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发挥专项资金使用效益，推动当</w:t>
            </w:r>
            <w:bookmarkStart w:id="0" w:name="_GoBack"/>
            <w:bookmarkEnd w:id="0"/>
            <w:r>
              <w:rPr>
                <w:rFonts w:hint="eastAsia" w:ascii="仿宋" w:hAnsi="仿宋" w:eastAsia="仿宋" w:cs="仿宋"/>
                <w:color w:val="000000"/>
                <w:kern w:val="0"/>
                <w:sz w:val="20"/>
                <w:szCs w:val="20"/>
                <w:lang w:val="en-US" w:eastAsia="zh-CN" w:bidi="ar-SA"/>
              </w:rPr>
              <w:t>地经济增长</w:t>
            </w:r>
          </w:p>
        </w:tc>
        <w:tc>
          <w:tcPr>
            <w:tcW w:w="1209" w:type="dxa"/>
            <w:noWrap w:val="0"/>
            <w:vAlign w:val="center"/>
          </w:tcPr>
          <w:p w14:paraId="6D9814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1368" w:type="dxa"/>
            <w:noWrap w:val="0"/>
            <w:vAlign w:val="center"/>
          </w:tcPr>
          <w:p w14:paraId="73EF72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612" w:type="dxa"/>
            <w:noWrap w:val="0"/>
            <w:vAlign w:val="center"/>
          </w:tcPr>
          <w:p w14:paraId="1DA30C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w:t>
            </w:r>
          </w:p>
        </w:tc>
        <w:tc>
          <w:tcPr>
            <w:tcW w:w="816" w:type="dxa"/>
            <w:noWrap w:val="0"/>
            <w:vAlign w:val="center"/>
          </w:tcPr>
          <w:p w14:paraId="0A6051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w:t>
            </w:r>
          </w:p>
        </w:tc>
        <w:tc>
          <w:tcPr>
            <w:tcW w:w="1092" w:type="dxa"/>
            <w:noWrap w:val="0"/>
            <w:vAlign w:val="center"/>
          </w:tcPr>
          <w:p w14:paraId="6E1010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1C18C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D04CE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467D99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56" w:type="dxa"/>
            <w:noWrap w:val="0"/>
            <w:vAlign w:val="center"/>
          </w:tcPr>
          <w:p w14:paraId="2A2982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社会效益指标</w:t>
            </w:r>
          </w:p>
        </w:tc>
        <w:tc>
          <w:tcPr>
            <w:tcW w:w="2151" w:type="dxa"/>
            <w:noWrap w:val="0"/>
            <w:vAlign w:val="center"/>
          </w:tcPr>
          <w:p w14:paraId="25998E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改善城市市容形象，提升城市品位，保障城市文明出行</w:t>
            </w:r>
          </w:p>
        </w:tc>
        <w:tc>
          <w:tcPr>
            <w:tcW w:w="1209" w:type="dxa"/>
            <w:noWrap w:val="0"/>
            <w:vAlign w:val="center"/>
          </w:tcPr>
          <w:p w14:paraId="537625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368" w:type="dxa"/>
            <w:noWrap w:val="0"/>
            <w:vAlign w:val="center"/>
          </w:tcPr>
          <w:p w14:paraId="79DC00C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612" w:type="dxa"/>
            <w:noWrap w:val="0"/>
            <w:vAlign w:val="center"/>
          </w:tcPr>
          <w:p w14:paraId="161977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816" w:type="dxa"/>
            <w:noWrap w:val="0"/>
            <w:vAlign w:val="center"/>
          </w:tcPr>
          <w:p w14:paraId="14326CB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92" w:type="dxa"/>
            <w:noWrap w:val="0"/>
            <w:vAlign w:val="center"/>
          </w:tcPr>
          <w:p w14:paraId="2B1F21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0560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080" w:type="dxa"/>
            <w:vMerge w:val="continue"/>
            <w:noWrap w:val="0"/>
            <w:vAlign w:val="center"/>
          </w:tcPr>
          <w:p w14:paraId="0E8C637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5425C9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56" w:type="dxa"/>
            <w:noWrap w:val="0"/>
            <w:vAlign w:val="center"/>
          </w:tcPr>
          <w:p w14:paraId="29C0B0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生态效益指标</w:t>
            </w:r>
          </w:p>
        </w:tc>
        <w:tc>
          <w:tcPr>
            <w:tcW w:w="2151" w:type="dxa"/>
            <w:noWrap w:val="0"/>
            <w:vAlign w:val="center"/>
          </w:tcPr>
          <w:p w14:paraId="08665D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有效改善社会生态环境</w:t>
            </w:r>
          </w:p>
        </w:tc>
        <w:tc>
          <w:tcPr>
            <w:tcW w:w="1209" w:type="dxa"/>
            <w:noWrap w:val="0"/>
            <w:vAlign w:val="center"/>
          </w:tcPr>
          <w:p w14:paraId="146ACB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1368" w:type="dxa"/>
            <w:noWrap w:val="0"/>
            <w:vAlign w:val="center"/>
          </w:tcPr>
          <w:p w14:paraId="1C0A55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612" w:type="dxa"/>
            <w:noWrap w:val="0"/>
            <w:vAlign w:val="center"/>
          </w:tcPr>
          <w:p w14:paraId="65B1AA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5</w:t>
            </w:r>
          </w:p>
        </w:tc>
        <w:tc>
          <w:tcPr>
            <w:tcW w:w="816" w:type="dxa"/>
            <w:noWrap w:val="0"/>
            <w:vAlign w:val="center"/>
          </w:tcPr>
          <w:p w14:paraId="024685F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5</w:t>
            </w:r>
          </w:p>
        </w:tc>
        <w:tc>
          <w:tcPr>
            <w:tcW w:w="1092" w:type="dxa"/>
            <w:noWrap w:val="0"/>
            <w:vAlign w:val="center"/>
          </w:tcPr>
          <w:p w14:paraId="021AE7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F1B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044E1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738" w:type="dxa"/>
            <w:vMerge w:val="continue"/>
            <w:noWrap w:val="0"/>
            <w:vAlign w:val="center"/>
          </w:tcPr>
          <w:p w14:paraId="65F925D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56" w:type="dxa"/>
            <w:noWrap w:val="0"/>
            <w:vAlign w:val="center"/>
          </w:tcPr>
          <w:p w14:paraId="0C5211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2151" w:type="dxa"/>
            <w:noWrap w:val="0"/>
            <w:vAlign w:val="center"/>
          </w:tcPr>
          <w:p w14:paraId="169ED2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持续提升市容形象、城市品位</w:t>
            </w:r>
          </w:p>
        </w:tc>
        <w:tc>
          <w:tcPr>
            <w:tcW w:w="1209" w:type="dxa"/>
            <w:noWrap w:val="0"/>
            <w:vAlign w:val="center"/>
          </w:tcPr>
          <w:p w14:paraId="2FFF74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368" w:type="dxa"/>
            <w:noWrap w:val="0"/>
            <w:vAlign w:val="center"/>
          </w:tcPr>
          <w:p w14:paraId="3BE4E5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612" w:type="dxa"/>
            <w:noWrap w:val="0"/>
            <w:vAlign w:val="center"/>
          </w:tcPr>
          <w:p w14:paraId="217A25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816" w:type="dxa"/>
            <w:noWrap w:val="0"/>
            <w:vAlign w:val="center"/>
          </w:tcPr>
          <w:p w14:paraId="4DFB78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092" w:type="dxa"/>
            <w:noWrap w:val="0"/>
            <w:vAlign w:val="center"/>
          </w:tcPr>
          <w:p w14:paraId="7B6F051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5AB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3F048E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noWrap w:val="0"/>
            <w:vAlign w:val="center"/>
          </w:tcPr>
          <w:p w14:paraId="725F4B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满意度指标</w:t>
            </w:r>
          </w:p>
        </w:tc>
        <w:tc>
          <w:tcPr>
            <w:tcW w:w="1056" w:type="dxa"/>
            <w:noWrap w:val="0"/>
            <w:vAlign w:val="center"/>
          </w:tcPr>
          <w:p w14:paraId="53C4C4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2151" w:type="dxa"/>
            <w:noWrap w:val="0"/>
            <w:vAlign w:val="center"/>
          </w:tcPr>
          <w:p w14:paraId="7266A2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人民群众满意度</w:t>
            </w:r>
          </w:p>
        </w:tc>
        <w:tc>
          <w:tcPr>
            <w:tcW w:w="1209" w:type="dxa"/>
            <w:noWrap w:val="0"/>
            <w:vAlign w:val="center"/>
          </w:tcPr>
          <w:p w14:paraId="1906AA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0"/>
                <w:szCs w:val="20"/>
                <w:lang w:val="en-US" w:eastAsia="zh-CN"/>
              </w:rPr>
              <w:t>90%</w:t>
            </w:r>
          </w:p>
        </w:tc>
        <w:tc>
          <w:tcPr>
            <w:tcW w:w="1368" w:type="dxa"/>
            <w:noWrap w:val="0"/>
            <w:vAlign w:val="center"/>
          </w:tcPr>
          <w:p w14:paraId="305375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95%</w:t>
            </w:r>
          </w:p>
        </w:tc>
        <w:tc>
          <w:tcPr>
            <w:tcW w:w="612" w:type="dxa"/>
            <w:noWrap w:val="0"/>
            <w:vAlign w:val="center"/>
          </w:tcPr>
          <w:p w14:paraId="2FD108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816" w:type="dxa"/>
            <w:noWrap w:val="0"/>
            <w:vAlign w:val="center"/>
          </w:tcPr>
          <w:p w14:paraId="31C9E0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92" w:type="dxa"/>
            <w:noWrap w:val="0"/>
            <w:vAlign w:val="center"/>
          </w:tcPr>
          <w:p w14:paraId="59F873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6C46B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02" w:type="dxa"/>
            <w:gridSpan w:val="6"/>
            <w:noWrap w:val="0"/>
            <w:vAlign w:val="center"/>
          </w:tcPr>
          <w:p w14:paraId="6A74D9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12" w:type="dxa"/>
            <w:noWrap w:val="0"/>
            <w:vAlign w:val="center"/>
          </w:tcPr>
          <w:p w14:paraId="08E39D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noWrap w:val="0"/>
            <w:vAlign w:val="center"/>
          </w:tcPr>
          <w:p w14:paraId="2B43BB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92" w:type="dxa"/>
            <w:noWrap w:val="0"/>
            <w:vAlign w:val="center"/>
          </w:tcPr>
          <w:p w14:paraId="7CDABD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bl>
    <w:p w14:paraId="6D6573B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唐涛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13487553315 </w:t>
      </w:r>
    </w:p>
    <w:p w14:paraId="70BE565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2C30F8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5A29B8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5FB7C67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179B7AC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5990852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0EB3D49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6C5F20D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6B58840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118CC6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CBB02F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5028177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3A014EE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394FD8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622B948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7F76166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77AEEA7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788D70D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13D57C8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ED5756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10D69D7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0D3BAE9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1D06E8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1E84380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0F8190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t>附件3-3</w:t>
      </w:r>
    </w:p>
    <w:p w14:paraId="28BF11C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pPr>
      <w:r>
        <w:rPr>
          <w:rFonts w:hint="eastAsia" w:ascii="方正小标宋_GBK" w:hAnsi="方正小标宋_GBK" w:eastAsia="方正小标宋_GBK" w:cs="方正小标宋_GBK"/>
          <w:b/>
          <w:bCs/>
          <w:i w:val="0"/>
          <w:iCs w:val="0"/>
          <w:caps w:val="0"/>
          <w:color w:val="auto"/>
          <w:spacing w:val="0"/>
          <w:kern w:val="0"/>
          <w:sz w:val="28"/>
          <w:szCs w:val="28"/>
          <w:shd w:val="clear" w:color="auto" w:fill="FFFFFF"/>
          <w:lang w:val="en-US" w:eastAsia="zh-CN" w:bidi="ar"/>
        </w:rPr>
        <w:t>项目</w:t>
      </w:r>
      <w:r>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t>支出绩效自评</w:t>
      </w:r>
      <w:r>
        <w:rPr>
          <w:rFonts w:hint="eastAsia" w:ascii="方正小标宋_GBK" w:hAnsi="方正小标宋_GBK" w:eastAsia="方正小标宋_GBK" w:cs="方正小标宋_GBK"/>
          <w:b/>
          <w:bCs/>
          <w:i w:val="0"/>
          <w:iCs w:val="0"/>
          <w:caps w:val="0"/>
          <w:color w:val="000000"/>
          <w:spacing w:val="0"/>
          <w:kern w:val="0"/>
          <w:sz w:val="28"/>
          <w:szCs w:val="28"/>
          <w:shd w:val="clear" w:color="auto" w:fill="FFFFFF"/>
          <w:lang w:val="en-US" w:eastAsia="zh-CN" w:bidi="ar"/>
        </w:rPr>
        <w:t>表</w:t>
      </w:r>
    </w:p>
    <w:tbl>
      <w:tblPr>
        <w:tblStyle w:val="9"/>
        <w:tblW w:w="102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881"/>
        <w:gridCol w:w="1477"/>
        <w:gridCol w:w="1944"/>
        <w:gridCol w:w="1536"/>
        <w:gridCol w:w="1251"/>
        <w:gridCol w:w="644"/>
        <w:gridCol w:w="684"/>
        <w:gridCol w:w="1051"/>
      </w:tblGrid>
      <w:tr w14:paraId="031AB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759" w:type="dxa"/>
            <w:noWrap w:val="0"/>
            <w:vAlign w:val="center"/>
          </w:tcPr>
          <w:p w14:paraId="01E203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450BB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9468" w:type="dxa"/>
            <w:gridSpan w:val="8"/>
            <w:noWrap w:val="0"/>
            <w:vAlign w:val="center"/>
          </w:tcPr>
          <w:p w14:paraId="32F946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b w:val="0"/>
                <w:bCs w:val="0"/>
                <w:kern w:val="0"/>
                <w:sz w:val="20"/>
                <w:szCs w:val="20"/>
              </w:rPr>
              <w:t>拆除重建团结二桥和改造犀牛塘建设</w:t>
            </w:r>
            <w:r>
              <w:rPr>
                <w:rFonts w:hint="eastAsia" w:ascii="仿宋" w:hAnsi="仿宋" w:eastAsia="仿宋" w:cs="仿宋"/>
                <w:b w:val="0"/>
                <w:bCs w:val="0"/>
                <w:kern w:val="0"/>
                <w:sz w:val="20"/>
                <w:szCs w:val="20"/>
                <w:lang w:val="en-US" w:eastAsia="zh-CN"/>
              </w:rPr>
              <w:t>项目</w:t>
            </w:r>
          </w:p>
        </w:tc>
      </w:tr>
      <w:tr w14:paraId="0D179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759" w:type="dxa"/>
            <w:noWrap w:val="0"/>
            <w:vAlign w:val="center"/>
          </w:tcPr>
          <w:p w14:paraId="6266D0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w:t>
            </w:r>
            <w:r>
              <w:rPr>
                <w:rFonts w:hint="eastAsia" w:ascii="仿宋" w:hAnsi="仿宋" w:eastAsia="仿宋" w:cs="仿宋"/>
                <w:color w:val="000000"/>
                <w:kern w:val="0"/>
                <w:sz w:val="20"/>
                <w:szCs w:val="20"/>
                <w:lang w:eastAsia="zh-CN"/>
              </w:rPr>
              <w:t>部</w:t>
            </w:r>
            <w:r>
              <w:rPr>
                <w:rFonts w:hint="eastAsia" w:ascii="仿宋" w:hAnsi="仿宋" w:eastAsia="仿宋" w:cs="仿宋"/>
                <w:color w:val="000000"/>
                <w:kern w:val="0"/>
                <w:sz w:val="20"/>
                <w:szCs w:val="20"/>
              </w:rPr>
              <w:t>门</w:t>
            </w:r>
          </w:p>
        </w:tc>
        <w:tc>
          <w:tcPr>
            <w:tcW w:w="5838" w:type="dxa"/>
            <w:gridSpan w:val="4"/>
            <w:noWrap w:val="0"/>
            <w:vAlign w:val="center"/>
          </w:tcPr>
          <w:p w14:paraId="76BFC74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怀化市城市管理局</w:t>
            </w:r>
          </w:p>
        </w:tc>
        <w:tc>
          <w:tcPr>
            <w:tcW w:w="1251" w:type="dxa"/>
            <w:noWrap w:val="0"/>
            <w:vAlign w:val="center"/>
          </w:tcPr>
          <w:p w14:paraId="54E2061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379" w:type="dxa"/>
            <w:gridSpan w:val="3"/>
            <w:noWrap w:val="0"/>
            <w:vAlign w:val="center"/>
          </w:tcPr>
          <w:p w14:paraId="58A759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怀化市市政设施维护中心</w:t>
            </w:r>
          </w:p>
        </w:tc>
      </w:tr>
      <w:tr w14:paraId="12FA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59" w:type="dxa"/>
            <w:vMerge w:val="restart"/>
            <w:noWrap w:val="0"/>
            <w:vAlign w:val="center"/>
          </w:tcPr>
          <w:p w14:paraId="1EBADA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项目资金（万元）</w:t>
            </w:r>
          </w:p>
        </w:tc>
        <w:tc>
          <w:tcPr>
            <w:tcW w:w="2358" w:type="dxa"/>
            <w:gridSpan w:val="2"/>
            <w:noWrap w:val="0"/>
            <w:vAlign w:val="center"/>
          </w:tcPr>
          <w:p w14:paraId="540445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944" w:type="dxa"/>
            <w:noWrap w:val="0"/>
            <w:vAlign w:val="center"/>
          </w:tcPr>
          <w:p w14:paraId="06E015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68D828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536" w:type="dxa"/>
            <w:noWrap w:val="0"/>
            <w:vAlign w:val="center"/>
          </w:tcPr>
          <w:p w14:paraId="64DC81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28738D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51" w:type="dxa"/>
            <w:noWrap w:val="0"/>
            <w:vAlign w:val="center"/>
          </w:tcPr>
          <w:p w14:paraId="65F293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0637C31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44" w:type="dxa"/>
            <w:noWrap w:val="0"/>
            <w:vAlign w:val="center"/>
          </w:tcPr>
          <w:p w14:paraId="2C729C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684" w:type="dxa"/>
            <w:noWrap w:val="0"/>
            <w:vAlign w:val="center"/>
          </w:tcPr>
          <w:p w14:paraId="58B9FC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051" w:type="dxa"/>
            <w:noWrap w:val="0"/>
            <w:vAlign w:val="center"/>
          </w:tcPr>
          <w:p w14:paraId="46CD88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D93B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59" w:type="dxa"/>
            <w:vMerge w:val="continue"/>
            <w:noWrap w:val="0"/>
            <w:vAlign w:val="center"/>
          </w:tcPr>
          <w:p w14:paraId="22C3CF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358" w:type="dxa"/>
            <w:gridSpan w:val="2"/>
            <w:noWrap w:val="0"/>
            <w:vAlign w:val="center"/>
          </w:tcPr>
          <w:p w14:paraId="224CE8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年度资金总额</w:t>
            </w:r>
          </w:p>
        </w:tc>
        <w:tc>
          <w:tcPr>
            <w:tcW w:w="1944" w:type="dxa"/>
            <w:noWrap w:val="0"/>
            <w:vAlign w:val="center"/>
          </w:tcPr>
          <w:p w14:paraId="139C2F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536" w:type="dxa"/>
            <w:noWrap w:val="0"/>
            <w:vAlign w:val="center"/>
          </w:tcPr>
          <w:p w14:paraId="51B354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100.63</w:t>
            </w:r>
          </w:p>
        </w:tc>
        <w:tc>
          <w:tcPr>
            <w:tcW w:w="1251" w:type="dxa"/>
            <w:noWrap w:val="0"/>
            <w:vAlign w:val="center"/>
          </w:tcPr>
          <w:p w14:paraId="3CCADA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100.63</w:t>
            </w:r>
          </w:p>
        </w:tc>
        <w:tc>
          <w:tcPr>
            <w:tcW w:w="644" w:type="dxa"/>
            <w:noWrap w:val="0"/>
            <w:vAlign w:val="center"/>
          </w:tcPr>
          <w:p w14:paraId="06DB8A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684" w:type="dxa"/>
            <w:noWrap w:val="0"/>
            <w:vAlign w:val="center"/>
          </w:tcPr>
          <w:p w14:paraId="097323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51" w:type="dxa"/>
            <w:noWrap w:val="0"/>
            <w:vAlign w:val="center"/>
          </w:tcPr>
          <w:p w14:paraId="63EE8D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7835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759" w:type="dxa"/>
            <w:vMerge w:val="continue"/>
            <w:noWrap w:val="0"/>
            <w:vAlign w:val="center"/>
          </w:tcPr>
          <w:p w14:paraId="54BD58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358" w:type="dxa"/>
            <w:gridSpan w:val="2"/>
            <w:noWrap w:val="0"/>
            <w:vAlign w:val="center"/>
          </w:tcPr>
          <w:p w14:paraId="1F291A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其中：当年财政拨款</w:t>
            </w:r>
          </w:p>
        </w:tc>
        <w:tc>
          <w:tcPr>
            <w:tcW w:w="1944" w:type="dxa"/>
            <w:noWrap w:val="0"/>
            <w:vAlign w:val="center"/>
          </w:tcPr>
          <w:p w14:paraId="651802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536" w:type="dxa"/>
            <w:noWrap w:val="0"/>
            <w:vAlign w:val="center"/>
          </w:tcPr>
          <w:p w14:paraId="13CFF9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p>
        </w:tc>
        <w:tc>
          <w:tcPr>
            <w:tcW w:w="1251" w:type="dxa"/>
            <w:noWrap w:val="0"/>
            <w:vAlign w:val="center"/>
          </w:tcPr>
          <w:p w14:paraId="1F5DF9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p>
        </w:tc>
        <w:tc>
          <w:tcPr>
            <w:tcW w:w="644" w:type="dxa"/>
            <w:noWrap w:val="0"/>
            <w:vAlign w:val="center"/>
          </w:tcPr>
          <w:p w14:paraId="604EB5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84" w:type="dxa"/>
            <w:noWrap w:val="0"/>
            <w:vAlign w:val="center"/>
          </w:tcPr>
          <w:p w14:paraId="03824C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51" w:type="dxa"/>
            <w:noWrap w:val="0"/>
            <w:vAlign w:val="center"/>
          </w:tcPr>
          <w:p w14:paraId="71F4B5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2200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59" w:type="dxa"/>
            <w:vMerge w:val="continue"/>
            <w:noWrap w:val="0"/>
            <w:vAlign w:val="center"/>
          </w:tcPr>
          <w:p w14:paraId="2E4792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358" w:type="dxa"/>
            <w:gridSpan w:val="2"/>
            <w:noWrap w:val="0"/>
            <w:vAlign w:val="center"/>
          </w:tcPr>
          <w:p w14:paraId="42D2813E">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上年结转资金</w:t>
            </w:r>
          </w:p>
        </w:tc>
        <w:tc>
          <w:tcPr>
            <w:tcW w:w="1944" w:type="dxa"/>
            <w:noWrap w:val="0"/>
            <w:vAlign w:val="center"/>
          </w:tcPr>
          <w:p w14:paraId="42AB1C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536" w:type="dxa"/>
            <w:noWrap w:val="0"/>
            <w:vAlign w:val="center"/>
          </w:tcPr>
          <w:p w14:paraId="2F1366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100.63</w:t>
            </w:r>
          </w:p>
        </w:tc>
        <w:tc>
          <w:tcPr>
            <w:tcW w:w="1251" w:type="dxa"/>
            <w:noWrap w:val="0"/>
            <w:vAlign w:val="center"/>
          </w:tcPr>
          <w:p w14:paraId="478C59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100.63</w:t>
            </w:r>
          </w:p>
        </w:tc>
        <w:tc>
          <w:tcPr>
            <w:tcW w:w="644" w:type="dxa"/>
            <w:noWrap w:val="0"/>
            <w:vAlign w:val="center"/>
          </w:tcPr>
          <w:p w14:paraId="335031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84" w:type="dxa"/>
            <w:noWrap w:val="0"/>
            <w:vAlign w:val="center"/>
          </w:tcPr>
          <w:p w14:paraId="165CCA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51" w:type="dxa"/>
            <w:noWrap w:val="0"/>
            <w:vAlign w:val="center"/>
          </w:tcPr>
          <w:p w14:paraId="40B0E5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1078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759" w:type="dxa"/>
            <w:vMerge w:val="continue"/>
            <w:noWrap w:val="0"/>
            <w:vAlign w:val="center"/>
          </w:tcPr>
          <w:p w14:paraId="0CA302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358" w:type="dxa"/>
            <w:gridSpan w:val="2"/>
            <w:noWrap w:val="0"/>
            <w:vAlign w:val="center"/>
          </w:tcPr>
          <w:p w14:paraId="36691278">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944" w:type="dxa"/>
            <w:noWrap w:val="0"/>
            <w:vAlign w:val="center"/>
          </w:tcPr>
          <w:p w14:paraId="445F2A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536" w:type="dxa"/>
            <w:noWrap w:val="0"/>
            <w:vAlign w:val="center"/>
          </w:tcPr>
          <w:p w14:paraId="054D22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251" w:type="dxa"/>
            <w:noWrap w:val="0"/>
            <w:vAlign w:val="center"/>
          </w:tcPr>
          <w:p w14:paraId="21403E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44" w:type="dxa"/>
            <w:noWrap w:val="0"/>
            <w:vAlign w:val="center"/>
          </w:tcPr>
          <w:p w14:paraId="2A74C3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84" w:type="dxa"/>
            <w:noWrap w:val="0"/>
            <w:vAlign w:val="center"/>
          </w:tcPr>
          <w:p w14:paraId="04E4A0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51" w:type="dxa"/>
            <w:noWrap w:val="0"/>
            <w:vAlign w:val="center"/>
          </w:tcPr>
          <w:p w14:paraId="45A4C0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66669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759" w:type="dxa"/>
            <w:vMerge w:val="restart"/>
            <w:noWrap w:val="0"/>
            <w:vAlign w:val="center"/>
          </w:tcPr>
          <w:p w14:paraId="6236A9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838" w:type="dxa"/>
            <w:gridSpan w:val="4"/>
            <w:noWrap w:val="0"/>
            <w:vAlign w:val="center"/>
          </w:tcPr>
          <w:p w14:paraId="309113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630" w:type="dxa"/>
            <w:gridSpan w:val="4"/>
            <w:noWrap w:val="0"/>
            <w:vAlign w:val="center"/>
          </w:tcPr>
          <w:p w14:paraId="56CFFA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实际完成情况</w:t>
            </w:r>
          </w:p>
        </w:tc>
      </w:tr>
      <w:tr w14:paraId="599B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759" w:type="dxa"/>
            <w:vMerge w:val="continue"/>
            <w:noWrap w:val="0"/>
            <w:vAlign w:val="center"/>
          </w:tcPr>
          <w:p w14:paraId="029455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5838" w:type="dxa"/>
            <w:gridSpan w:val="4"/>
            <w:noWrap w:val="0"/>
            <w:vAlign w:val="center"/>
          </w:tcPr>
          <w:p w14:paraId="0953783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实施</w:t>
            </w:r>
            <w:r>
              <w:rPr>
                <w:rFonts w:hint="eastAsia" w:ascii="仿宋" w:hAnsi="仿宋" w:eastAsia="仿宋" w:cs="仿宋"/>
                <w:color w:val="000000"/>
                <w:kern w:val="0"/>
                <w:sz w:val="20"/>
                <w:szCs w:val="20"/>
                <w:lang w:eastAsia="zh-CN"/>
              </w:rPr>
              <w:t>拆除重建团结二桥和改造犀牛塘建设</w:t>
            </w:r>
            <w:r>
              <w:rPr>
                <w:rFonts w:hint="eastAsia" w:ascii="仿宋" w:hAnsi="仿宋" w:eastAsia="仿宋" w:cs="仿宋"/>
                <w:color w:val="000000"/>
                <w:kern w:val="0"/>
                <w:sz w:val="20"/>
                <w:szCs w:val="20"/>
                <w:lang w:val="en-US" w:eastAsia="zh-CN"/>
              </w:rPr>
              <w:t>工程，</w:t>
            </w:r>
            <w:r>
              <w:rPr>
                <w:rFonts w:hint="eastAsia" w:ascii="仿宋" w:hAnsi="仿宋" w:eastAsia="仿宋" w:cs="仿宋"/>
                <w:color w:val="000000"/>
                <w:kern w:val="0"/>
                <w:sz w:val="20"/>
                <w:szCs w:val="20"/>
                <w:lang w:eastAsia="zh-CN"/>
              </w:rPr>
              <w:t>消除桥梁老化</w:t>
            </w:r>
            <w:r>
              <w:rPr>
                <w:rFonts w:hint="eastAsia" w:ascii="仿宋" w:hAnsi="仿宋" w:eastAsia="仿宋" w:cs="仿宋"/>
                <w:color w:val="000000"/>
                <w:kern w:val="0"/>
                <w:sz w:val="20"/>
                <w:szCs w:val="20"/>
                <w:lang w:val="en-US" w:eastAsia="zh-CN"/>
              </w:rPr>
              <w:t>的</w:t>
            </w:r>
            <w:r>
              <w:rPr>
                <w:rFonts w:hint="eastAsia" w:ascii="仿宋" w:hAnsi="仿宋" w:eastAsia="仿宋" w:cs="仿宋"/>
                <w:color w:val="000000"/>
                <w:kern w:val="0"/>
                <w:sz w:val="20"/>
                <w:szCs w:val="20"/>
                <w:lang w:eastAsia="zh-CN"/>
              </w:rPr>
              <w:t>安全隐患，提高所在道路的通行能力，加快更新城市基础设施，保障市民出行安全，并促进城市的可持续发展。</w:t>
            </w:r>
          </w:p>
        </w:tc>
        <w:tc>
          <w:tcPr>
            <w:tcW w:w="3630" w:type="dxa"/>
            <w:gridSpan w:val="4"/>
            <w:noWrap w:val="0"/>
            <w:vAlign w:val="center"/>
          </w:tcPr>
          <w:p w14:paraId="78BF36E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实施</w:t>
            </w:r>
            <w:r>
              <w:rPr>
                <w:rFonts w:hint="eastAsia" w:ascii="仿宋" w:hAnsi="仿宋" w:eastAsia="仿宋" w:cs="仿宋"/>
                <w:color w:val="000000"/>
                <w:kern w:val="0"/>
                <w:sz w:val="20"/>
                <w:szCs w:val="20"/>
                <w:lang w:eastAsia="zh-CN"/>
              </w:rPr>
              <w:t>拆除重建团结二桥和改造犀牛塘建设</w:t>
            </w:r>
            <w:r>
              <w:rPr>
                <w:rFonts w:hint="eastAsia" w:ascii="仿宋" w:hAnsi="仿宋" w:eastAsia="仿宋" w:cs="仿宋"/>
                <w:color w:val="000000"/>
                <w:kern w:val="0"/>
                <w:sz w:val="20"/>
                <w:szCs w:val="20"/>
                <w:lang w:val="en-US" w:eastAsia="zh-CN"/>
              </w:rPr>
              <w:t>工程，</w:t>
            </w:r>
            <w:r>
              <w:rPr>
                <w:rFonts w:hint="eastAsia" w:ascii="仿宋" w:hAnsi="仿宋" w:eastAsia="仿宋" w:cs="仿宋"/>
                <w:color w:val="000000"/>
                <w:kern w:val="0"/>
                <w:sz w:val="20"/>
                <w:szCs w:val="20"/>
                <w:lang w:eastAsia="zh-CN"/>
              </w:rPr>
              <w:t>消除桥梁老化</w:t>
            </w:r>
            <w:r>
              <w:rPr>
                <w:rFonts w:hint="eastAsia" w:ascii="仿宋" w:hAnsi="仿宋" w:eastAsia="仿宋" w:cs="仿宋"/>
                <w:color w:val="000000"/>
                <w:kern w:val="0"/>
                <w:sz w:val="20"/>
                <w:szCs w:val="20"/>
                <w:lang w:val="en-US" w:eastAsia="zh-CN"/>
              </w:rPr>
              <w:t>的</w:t>
            </w:r>
            <w:r>
              <w:rPr>
                <w:rFonts w:hint="eastAsia" w:ascii="仿宋" w:hAnsi="仿宋" w:eastAsia="仿宋" w:cs="仿宋"/>
                <w:color w:val="000000"/>
                <w:kern w:val="0"/>
                <w:sz w:val="20"/>
                <w:szCs w:val="20"/>
                <w:lang w:eastAsia="zh-CN"/>
              </w:rPr>
              <w:t>安全隐患，提高所在道路的通行能力，加快更新城市基础设施，保障市民出行安全，并促进城市的可持续发展。</w:t>
            </w:r>
          </w:p>
        </w:tc>
      </w:tr>
      <w:tr w14:paraId="50B10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759" w:type="dxa"/>
            <w:vMerge w:val="restart"/>
            <w:noWrap w:val="0"/>
            <w:vAlign w:val="center"/>
          </w:tcPr>
          <w:p w14:paraId="6D60542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077715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EC079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3B4D0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881" w:type="dxa"/>
            <w:noWrap w:val="0"/>
            <w:vAlign w:val="center"/>
          </w:tcPr>
          <w:p w14:paraId="3B1832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w:t>
            </w:r>
          </w:p>
          <w:p w14:paraId="2BC35E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477" w:type="dxa"/>
            <w:noWrap w:val="0"/>
            <w:vAlign w:val="center"/>
          </w:tcPr>
          <w:p w14:paraId="69ECAE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944" w:type="dxa"/>
            <w:noWrap w:val="0"/>
            <w:vAlign w:val="center"/>
          </w:tcPr>
          <w:p w14:paraId="63ECC1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536" w:type="dxa"/>
            <w:noWrap w:val="0"/>
            <w:vAlign w:val="center"/>
          </w:tcPr>
          <w:p w14:paraId="576F5C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6F2C32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251" w:type="dxa"/>
            <w:noWrap w:val="0"/>
            <w:vAlign w:val="center"/>
          </w:tcPr>
          <w:p w14:paraId="5DAA14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12454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44" w:type="dxa"/>
            <w:noWrap w:val="0"/>
            <w:vAlign w:val="center"/>
          </w:tcPr>
          <w:p w14:paraId="6D6AC6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684" w:type="dxa"/>
            <w:noWrap w:val="0"/>
            <w:vAlign w:val="center"/>
          </w:tcPr>
          <w:p w14:paraId="060827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051" w:type="dxa"/>
            <w:noWrap w:val="0"/>
            <w:vAlign w:val="center"/>
          </w:tcPr>
          <w:p w14:paraId="04204B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偏差原因分析及改进措施</w:t>
            </w:r>
          </w:p>
        </w:tc>
      </w:tr>
      <w:tr w14:paraId="67E7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759" w:type="dxa"/>
            <w:vMerge w:val="continue"/>
            <w:noWrap w:val="0"/>
            <w:vAlign w:val="center"/>
          </w:tcPr>
          <w:p w14:paraId="50B6E2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restart"/>
            <w:noWrap w:val="0"/>
            <w:vAlign w:val="center"/>
          </w:tcPr>
          <w:p w14:paraId="2B3C9B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w:t>
            </w:r>
          </w:p>
          <w:p w14:paraId="73B4ED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指标</w:t>
            </w:r>
          </w:p>
        </w:tc>
        <w:tc>
          <w:tcPr>
            <w:tcW w:w="1477" w:type="dxa"/>
            <w:noWrap w:val="0"/>
            <w:vAlign w:val="center"/>
          </w:tcPr>
          <w:p w14:paraId="457E97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944" w:type="dxa"/>
            <w:noWrap w:val="0"/>
            <w:vAlign w:val="center"/>
          </w:tcPr>
          <w:p w14:paraId="07E06F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项目成本控制</w:t>
            </w:r>
          </w:p>
        </w:tc>
        <w:tc>
          <w:tcPr>
            <w:tcW w:w="1536" w:type="dxa"/>
            <w:noWrap w:val="0"/>
            <w:vAlign w:val="center"/>
          </w:tcPr>
          <w:p w14:paraId="3A8AB7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≤100.63万元</w:t>
            </w:r>
          </w:p>
        </w:tc>
        <w:tc>
          <w:tcPr>
            <w:tcW w:w="1251" w:type="dxa"/>
            <w:noWrap w:val="0"/>
            <w:vAlign w:val="center"/>
          </w:tcPr>
          <w:p w14:paraId="50FE70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100.63万元</w:t>
            </w:r>
          </w:p>
        </w:tc>
        <w:tc>
          <w:tcPr>
            <w:tcW w:w="644" w:type="dxa"/>
            <w:noWrap w:val="0"/>
            <w:vAlign w:val="center"/>
          </w:tcPr>
          <w:p w14:paraId="2B1B49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684" w:type="dxa"/>
            <w:noWrap w:val="0"/>
            <w:vAlign w:val="center"/>
          </w:tcPr>
          <w:p w14:paraId="307143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06AAC7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110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59" w:type="dxa"/>
            <w:vMerge w:val="continue"/>
            <w:noWrap w:val="0"/>
            <w:vAlign w:val="center"/>
          </w:tcPr>
          <w:p w14:paraId="787C99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5CA011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477" w:type="dxa"/>
            <w:noWrap w:val="0"/>
            <w:vAlign w:val="center"/>
          </w:tcPr>
          <w:p w14:paraId="62A4EA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944" w:type="dxa"/>
            <w:noWrap w:val="0"/>
            <w:vAlign w:val="center"/>
          </w:tcPr>
          <w:p w14:paraId="3F673B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536" w:type="dxa"/>
            <w:noWrap w:val="0"/>
            <w:vAlign w:val="center"/>
          </w:tcPr>
          <w:p w14:paraId="30763A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2"/>
                <w:szCs w:val="22"/>
                <w:lang w:val="en-US" w:eastAsia="zh-CN"/>
              </w:rPr>
              <w:t>0%</w:t>
            </w:r>
          </w:p>
        </w:tc>
        <w:tc>
          <w:tcPr>
            <w:tcW w:w="1251" w:type="dxa"/>
            <w:noWrap w:val="0"/>
            <w:vAlign w:val="center"/>
          </w:tcPr>
          <w:p w14:paraId="25F3F8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44" w:type="dxa"/>
            <w:noWrap w:val="0"/>
            <w:vAlign w:val="center"/>
          </w:tcPr>
          <w:p w14:paraId="00D22F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684" w:type="dxa"/>
            <w:noWrap w:val="0"/>
            <w:vAlign w:val="center"/>
          </w:tcPr>
          <w:p w14:paraId="7277E2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051" w:type="dxa"/>
            <w:noWrap w:val="0"/>
            <w:vAlign w:val="center"/>
          </w:tcPr>
          <w:p w14:paraId="70AD73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F15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59" w:type="dxa"/>
            <w:vMerge w:val="continue"/>
            <w:noWrap w:val="0"/>
            <w:vAlign w:val="center"/>
          </w:tcPr>
          <w:p w14:paraId="7786CB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41D9D1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477" w:type="dxa"/>
            <w:noWrap w:val="0"/>
            <w:vAlign w:val="center"/>
          </w:tcPr>
          <w:p w14:paraId="051ECE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944" w:type="dxa"/>
            <w:noWrap w:val="0"/>
            <w:vAlign w:val="center"/>
          </w:tcPr>
          <w:p w14:paraId="778103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536" w:type="dxa"/>
            <w:noWrap w:val="0"/>
            <w:vAlign w:val="center"/>
          </w:tcPr>
          <w:p w14:paraId="66DEAF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2"/>
                <w:szCs w:val="22"/>
                <w:lang w:val="en-US" w:eastAsia="zh-CN"/>
              </w:rPr>
              <w:t>0%</w:t>
            </w:r>
          </w:p>
        </w:tc>
        <w:tc>
          <w:tcPr>
            <w:tcW w:w="1251" w:type="dxa"/>
            <w:noWrap w:val="0"/>
            <w:vAlign w:val="center"/>
          </w:tcPr>
          <w:p w14:paraId="38A077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44" w:type="dxa"/>
            <w:noWrap w:val="0"/>
            <w:vAlign w:val="center"/>
          </w:tcPr>
          <w:p w14:paraId="4BD576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684" w:type="dxa"/>
            <w:noWrap w:val="0"/>
            <w:vAlign w:val="center"/>
          </w:tcPr>
          <w:p w14:paraId="79BACDB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051" w:type="dxa"/>
            <w:noWrap w:val="0"/>
            <w:vAlign w:val="center"/>
          </w:tcPr>
          <w:p w14:paraId="0DB562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417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59" w:type="dxa"/>
            <w:vMerge w:val="continue"/>
            <w:noWrap w:val="0"/>
            <w:vAlign w:val="center"/>
          </w:tcPr>
          <w:p w14:paraId="1AB5EB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restart"/>
            <w:noWrap w:val="0"/>
            <w:vAlign w:val="center"/>
          </w:tcPr>
          <w:p w14:paraId="65CAF0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w:t>
            </w:r>
          </w:p>
          <w:p w14:paraId="2BFB1DC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7B4E17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477" w:type="dxa"/>
            <w:vMerge w:val="restart"/>
            <w:noWrap w:val="0"/>
            <w:vAlign w:val="center"/>
          </w:tcPr>
          <w:p w14:paraId="0ADC53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944" w:type="dxa"/>
            <w:noWrap w:val="0"/>
            <w:vAlign w:val="center"/>
          </w:tcPr>
          <w:p w14:paraId="37323F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改（扩）建城市桥梁</w:t>
            </w:r>
          </w:p>
        </w:tc>
        <w:tc>
          <w:tcPr>
            <w:tcW w:w="1536" w:type="dxa"/>
            <w:noWrap w:val="0"/>
            <w:vAlign w:val="center"/>
          </w:tcPr>
          <w:p w14:paraId="7F71AD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2座</w:t>
            </w:r>
          </w:p>
        </w:tc>
        <w:tc>
          <w:tcPr>
            <w:tcW w:w="1251" w:type="dxa"/>
            <w:noWrap w:val="0"/>
            <w:vAlign w:val="center"/>
          </w:tcPr>
          <w:p w14:paraId="39556E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2座</w:t>
            </w:r>
          </w:p>
        </w:tc>
        <w:tc>
          <w:tcPr>
            <w:tcW w:w="644" w:type="dxa"/>
            <w:noWrap w:val="0"/>
            <w:vAlign w:val="center"/>
          </w:tcPr>
          <w:p w14:paraId="60C69D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4" w:type="dxa"/>
            <w:noWrap w:val="0"/>
            <w:vAlign w:val="center"/>
          </w:tcPr>
          <w:p w14:paraId="315257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227377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355D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759" w:type="dxa"/>
            <w:vMerge w:val="continue"/>
            <w:noWrap w:val="0"/>
            <w:vAlign w:val="center"/>
          </w:tcPr>
          <w:p w14:paraId="0A87D9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29B4243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477" w:type="dxa"/>
            <w:vMerge w:val="continue"/>
            <w:noWrap w:val="0"/>
            <w:vAlign w:val="center"/>
          </w:tcPr>
          <w:p w14:paraId="5572FA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944" w:type="dxa"/>
            <w:noWrap w:val="0"/>
            <w:vAlign w:val="center"/>
          </w:tcPr>
          <w:p w14:paraId="714EED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扩建桥梁面积</w:t>
            </w:r>
          </w:p>
        </w:tc>
        <w:tc>
          <w:tcPr>
            <w:tcW w:w="1536" w:type="dxa"/>
            <w:noWrap w:val="0"/>
            <w:vAlign w:val="center"/>
          </w:tcPr>
          <w:p w14:paraId="1C7C77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4800平方米</w:t>
            </w:r>
          </w:p>
        </w:tc>
        <w:tc>
          <w:tcPr>
            <w:tcW w:w="1251" w:type="dxa"/>
            <w:noWrap w:val="0"/>
            <w:vAlign w:val="center"/>
          </w:tcPr>
          <w:p w14:paraId="57E330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4800平方米</w:t>
            </w:r>
          </w:p>
        </w:tc>
        <w:tc>
          <w:tcPr>
            <w:tcW w:w="644" w:type="dxa"/>
            <w:noWrap w:val="0"/>
            <w:vAlign w:val="center"/>
          </w:tcPr>
          <w:p w14:paraId="6A3215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684" w:type="dxa"/>
            <w:noWrap w:val="0"/>
            <w:vAlign w:val="center"/>
          </w:tcPr>
          <w:p w14:paraId="08DCDE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5C61BF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0486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759" w:type="dxa"/>
            <w:vMerge w:val="continue"/>
            <w:noWrap w:val="0"/>
            <w:vAlign w:val="center"/>
          </w:tcPr>
          <w:p w14:paraId="41B23D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2D2D4B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77" w:type="dxa"/>
            <w:noWrap w:val="0"/>
            <w:vAlign w:val="center"/>
          </w:tcPr>
          <w:p w14:paraId="627A1D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944" w:type="dxa"/>
            <w:noWrap w:val="0"/>
            <w:vAlign w:val="center"/>
          </w:tcPr>
          <w:p w14:paraId="77C5A2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项目实施完成率</w:t>
            </w:r>
          </w:p>
        </w:tc>
        <w:tc>
          <w:tcPr>
            <w:tcW w:w="1536" w:type="dxa"/>
            <w:noWrap w:val="0"/>
            <w:vAlign w:val="center"/>
          </w:tcPr>
          <w:p w14:paraId="57A265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0"/>
                <w:szCs w:val="20"/>
                <w:lang w:val="en-US" w:eastAsia="zh-CN"/>
              </w:rPr>
              <w:t>90%</w:t>
            </w:r>
          </w:p>
        </w:tc>
        <w:tc>
          <w:tcPr>
            <w:tcW w:w="1251" w:type="dxa"/>
            <w:noWrap w:val="0"/>
            <w:vAlign w:val="center"/>
          </w:tcPr>
          <w:p w14:paraId="7A7B22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100%</w:t>
            </w:r>
          </w:p>
        </w:tc>
        <w:tc>
          <w:tcPr>
            <w:tcW w:w="644" w:type="dxa"/>
            <w:noWrap w:val="0"/>
            <w:vAlign w:val="center"/>
          </w:tcPr>
          <w:p w14:paraId="78D2CE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4" w:type="dxa"/>
            <w:noWrap w:val="0"/>
            <w:vAlign w:val="center"/>
          </w:tcPr>
          <w:p w14:paraId="5C21116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14BE50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597D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59" w:type="dxa"/>
            <w:vMerge w:val="continue"/>
            <w:noWrap w:val="0"/>
            <w:vAlign w:val="center"/>
          </w:tcPr>
          <w:p w14:paraId="38EA3F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58831E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77" w:type="dxa"/>
            <w:noWrap w:val="0"/>
            <w:vAlign w:val="center"/>
          </w:tcPr>
          <w:p w14:paraId="0E2668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944" w:type="dxa"/>
            <w:noWrap w:val="0"/>
            <w:vAlign w:val="center"/>
          </w:tcPr>
          <w:p w14:paraId="1227C5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完成及时情况</w:t>
            </w:r>
          </w:p>
        </w:tc>
        <w:tc>
          <w:tcPr>
            <w:tcW w:w="1536" w:type="dxa"/>
            <w:noWrap w:val="0"/>
            <w:vAlign w:val="center"/>
          </w:tcPr>
          <w:p w14:paraId="3978F4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及时完成</w:t>
            </w:r>
          </w:p>
        </w:tc>
        <w:tc>
          <w:tcPr>
            <w:tcW w:w="1251" w:type="dxa"/>
            <w:noWrap w:val="0"/>
            <w:vAlign w:val="center"/>
          </w:tcPr>
          <w:p w14:paraId="207A42E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及时完成</w:t>
            </w:r>
          </w:p>
        </w:tc>
        <w:tc>
          <w:tcPr>
            <w:tcW w:w="644" w:type="dxa"/>
            <w:noWrap w:val="0"/>
            <w:vAlign w:val="center"/>
          </w:tcPr>
          <w:p w14:paraId="4357B5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4" w:type="dxa"/>
            <w:noWrap w:val="0"/>
            <w:vAlign w:val="center"/>
          </w:tcPr>
          <w:p w14:paraId="07A1B1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50D9C7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0A3B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759" w:type="dxa"/>
            <w:vMerge w:val="continue"/>
            <w:noWrap w:val="0"/>
            <w:vAlign w:val="center"/>
          </w:tcPr>
          <w:p w14:paraId="671766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restart"/>
            <w:noWrap w:val="0"/>
            <w:vAlign w:val="center"/>
          </w:tcPr>
          <w:p w14:paraId="45B3039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w:t>
            </w:r>
          </w:p>
          <w:p w14:paraId="551CB4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B9BC19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77" w:type="dxa"/>
            <w:noWrap w:val="0"/>
            <w:vAlign w:val="center"/>
          </w:tcPr>
          <w:p w14:paraId="0D98C8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599F1E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944" w:type="dxa"/>
            <w:noWrap w:val="0"/>
            <w:vAlign w:val="center"/>
          </w:tcPr>
          <w:p w14:paraId="7A76A5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不适用</w:t>
            </w:r>
          </w:p>
        </w:tc>
        <w:tc>
          <w:tcPr>
            <w:tcW w:w="1536" w:type="dxa"/>
            <w:noWrap w:val="0"/>
            <w:vAlign w:val="center"/>
          </w:tcPr>
          <w:p w14:paraId="7A2F93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1251" w:type="dxa"/>
            <w:noWrap w:val="0"/>
            <w:vAlign w:val="center"/>
          </w:tcPr>
          <w:p w14:paraId="062554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644" w:type="dxa"/>
            <w:noWrap w:val="0"/>
            <w:vAlign w:val="center"/>
          </w:tcPr>
          <w:p w14:paraId="5D1678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684" w:type="dxa"/>
            <w:noWrap w:val="0"/>
            <w:vAlign w:val="center"/>
          </w:tcPr>
          <w:p w14:paraId="0D0284A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1051" w:type="dxa"/>
            <w:noWrap w:val="0"/>
            <w:vAlign w:val="center"/>
          </w:tcPr>
          <w:p w14:paraId="127358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619F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jc w:val="center"/>
        </w:trPr>
        <w:tc>
          <w:tcPr>
            <w:tcW w:w="759" w:type="dxa"/>
            <w:vMerge w:val="continue"/>
            <w:noWrap w:val="0"/>
            <w:vAlign w:val="center"/>
          </w:tcPr>
          <w:p w14:paraId="4CA872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305422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7" w:type="dxa"/>
            <w:noWrap w:val="0"/>
            <w:vAlign w:val="center"/>
          </w:tcPr>
          <w:p w14:paraId="3D5164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246DE1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944" w:type="dxa"/>
            <w:noWrap w:val="0"/>
            <w:vAlign w:val="center"/>
          </w:tcPr>
          <w:p w14:paraId="79CE21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消除桥梁老化</w:t>
            </w:r>
            <w:r>
              <w:rPr>
                <w:rFonts w:hint="eastAsia" w:ascii="仿宋" w:hAnsi="仿宋" w:eastAsia="仿宋" w:cs="仿宋"/>
                <w:color w:val="000000"/>
                <w:kern w:val="0"/>
                <w:sz w:val="20"/>
                <w:szCs w:val="20"/>
                <w:lang w:val="en-US" w:eastAsia="zh-CN"/>
              </w:rPr>
              <w:t>的</w:t>
            </w:r>
            <w:r>
              <w:rPr>
                <w:rFonts w:hint="eastAsia" w:ascii="仿宋" w:hAnsi="仿宋" w:eastAsia="仿宋" w:cs="仿宋"/>
                <w:color w:val="000000"/>
                <w:kern w:val="0"/>
                <w:sz w:val="20"/>
                <w:szCs w:val="20"/>
                <w:lang w:eastAsia="zh-CN"/>
              </w:rPr>
              <w:t>安全隐患，提高所在道路的通行能力，保障市民出行安全</w:t>
            </w:r>
          </w:p>
        </w:tc>
        <w:tc>
          <w:tcPr>
            <w:tcW w:w="1536" w:type="dxa"/>
            <w:noWrap w:val="0"/>
            <w:vAlign w:val="center"/>
          </w:tcPr>
          <w:p w14:paraId="1D4DE8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明显有效</w:t>
            </w:r>
          </w:p>
        </w:tc>
        <w:tc>
          <w:tcPr>
            <w:tcW w:w="1251" w:type="dxa"/>
            <w:noWrap w:val="0"/>
            <w:vAlign w:val="center"/>
          </w:tcPr>
          <w:p w14:paraId="11DD0C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明显有效</w:t>
            </w:r>
          </w:p>
        </w:tc>
        <w:tc>
          <w:tcPr>
            <w:tcW w:w="644" w:type="dxa"/>
            <w:noWrap w:val="0"/>
            <w:vAlign w:val="center"/>
          </w:tcPr>
          <w:p w14:paraId="759B99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4" w:type="dxa"/>
            <w:noWrap w:val="0"/>
            <w:vAlign w:val="center"/>
          </w:tcPr>
          <w:p w14:paraId="0FE8F4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167FEC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3AF3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759" w:type="dxa"/>
            <w:vMerge w:val="continue"/>
            <w:noWrap w:val="0"/>
            <w:vAlign w:val="center"/>
          </w:tcPr>
          <w:p w14:paraId="02EF22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7360059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7" w:type="dxa"/>
            <w:noWrap w:val="0"/>
            <w:vAlign w:val="center"/>
          </w:tcPr>
          <w:p w14:paraId="753839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E903F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944" w:type="dxa"/>
            <w:noWrap w:val="0"/>
            <w:vAlign w:val="center"/>
          </w:tcPr>
          <w:p w14:paraId="59EEF4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不适用</w:t>
            </w:r>
          </w:p>
        </w:tc>
        <w:tc>
          <w:tcPr>
            <w:tcW w:w="1536" w:type="dxa"/>
            <w:noWrap w:val="0"/>
            <w:vAlign w:val="center"/>
          </w:tcPr>
          <w:p w14:paraId="32C077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1251" w:type="dxa"/>
            <w:noWrap w:val="0"/>
            <w:vAlign w:val="center"/>
          </w:tcPr>
          <w:p w14:paraId="58DDB0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644" w:type="dxa"/>
            <w:noWrap w:val="0"/>
            <w:vAlign w:val="center"/>
          </w:tcPr>
          <w:p w14:paraId="47DFE6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684" w:type="dxa"/>
            <w:noWrap w:val="0"/>
            <w:vAlign w:val="center"/>
          </w:tcPr>
          <w:p w14:paraId="1E448B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1051" w:type="dxa"/>
            <w:noWrap w:val="0"/>
            <w:vAlign w:val="center"/>
          </w:tcPr>
          <w:p w14:paraId="042FB4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3C45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59" w:type="dxa"/>
            <w:vMerge w:val="continue"/>
            <w:noWrap w:val="0"/>
            <w:vAlign w:val="center"/>
          </w:tcPr>
          <w:p w14:paraId="585FE67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881" w:type="dxa"/>
            <w:vMerge w:val="continue"/>
            <w:noWrap w:val="0"/>
            <w:vAlign w:val="center"/>
          </w:tcPr>
          <w:p w14:paraId="397CDE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7" w:type="dxa"/>
            <w:noWrap w:val="0"/>
            <w:vAlign w:val="center"/>
          </w:tcPr>
          <w:p w14:paraId="5CDB81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944" w:type="dxa"/>
            <w:noWrap w:val="0"/>
            <w:vAlign w:val="center"/>
          </w:tcPr>
          <w:p w14:paraId="0EA92632">
            <w:pP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加快更新城市基础设施，促进城市的可持续发展</w:t>
            </w:r>
          </w:p>
        </w:tc>
        <w:tc>
          <w:tcPr>
            <w:tcW w:w="1536" w:type="dxa"/>
            <w:noWrap w:val="0"/>
            <w:vAlign w:val="center"/>
          </w:tcPr>
          <w:p w14:paraId="6FBC21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明显有效</w:t>
            </w:r>
          </w:p>
        </w:tc>
        <w:tc>
          <w:tcPr>
            <w:tcW w:w="1251" w:type="dxa"/>
            <w:noWrap w:val="0"/>
            <w:vAlign w:val="center"/>
          </w:tcPr>
          <w:p w14:paraId="017EA5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明显有效</w:t>
            </w:r>
          </w:p>
        </w:tc>
        <w:tc>
          <w:tcPr>
            <w:tcW w:w="644" w:type="dxa"/>
            <w:noWrap w:val="0"/>
            <w:vAlign w:val="center"/>
          </w:tcPr>
          <w:p w14:paraId="4361D4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4" w:type="dxa"/>
            <w:noWrap w:val="0"/>
            <w:vAlign w:val="center"/>
          </w:tcPr>
          <w:p w14:paraId="4AB335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41D0F9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2260E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759" w:type="dxa"/>
            <w:vMerge w:val="continue"/>
            <w:noWrap w:val="0"/>
            <w:vAlign w:val="center"/>
          </w:tcPr>
          <w:p w14:paraId="186240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noWrap w:val="0"/>
            <w:vAlign w:val="center"/>
          </w:tcPr>
          <w:p w14:paraId="46DAD200">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满意度指标</w:t>
            </w:r>
          </w:p>
        </w:tc>
        <w:tc>
          <w:tcPr>
            <w:tcW w:w="1477" w:type="dxa"/>
            <w:noWrap w:val="0"/>
            <w:vAlign w:val="center"/>
          </w:tcPr>
          <w:p w14:paraId="132467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944" w:type="dxa"/>
            <w:noWrap w:val="0"/>
            <w:vAlign w:val="center"/>
          </w:tcPr>
          <w:p w14:paraId="369C1C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社会公众服务满意度</w:t>
            </w:r>
          </w:p>
        </w:tc>
        <w:tc>
          <w:tcPr>
            <w:tcW w:w="1536" w:type="dxa"/>
            <w:noWrap w:val="0"/>
            <w:vAlign w:val="center"/>
          </w:tcPr>
          <w:p w14:paraId="1C0DCC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0"/>
                <w:szCs w:val="20"/>
                <w:lang w:val="en-US" w:eastAsia="zh-CN"/>
              </w:rPr>
              <w:t>90%</w:t>
            </w:r>
          </w:p>
        </w:tc>
        <w:tc>
          <w:tcPr>
            <w:tcW w:w="1251" w:type="dxa"/>
            <w:noWrap w:val="0"/>
            <w:vAlign w:val="center"/>
          </w:tcPr>
          <w:p w14:paraId="05C2EC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95%</w:t>
            </w:r>
          </w:p>
        </w:tc>
        <w:tc>
          <w:tcPr>
            <w:tcW w:w="644" w:type="dxa"/>
            <w:noWrap w:val="0"/>
            <w:vAlign w:val="center"/>
          </w:tcPr>
          <w:p w14:paraId="29664F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4" w:type="dxa"/>
            <w:noWrap w:val="0"/>
            <w:vAlign w:val="center"/>
          </w:tcPr>
          <w:p w14:paraId="72FED06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5C1D9D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DDE0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7848" w:type="dxa"/>
            <w:gridSpan w:val="6"/>
            <w:noWrap w:val="0"/>
            <w:vAlign w:val="center"/>
          </w:tcPr>
          <w:p w14:paraId="5709F4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44" w:type="dxa"/>
            <w:noWrap w:val="0"/>
            <w:vAlign w:val="center"/>
          </w:tcPr>
          <w:p w14:paraId="65AABF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684" w:type="dxa"/>
            <w:noWrap w:val="0"/>
            <w:vAlign w:val="center"/>
          </w:tcPr>
          <w:p w14:paraId="64A10B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51" w:type="dxa"/>
            <w:noWrap w:val="0"/>
            <w:vAlign w:val="center"/>
          </w:tcPr>
          <w:p w14:paraId="3C48772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bl>
    <w:p w14:paraId="5D6451B8">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32"/>
          <w:szCs w:val="32"/>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唐涛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2026年5月25日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13487553315 </w:t>
      </w:r>
    </w:p>
    <w:p w14:paraId="7BBD715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7C4F70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t>附件3-4</w:t>
      </w:r>
    </w:p>
    <w:p w14:paraId="34D0FAC5">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t>项目支出绩效自评表</w:t>
      </w: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821"/>
        <w:gridCol w:w="1320"/>
        <w:gridCol w:w="1632"/>
        <w:gridCol w:w="1154"/>
        <w:gridCol w:w="1116"/>
        <w:gridCol w:w="744"/>
        <w:gridCol w:w="888"/>
        <w:gridCol w:w="1096"/>
      </w:tblGrid>
      <w:tr w14:paraId="4C47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5CDDFD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D5FB49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1D9824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市政管理专项经费　</w:t>
            </w:r>
          </w:p>
        </w:tc>
      </w:tr>
      <w:tr w14:paraId="33D0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661B69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927" w:type="dxa"/>
            <w:gridSpan w:val="4"/>
            <w:noWrap w:val="0"/>
            <w:vAlign w:val="center"/>
          </w:tcPr>
          <w:p w14:paraId="5CF7FD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怀化市城市管理局</w:t>
            </w:r>
          </w:p>
        </w:tc>
        <w:tc>
          <w:tcPr>
            <w:tcW w:w="1116" w:type="dxa"/>
            <w:noWrap w:val="0"/>
            <w:vAlign w:val="center"/>
          </w:tcPr>
          <w:p w14:paraId="5194EE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728" w:type="dxa"/>
            <w:gridSpan w:val="3"/>
            <w:noWrap w:val="0"/>
            <w:vAlign w:val="center"/>
          </w:tcPr>
          <w:p w14:paraId="187952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怀化市市政设施维护中心</w:t>
            </w:r>
          </w:p>
        </w:tc>
      </w:tr>
      <w:tr w14:paraId="0AF4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303FF0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41" w:type="dxa"/>
            <w:gridSpan w:val="2"/>
            <w:noWrap w:val="0"/>
            <w:vAlign w:val="center"/>
          </w:tcPr>
          <w:p w14:paraId="4F439C0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632" w:type="dxa"/>
            <w:noWrap w:val="0"/>
            <w:vAlign w:val="center"/>
          </w:tcPr>
          <w:p w14:paraId="5398AF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572F8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54" w:type="dxa"/>
            <w:noWrap w:val="0"/>
            <w:vAlign w:val="center"/>
          </w:tcPr>
          <w:p w14:paraId="4EC352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6FF5D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16" w:type="dxa"/>
            <w:noWrap w:val="0"/>
            <w:vAlign w:val="center"/>
          </w:tcPr>
          <w:p w14:paraId="32253A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F5D3F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744" w:type="dxa"/>
            <w:noWrap w:val="0"/>
            <w:vAlign w:val="center"/>
          </w:tcPr>
          <w:p w14:paraId="42E898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88" w:type="dxa"/>
            <w:noWrap w:val="0"/>
            <w:vAlign w:val="center"/>
          </w:tcPr>
          <w:p w14:paraId="690E76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096" w:type="dxa"/>
            <w:noWrap w:val="0"/>
            <w:vAlign w:val="center"/>
          </w:tcPr>
          <w:p w14:paraId="71C042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5AFF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80" w:type="dxa"/>
            <w:vMerge w:val="continue"/>
            <w:noWrap w:val="0"/>
            <w:vAlign w:val="center"/>
          </w:tcPr>
          <w:p w14:paraId="0FC7C7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41" w:type="dxa"/>
            <w:gridSpan w:val="2"/>
            <w:noWrap w:val="0"/>
            <w:vAlign w:val="center"/>
          </w:tcPr>
          <w:p w14:paraId="705885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632" w:type="dxa"/>
            <w:noWrap w:val="0"/>
            <w:vAlign w:val="center"/>
          </w:tcPr>
          <w:p w14:paraId="1FCAF4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280</w:t>
            </w:r>
          </w:p>
        </w:tc>
        <w:tc>
          <w:tcPr>
            <w:tcW w:w="1154" w:type="dxa"/>
            <w:noWrap w:val="0"/>
            <w:vAlign w:val="center"/>
          </w:tcPr>
          <w:p w14:paraId="61B2F9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280</w:t>
            </w:r>
          </w:p>
        </w:tc>
        <w:tc>
          <w:tcPr>
            <w:tcW w:w="1116" w:type="dxa"/>
            <w:noWrap w:val="0"/>
            <w:vAlign w:val="center"/>
          </w:tcPr>
          <w:p w14:paraId="565034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280</w:t>
            </w:r>
          </w:p>
        </w:tc>
        <w:tc>
          <w:tcPr>
            <w:tcW w:w="744" w:type="dxa"/>
            <w:noWrap w:val="0"/>
            <w:vAlign w:val="center"/>
          </w:tcPr>
          <w:p w14:paraId="78B470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88" w:type="dxa"/>
            <w:noWrap w:val="0"/>
            <w:vAlign w:val="center"/>
          </w:tcPr>
          <w:p w14:paraId="595A5D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096" w:type="dxa"/>
            <w:noWrap w:val="0"/>
            <w:vAlign w:val="center"/>
          </w:tcPr>
          <w:p w14:paraId="7D4C92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02AF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78C3CC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41" w:type="dxa"/>
            <w:gridSpan w:val="2"/>
            <w:noWrap w:val="0"/>
            <w:vAlign w:val="center"/>
          </w:tcPr>
          <w:p w14:paraId="504847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632" w:type="dxa"/>
            <w:noWrap w:val="0"/>
            <w:vAlign w:val="center"/>
          </w:tcPr>
          <w:p w14:paraId="20DFC8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280</w:t>
            </w:r>
          </w:p>
        </w:tc>
        <w:tc>
          <w:tcPr>
            <w:tcW w:w="1154" w:type="dxa"/>
            <w:noWrap w:val="0"/>
            <w:vAlign w:val="center"/>
          </w:tcPr>
          <w:p w14:paraId="0328D0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280</w:t>
            </w:r>
          </w:p>
        </w:tc>
        <w:tc>
          <w:tcPr>
            <w:tcW w:w="1116" w:type="dxa"/>
            <w:noWrap w:val="0"/>
            <w:vAlign w:val="center"/>
          </w:tcPr>
          <w:p w14:paraId="135BD0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280</w:t>
            </w:r>
          </w:p>
        </w:tc>
        <w:tc>
          <w:tcPr>
            <w:tcW w:w="744" w:type="dxa"/>
            <w:noWrap w:val="0"/>
            <w:vAlign w:val="center"/>
          </w:tcPr>
          <w:p w14:paraId="1D98E13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88" w:type="dxa"/>
            <w:noWrap w:val="0"/>
            <w:vAlign w:val="center"/>
          </w:tcPr>
          <w:p w14:paraId="20F039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6" w:type="dxa"/>
            <w:noWrap w:val="0"/>
            <w:vAlign w:val="center"/>
          </w:tcPr>
          <w:p w14:paraId="196CF0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878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1080" w:type="dxa"/>
            <w:vMerge w:val="continue"/>
            <w:noWrap w:val="0"/>
            <w:vAlign w:val="center"/>
          </w:tcPr>
          <w:p w14:paraId="4FFC6A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41" w:type="dxa"/>
            <w:gridSpan w:val="2"/>
            <w:noWrap w:val="0"/>
            <w:vAlign w:val="center"/>
          </w:tcPr>
          <w:p w14:paraId="4578BD9B">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632" w:type="dxa"/>
            <w:noWrap w:val="0"/>
            <w:vAlign w:val="center"/>
          </w:tcPr>
          <w:p w14:paraId="784B81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54" w:type="dxa"/>
            <w:noWrap w:val="0"/>
            <w:vAlign w:val="center"/>
          </w:tcPr>
          <w:p w14:paraId="1F78FA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6" w:type="dxa"/>
            <w:noWrap w:val="0"/>
            <w:vAlign w:val="center"/>
          </w:tcPr>
          <w:p w14:paraId="233790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44" w:type="dxa"/>
            <w:noWrap w:val="0"/>
            <w:vAlign w:val="center"/>
          </w:tcPr>
          <w:p w14:paraId="3117B99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88" w:type="dxa"/>
            <w:noWrap w:val="0"/>
            <w:vAlign w:val="center"/>
          </w:tcPr>
          <w:p w14:paraId="1B923C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6" w:type="dxa"/>
            <w:noWrap w:val="0"/>
            <w:vAlign w:val="center"/>
          </w:tcPr>
          <w:p w14:paraId="7E59F4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902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1080" w:type="dxa"/>
            <w:vMerge w:val="continue"/>
            <w:noWrap w:val="0"/>
            <w:vAlign w:val="center"/>
          </w:tcPr>
          <w:p w14:paraId="4215F71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41" w:type="dxa"/>
            <w:gridSpan w:val="2"/>
            <w:noWrap w:val="0"/>
            <w:vAlign w:val="center"/>
          </w:tcPr>
          <w:p w14:paraId="19BDEFA1">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632" w:type="dxa"/>
            <w:noWrap w:val="0"/>
            <w:vAlign w:val="center"/>
          </w:tcPr>
          <w:p w14:paraId="167F18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54" w:type="dxa"/>
            <w:noWrap w:val="0"/>
            <w:vAlign w:val="center"/>
          </w:tcPr>
          <w:p w14:paraId="257E20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6" w:type="dxa"/>
            <w:noWrap w:val="0"/>
            <w:vAlign w:val="center"/>
          </w:tcPr>
          <w:p w14:paraId="0884DE0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44" w:type="dxa"/>
            <w:noWrap w:val="0"/>
            <w:vAlign w:val="center"/>
          </w:tcPr>
          <w:p w14:paraId="7AFB8E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88" w:type="dxa"/>
            <w:noWrap w:val="0"/>
            <w:vAlign w:val="center"/>
          </w:tcPr>
          <w:p w14:paraId="7D7293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6" w:type="dxa"/>
            <w:noWrap w:val="0"/>
            <w:vAlign w:val="center"/>
          </w:tcPr>
          <w:p w14:paraId="0B7616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7FE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87D47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927" w:type="dxa"/>
            <w:gridSpan w:val="4"/>
            <w:noWrap w:val="0"/>
            <w:vAlign w:val="center"/>
          </w:tcPr>
          <w:p w14:paraId="0C623F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844" w:type="dxa"/>
            <w:gridSpan w:val="4"/>
            <w:noWrap w:val="0"/>
            <w:vAlign w:val="center"/>
          </w:tcPr>
          <w:p w14:paraId="57BB6B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41D08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47090C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927" w:type="dxa"/>
            <w:gridSpan w:val="4"/>
            <w:noWrap w:val="0"/>
            <w:vAlign w:val="center"/>
          </w:tcPr>
          <w:p w14:paraId="295811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弥补差额单位日常运转不足</w:t>
            </w:r>
          </w:p>
        </w:tc>
        <w:tc>
          <w:tcPr>
            <w:tcW w:w="3844" w:type="dxa"/>
            <w:gridSpan w:val="4"/>
            <w:noWrap w:val="0"/>
            <w:vAlign w:val="center"/>
          </w:tcPr>
          <w:p w14:paraId="5EE735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弥补差额单位日常运转不足</w:t>
            </w:r>
          </w:p>
        </w:tc>
      </w:tr>
      <w:tr w14:paraId="13B7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C7A28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C1D24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1B265C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20E7F5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821" w:type="dxa"/>
            <w:noWrap w:val="0"/>
            <w:vAlign w:val="center"/>
          </w:tcPr>
          <w:p w14:paraId="1288B1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320" w:type="dxa"/>
            <w:noWrap w:val="0"/>
            <w:vAlign w:val="center"/>
          </w:tcPr>
          <w:p w14:paraId="50ACA6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632" w:type="dxa"/>
            <w:noWrap w:val="0"/>
            <w:vAlign w:val="center"/>
          </w:tcPr>
          <w:p w14:paraId="69B326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54" w:type="dxa"/>
            <w:noWrap w:val="0"/>
            <w:vAlign w:val="center"/>
          </w:tcPr>
          <w:p w14:paraId="760AE2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C22BA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16" w:type="dxa"/>
            <w:noWrap w:val="0"/>
            <w:vAlign w:val="center"/>
          </w:tcPr>
          <w:p w14:paraId="59EB94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957EB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744" w:type="dxa"/>
            <w:noWrap w:val="0"/>
            <w:vAlign w:val="center"/>
          </w:tcPr>
          <w:p w14:paraId="394965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88" w:type="dxa"/>
            <w:noWrap w:val="0"/>
            <w:vAlign w:val="center"/>
          </w:tcPr>
          <w:p w14:paraId="107EDD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096" w:type="dxa"/>
            <w:noWrap w:val="0"/>
            <w:vAlign w:val="center"/>
          </w:tcPr>
          <w:p w14:paraId="31F917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BA346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542F4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3EE8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617AF5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restart"/>
            <w:noWrap w:val="0"/>
            <w:vAlign w:val="center"/>
          </w:tcPr>
          <w:p w14:paraId="6A7037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320" w:type="dxa"/>
            <w:noWrap w:val="0"/>
            <w:vAlign w:val="center"/>
          </w:tcPr>
          <w:p w14:paraId="669236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632" w:type="dxa"/>
            <w:noWrap w:val="0"/>
            <w:vAlign w:val="center"/>
          </w:tcPr>
          <w:p w14:paraId="681B55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市政管理专项经费</w:t>
            </w:r>
          </w:p>
        </w:tc>
        <w:tc>
          <w:tcPr>
            <w:tcW w:w="1154" w:type="dxa"/>
            <w:noWrap w:val="0"/>
            <w:vAlign w:val="center"/>
          </w:tcPr>
          <w:p w14:paraId="26DB72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280万元</w:t>
            </w:r>
          </w:p>
        </w:tc>
        <w:tc>
          <w:tcPr>
            <w:tcW w:w="1116" w:type="dxa"/>
            <w:noWrap w:val="0"/>
            <w:vAlign w:val="center"/>
          </w:tcPr>
          <w:p w14:paraId="49AE91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280万元</w:t>
            </w:r>
          </w:p>
        </w:tc>
        <w:tc>
          <w:tcPr>
            <w:tcW w:w="744" w:type="dxa"/>
            <w:noWrap w:val="0"/>
            <w:vAlign w:val="center"/>
          </w:tcPr>
          <w:p w14:paraId="474A21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88" w:type="dxa"/>
            <w:noWrap w:val="0"/>
            <w:vAlign w:val="center"/>
          </w:tcPr>
          <w:p w14:paraId="78E55E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96" w:type="dxa"/>
            <w:noWrap w:val="0"/>
            <w:vAlign w:val="center"/>
          </w:tcPr>
          <w:p w14:paraId="5EBFF1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076D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0D6049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357040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2790BE0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632" w:type="dxa"/>
            <w:noWrap w:val="0"/>
            <w:vAlign w:val="center"/>
          </w:tcPr>
          <w:p w14:paraId="2CF922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154" w:type="dxa"/>
            <w:noWrap w:val="0"/>
            <w:vAlign w:val="center"/>
          </w:tcPr>
          <w:p w14:paraId="3B63DB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16" w:type="dxa"/>
            <w:noWrap w:val="0"/>
            <w:vAlign w:val="center"/>
          </w:tcPr>
          <w:p w14:paraId="561FC9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744" w:type="dxa"/>
            <w:noWrap w:val="0"/>
            <w:vAlign w:val="center"/>
          </w:tcPr>
          <w:p w14:paraId="476449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88" w:type="dxa"/>
            <w:noWrap w:val="0"/>
            <w:vAlign w:val="center"/>
          </w:tcPr>
          <w:p w14:paraId="476F1F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96" w:type="dxa"/>
            <w:noWrap w:val="0"/>
            <w:vAlign w:val="center"/>
          </w:tcPr>
          <w:p w14:paraId="1981B0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E738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7EC515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222512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1B6F23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632" w:type="dxa"/>
            <w:noWrap w:val="0"/>
            <w:vAlign w:val="center"/>
          </w:tcPr>
          <w:p w14:paraId="40074F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154" w:type="dxa"/>
            <w:noWrap w:val="0"/>
            <w:vAlign w:val="center"/>
          </w:tcPr>
          <w:p w14:paraId="06483C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16" w:type="dxa"/>
            <w:noWrap w:val="0"/>
            <w:vAlign w:val="center"/>
          </w:tcPr>
          <w:p w14:paraId="47FBCB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w:t>
            </w:r>
          </w:p>
        </w:tc>
        <w:tc>
          <w:tcPr>
            <w:tcW w:w="744" w:type="dxa"/>
            <w:noWrap w:val="0"/>
            <w:vAlign w:val="center"/>
          </w:tcPr>
          <w:p w14:paraId="44ACAE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888" w:type="dxa"/>
            <w:noWrap w:val="0"/>
            <w:vAlign w:val="center"/>
          </w:tcPr>
          <w:p w14:paraId="6B2328D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096" w:type="dxa"/>
            <w:noWrap w:val="0"/>
            <w:vAlign w:val="center"/>
          </w:tcPr>
          <w:p w14:paraId="68C0A9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6B2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4D475D8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restart"/>
            <w:noWrap w:val="0"/>
            <w:vAlign w:val="center"/>
          </w:tcPr>
          <w:p w14:paraId="0B5A2C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2DA43B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38492B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632" w:type="dxa"/>
            <w:noWrap w:val="0"/>
            <w:vAlign w:val="center"/>
          </w:tcPr>
          <w:p w14:paraId="533A07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财政供养人员</w:t>
            </w:r>
          </w:p>
        </w:tc>
        <w:tc>
          <w:tcPr>
            <w:tcW w:w="1154" w:type="dxa"/>
            <w:noWrap w:val="0"/>
            <w:vAlign w:val="center"/>
          </w:tcPr>
          <w:p w14:paraId="11B334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160人</w:t>
            </w:r>
          </w:p>
        </w:tc>
        <w:tc>
          <w:tcPr>
            <w:tcW w:w="1116" w:type="dxa"/>
            <w:noWrap w:val="0"/>
            <w:vAlign w:val="center"/>
          </w:tcPr>
          <w:p w14:paraId="7417EF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149人</w:t>
            </w:r>
          </w:p>
        </w:tc>
        <w:tc>
          <w:tcPr>
            <w:tcW w:w="744" w:type="dxa"/>
            <w:noWrap w:val="0"/>
            <w:vAlign w:val="center"/>
          </w:tcPr>
          <w:p w14:paraId="23D79B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88" w:type="dxa"/>
            <w:noWrap w:val="0"/>
            <w:vAlign w:val="center"/>
          </w:tcPr>
          <w:p w14:paraId="65F95CB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96" w:type="dxa"/>
            <w:noWrap w:val="0"/>
            <w:vAlign w:val="center"/>
          </w:tcPr>
          <w:p w14:paraId="142DA3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24FA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F519EF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746B2A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vMerge w:val="restart"/>
            <w:noWrap w:val="0"/>
            <w:vAlign w:val="center"/>
          </w:tcPr>
          <w:p w14:paraId="597A51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632" w:type="dxa"/>
            <w:noWrap w:val="0"/>
            <w:vAlign w:val="center"/>
          </w:tcPr>
          <w:p w14:paraId="208163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资金使用合规性</w:t>
            </w:r>
          </w:p>
        </w:tc>
        <w:tc>
          <w:tcPr>
            <w:tcW w:w="1154" w:type="dxa"/>
            <w:noWrap w:val="0"/>
            <w:vAlign w:val="center"/>
          </w:tcPr>
          <w:p w14:paraId="5149497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16" w:type="dxa"/>
            <w:noWrap w:val="0"/>
            <w:vAlign w:val="center"/>
          </w:tcPr>
          <w:p w14:paraId="10686F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744" w:type="dxa"/>
            <w:noWrap w:val="0"/>
            <w:vAlign w:val="center"/>
          </w:tcPr>
          <w:p w14:paraId="6AEBBB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88" w:type="dxa"/>
            <w:noWrap w:val="0"/>
            <w:vAlign w:val="center"/>
          </w:tcPr>
          <w:p w14:paraId="5358BC6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96" w:type="dxa"/>
            <w:noWrap w:val="0"/>
            <w:vAlign w:val="center"/>
          </w:tcPr>
          <w:p w14:paraId="09166B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2D79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BBE9A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1A963E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vMerge w:val="continue"/>
            <w:noWrap w:val="0"/>
            <w:vAlign w:val="center"/>
          </w:tcPr>
          <w:p w14:paraId="013AA9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632" w:type="dxa"/>
            <w:noWrap w:val="0"/>
            <w:vAlign w:val="center"/>
          </w:tcPr>
          <w:p w14:paraId="1B1A50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资金发放对象准确</w:t>
            </w:r>
            <w:r>
              <w:rPr>
                <w:rFonts w:hint="eastAsia" w:ascii="仿宋" w:hAnsi="仿宋" w:eastAsia="仿宋" w:cs="仿宋"/>
                <w:color w:val="000000"/>
                <w:kern w:val="0"/>
                <w:sz w:val="20"/>
                <w:szCs w:val="20"/>
                <w:lang w:eastAsia="zh-CN"/>
              </w:rPr>
              <w:t>率</w:t>
            </w:r>
          </w:p>
        </w:tc>
        <w:tc>
          <w:tcPr>
            <w:tcW w:w="1154" w:type="dxa"/>
            <w:noWrap w:val="0"/>
            <w:vAlign w:val="center"/>
          </w:tcPr>
          <w:p w14:paraId="5E08FA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16" w:type="dxa"/>
            <w:noWrap w:val="0"/>
            <w:vAlign w:val="center"/>
          </w:tcPr>
          <w:p w14:paraId="3AEC1A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744" w:type="dxa"/>
            <w:noWrap w:val="0"/>
            <w:vAlign w:val="center"/>
          </w:tcPr>
          <w:p w14:paraId="2161C6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88" w:type="dxa"/>
            <w:noWrap w:val="0"/>
            <w:vAlign w:val="center"/>
          </w:tcPr>
          <w:p w14:paraId="30DF4C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96" w:type="dxa"/>
            <w:noWrap w:val="0"/>
            <w:vAlign w:val="center"/>
          </w:tcPr>
          <w:p w14:paraId="026DA5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CD60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0405FA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733B3D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0F958B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632" w:type="dxa"/>
            <w:noWrap w:val="0"/>
            <w:vAlign w:val="center"/>
          </w:tcPr>
          <w:p w14:paraId="5EEF2D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154" w:type="dxa"/>
            <w:noWrap w:val="0"/>
            <w:vAlign w:val="center"/>
          </w:tcPr>
          <w:p w14:paraId="0C5C147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16" w:type="dxa"/>
            <w:noWrap w:val="0"/>
            <w:vAlign w:val="center"/>
          </w:tcPr>
          <w:p w14:paraId="4BA575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744" w:type="dxa"/>
            <w:noWrap w:val="0"/>
            <w:vAlign w:val="center"/>
          </w:tcPr>
          <w:p w14:paraId="2E3928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88" w:type="dxa"/>
            <w:noWrap w:val="0"/>
            <w:vAlign w:val="center"/>
          </w:tcPr>
          <w:p w14:paraId="40EFA8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096" w:type="dxa"/>
            <w:noWrap w:val="0"/>
            <w:vAlign w:val="center"/>
          </w:tcPr>
          <w:p w14:paraId="5CAC5B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9F3C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EC2E60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restart"/>
            <w:noWrap w:val="0"/>
            <w:vAlign w:val="center"/>
          </w:tcPr>
          <w:p w14:paraId="0C1C0C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413F57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270A4E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C915A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32" w:type="dxa"/>
            <w:noWrap w:val="0"/>
            <w:vAlign w:val="center"/>
          </w:tcPr>
          <w:p w14:paraId="59BF4D6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缓解干部职工经济压力</w:t>
            </w:r>
          </w:p>
        </w:tc>
        <w:tc>
          <w:tcPr>
            <w:tcW w:w="1154" w:type="dxa"/>
            <w:noWrap w:val="0"/>
            <w:vAlign w:val="center"/>
          </w:tcPr>
          <w:p w14:paraId="4D83513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16" w:type="dxa"/>
            <w:noWrap w:val="0"/>
            <w:vAlign w:val="center"/>
          </w:tcPr>
          <w:p w14:paraId="0AEDDC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44" w:type="dxa"/>
            <w:noWrap w:val="0"/>
            <w:vAlign w:val="center"/>
          </w:tcPr>
          <w:p w14:paraId="2C1721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88" w:type="dxa"/>
            <w:noWrap w:val="0"/>
            <w:vAlign w:val="center"/>
          </w:tcPr>
          <w:p w14:paraId="1ABAF50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96" w:type="dxa"/>
            <w:noWrap w:val="0"/>
            <w:vAlign w:val="center"/>
          </w:tcPr>
          <w:p w14:paraId="5965CB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4E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EB9F4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56D282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11F74D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664CB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32" w:type="dxa"/>
            <w:noWrap w:val="0"/>
            <w:vAlign w:val="center"/>
          </w:tcPr>
          <w:p w14:paraId="157CB35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提高干部职工获得感，保障社会稳定发展</w:t>
            </w:r>
          </w:p>
        </w:tc>
        <w:tc>
          <w:tcPr>
            <w:tcW w:w="1154" w:type="dxa"/>
            <w:noWrap w:val="0"/>
            <w:vAlign w:val="center"/>
          </w:tcPr>
          <w:p w14:paraId="7F5112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16" w:type="dxa"/>
            <w:noWrap w:val="0"/>
            <w:vAlign w:val="center"/>
          </w:tcPr>
          <w:p w14:paraId="3C7305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44" w:type="dxa"/>
            <w:noWrap w:val="0"/>
            <w:vAlign w:val="center"/>
          </w:tcPr>
          <w:p w14:paraId="54C507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88" w:type="dxa"/>
            <w:noWrap w:val="0"/>
            <w:vAlign w:val="center"/>
          </w:tcPr>
          <w:p w14:paraId="180E4D1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96" w:type="dxa"/>
            <w:noWrap w:val="0"/>
            <w:vAlign w:val="center"/>
          </w:tcPr>
          <w:p w14:paraId="517326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0AF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4CA55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61E1456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748DDC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A4289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32" w:type="dxa"/>
            <w:noWrap w:val="0"/>
            <w:vAlign w:val="center"/>
          </w:tcPr>
          <w:p w14:paraId="5273C5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154" w:type="dxa"/>
            <w:noWrap w:val="0"/>
            <w:vAlign w:val="center"/>
          </w:tcPr>
          <w:p w14:paraId="79EAAF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16" w:type="dxa"/>
            <w:noWrap w:val="0"/>
            <w:vAlign w:val="center"/>
          </w:tcPr>
          <w:p w14:paraId="6D9CA25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44" w:type="dxa"/>
            <w:noWrap w:val="0"/>
            <w:vAlign w:val="center"/>
          </w:tcPr>
          <w:p w14:paraId="0C9B08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88" w:type="dxa"/>
            <w:noWrap w:val="0"/>
            <w:vAlign w:val="center"/>
          </w:tcPr>
          <w:p w14:paraId="21627D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96" w:type="dxa"/>
            <w:noWrap w:val="0"/>
            <w:vAlign w:val="center"/>
          </w:tcPr>
          <w:p w14:paraId="43104D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233E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AB2C2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821" w:type="dxa"/>
            <w:vMerge w:val="continue"/>
            <w:noWrap w:val="0"/>
            <w:vAlign w:val="center"/>
          </w:tcPr>
          <w:p w14:paraId="3930BE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1FA122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632" w:type="dxa"/>
            <w:noWrap w:val="0"/>
            <w:vAlign w:val="center"/>
          </w:tcPr>
          <w:p w14:paraId="1E8DE0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促进相关工作可持续发展</w:t>
            </w:r>
          </w:p>
        </w:tc>
        <w:tc>
          <w:tcPr>
            <w:tcW w:w="1154" w:type="dxa"/>
            <w:noWrap w:val="0"/>
            <w:vAlign w:val="center"/>
          </w:tcPr>
          <w:p w14:paraId="55AE71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16" w:type="dxa"/>
            <w:noWrap w:val="0"/>
            <w:vAlign w:val="center"/>
          </w:tcPr>
          <w:p w14:paraId="6913DF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44" w:type="dxa"/>
            <w:noWrap w:val="0"/>
            <w:vAlign w:val="center"/>
          </w:tcPr>
          <w:p w14:paraId="673FB2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88" w:type="dxa"/>
            <w:noWrap w:val="0"/>
            <w:vAlign w:val="center"/>
          </w:tcPr>
          <w:p w14:paraId="6BE863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96" w:type="dxa"/>
            <w:noWrap w:val="0"/>
            <w:vAlign w:val="center"/>
          </w:tcPr>
          <w:p w14:paraId="56BFD1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E8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080" w:type="dxa"/>
            <w:vMerge w:val="continue"/>
            <w:noWrap w:val="0"/>
            <w:vAlign w:val="center"/>
          </w:tcPr>
          <w:p w14:paraId="753930C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noWrap w:val="0"/>
            <w:vAlign w:val="center"/>
          </w:tcPr>
          <w:p w14:paraId="574807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3E7FC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3B50C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320" w:type="dxa"/>
            <w:noWrap w:val="0"/>
            <w:vAlign w:val="center"/>
          </w:tcPr>
          <w:p w14:paraId="7D3486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632" w:type="dxa"/>
            <w:noWrap w:val="0"/>
            <w:vAlign w:val="center"/>
          </w:tcPr>
          <w:p w14:paraId="21728B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干部职工满意度</w:t>
            </w:r>
          </w:p>
        </w:tc>
        <w:tc>
          <w:tcPr>
            <w:tcW w:w="1154" w:type="dxa"/>
            <w:noWrap w:val="0"/>
            <w:vAlign w:val="center"/>
          </w:tcPr>
          <w:p w14:paraId="272479D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16" w:type="dxa"/>
            <w:noWrap w:val="0"/>
            <w:vAlign w:val="center"/>
          </w:tcPr>
          <w:p w14:paraId="7B9DC6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auto"/>
                <w:kern w:val="0"/>
                <w:sz w:val="20"/>
                <w:szCs w:val="20"/>
                <w:lang w:val="en-US" w:eastAsia="zh-CN"/>
              </w:rPr>
              <w:t>100%</w:t>
            </w:r>
          </w:p>
        </w:tc>
        <w:tc>
          <w:tcPr>
            <w:tcW w:w="744" w:type="dxa"/>
            <w:noWrap w:val="0"/>
            <w:vAlign w:val="center"/>
          </w:tcPr>
          <w:p w14:paraId="30C755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88" w:type="dxa"/>
            <w:noWrap w:val="0"/>
            <w:vAlign w:val="center"/>
          </w:tcPr>
          <w:p w14:paraId="1F2411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96" w:type="dxa"/>
            <w:noWrap w:val="0"/>
            <w:vAlign w:val="center"/>
          </w:tcPr>
          <w:p w14:paraId="5C8E73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178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7123" w:type="dxa"/>
            <w:gridSpan w:val="6"/>
            <w:noWrap w:val="0"/>
            <w:vAlign w:val="center"/>
          </w:tcPr>
          <w:p w14:paraId="7D7A81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744" w:type="dxa"/>
            <w:noWrap w:val="0"/>
            <w:vAlign w:val="center"/>
          </w:tcPr>
          <w:p w14:paraId="6C99F0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88" w:type="dxa"/>
            <w:noWrap w:val="0"/>
            <w:vAlign w:val="center"/>
          </w:tcPr>
          <w:p w14:paraId="4B500D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096" w:type="dxa"/>
            <w:noWrap w:val="0"/>
            <w:vAlign w:val="center"/>
          </w:tcPr>
          <w:p w14:paraId="4584CC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7734BFAA">
      <w:pPr>
        <w:widowControl w:val="0"/>
        <w:kinsoku/>
        <w:autoSpaceDE/>
        <w:autoSpaceDN/>
        <w:adjustRightInd/>
        <w:snapToGrid/>
        <w:spacing w:line="600" w:lineRule="exact"/>
        <w:jc w:val="both"/>
        <w:textAlignment w:val="auto"/>
        <w:rPr>
          <w:rFonts w:hint="default" w:ascii="Times New Roman Regular" w:hAnsi="Times New Roman Regular" w:eastAsia="仿宋_GB2312" w:cs="Times New Roman Regular"/>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唐涛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2026年5月25日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13487553315 </w:t>
      </w:r>
    </w:p>
    <w:p w14:paraId="648DA80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tbl>
      <w:tblPr>
        <w:tblStyle w:val="9"/>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74"/>
        <w:gridCol w:w="4557"/>
        <w:gridCol w:w="1124"/>
        <w:gridCol w:w="1290"/>
        <w:gridCol w:w="1111"/>
        <w:gridCol w:w="1363"/>
        <w:gridCol w:w="1299"/>
        <w:gridCol w:w="1033"/>
      </w:tblGrid>
      <w:tr w14:paraId="1C161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5000" w:type="pct"/>
            <w:gridSpan w:val="8"/>
            <w:tcBorders>
              <w:top w:val="nil"/>
              <w:left w:val="nil"/>
              <w:bottom w:val="nil"/>
              <w:right w:val="nil"/>
            </w:tcBorders>
            <w:shd w:val="clear" w:color="auto" w:fill="auto"/>
            <w:noWrap/>
            <w:vAlign w:val="bottom"/>
          </w:tcPr>
          <w:p w14:paraId="5743369B">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政府性基金预算财政拨款收入支出决算表</w:t>
            </w:r>
          </w:p>
        </w:tc>
      </w:tr>
      <w:tr w14:paraId="2778D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316" w:type="pct"/>
            <w:gridSpan w:val="2"/>
            <w:tcBorders>
              <w:top w:val="nil"/>
              <w:left w:val="nil"/>
              <w:bottom w:val="nil"/>
              <w:right w:val="nil"/>
            </w:tcBorders>
            <w:shd w:val="clear" w:color="auto" w:fill="auto"/>
            <w:noWrap/>
            <w:vAlign w:val="bottom"/>
          </w:tcPr>
          <w:p w14:paraId="19C706C6">
            <w:pP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编制单位：怀化市市政设施维护中心</w:t>
            </w:r>
          </w:p>
        </w:tc>
        <w:tc>
          <w:tcPr>
            <w:tcW w:w="417" w:type="pct"/>
            <w:tcBorders>
              <w:top w:val="nil"/>
              <w:left w:val="nil"/>
              <w:bottom w:val="nil"/>
              <w:right w:val="nil"/>
            </w:tcBorders>
            <w:shd w:val="clear" w:color="auto" w:fill="auto"/>
            <w:noWrap/>
            <w:vAlign w:val="bottom"/>
          </w:tcPr>
          <w:p w14:paraId="531C0E8D">
            <w:pPr>
              <w:rPr>
                <w:rFonts w:hint="eastAsia" w:ascii="仿宋" w:hAnsi="仿宋" w:eastAsia="仿宋" w:cs="仿宋"/>
                <w:i w:val="0"/>
                <w:iCs w:val="0"/>
                <w:color w:val="000000"/>
                <w:sz w:val="20"/>
                <w:szCs w:val="20"/>
                <w:u w:val="none"/>
              </w:rPr>
            </w:pPr>
          </w:p>
        </w:tc>
        <w:tc>
          <w:tcPr>
            <w:tcW w:w="479" w:type="pct"/>
            <w:tcBorders>
              <w:top w:val="nil"/>
              <w:left w:val="nil"/>
              <w:bottom w:val="nil"/>
              <w:right w:val="nil"/>
            </w:tcBorders>
            <w:shd w:val="clear" w:color="auto" w:fill="auto"/>
            <w:noWrap/>
            <w:vAlign w:val="bottom"/>
          </w:tcPr>
          <w:p w14:paraId="053C9D24">
            <w:pPr>
              <w:rPr>
                <w:rFonts w:hint="eastAsia" w:ascii="仿宋" w:hAnsi="仿宋" w:eastAsia="仿宋" w:cs="仿宋"/>
                <w:i w:val="0"/>
                <w:iCs w:val="0"/>
                <w:color w:val="000000"/>
                <w:sz w:val="20"/>
                <w:szCs w:val="20"/>
                <w:u w:val="none"/>
              </w:rPr>
            </w:pPr>
          </w:p>
        </w:tc>
        <w:tc>
          <w:tcPr>
            <w:tcW w:w="412" w:type="pct"/>
            <w:tcBorders>
              <w:top w:val="nil"/>
              <w:left w:val="nil"/>
              <w:bottom w:val="nil"/>
              <w:right w:val="nil"/>
            </w:tcBorders>
            <w:shd w:val="clear" w:color="auto" w:fill="auto"/>
            <w:noWrap/>
            <w:vAlign w:val="bottom"/>
          </w:tcPr>
          <w:p w14:paraId="4CAA7D94">
            <w:pPr>
              <w:rPr>
                <w:rFonts w:hint="eastAsia" w:ascii="仿宋" w:hAnsi="仿宋" w:eastAsia="仿宋" w:cs="仿宋"/>
                <w:i w:val="0"/>
                <w:iCs w:val="0"/>
                <w:color w:val="000000"/>
                <w:sz w:val="20"/>
                <w:szCs w:val="20"/>
                <w:u w:val="none"/>
              </w:rPr>
            </w:pPr>
          </w:p>
        </w:tc>
        <w:tc>
          <w:tcPr>
            <w:tcW w:w="506" w:type="pct"/>
            <w:tcBorders>
              <w:top w:val="nil"/>
              <w:left w:val="nil"/>
              <w:bottom w:val="nil"/>
              <w:right w:val="nil"/>
            </w:tcBorders>
            <w:shd w:val="clear" w:color="auto" w:fill="auto"/>
            <w:noWrap/>
            <w:vAlign w:val="bottom"/>
          </w:tcPr>
          <w:p w14:paraId="17E835B5">
            <w:pPr>
              <w:rPr>
                <w:rFonts w:hint="eastAsia" w:ascii="仿宋" w:hAnsi="仿宋" w:eastAsia="仿宋" w:cs="仿宋"/>
                <w:i w:val="0"/>
                <w:iCs w:val="0"/>
                <w:color w:val="000000"/>
                <w:sz w:val="20"/>
                <w:szCs w:val="20"/>
                <w:u w:val="none"/>
              </w:rPr>
            </w:pPr>
          </w:p>
        </w:tc>
        <w:tc>
          <w:tcPr>
            <w:tcW w:w="867" w:type="pct"/>
            <w:gridSpan w:val="2"/>
            <w:tcBorders>
              <w:top w:val="nil"/>
              <w:left w:val="nil"/>
              <w:bottom w:val="nil"/>
              <w:right w:val="nil"/>
            </w:tcBorders>
            <w:shd w:val="clear" w:color="auto" w:fill="auto"/>
            <w:noWrap/>
            <w:vAlign w:val="bottom"/>
          </w:tcPr>
          <w:p w14:paraId="4EAEFEF1">
            <w:pPr>
              <w:keepNext w:val="0"/>
              <w:keepLines w:val="0"/>
              <w:widowControl/>
              <w:suppressLineNumbers w:val="0"/>
              <w:jc w:val="right"/>
              <w:textAlignment w:val="bottom"/>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金额单位：万元</w:t>
            </w:r>
          </w:p>
        </w:tc>
      </w:tr>
      <w:tr w14:paraId="3C1A8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9D1F4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w:t>
            </w:r>
          </w:p>
        </w:tc>
        <w:tc>
          <w:tcPr>
            <w:tcW w:w="417" w:type="pct"/>
            <w:vMerge w:val="restart"/>
            <w:tcBorders>
              <w:top w:val="single" w:color="000000" w:sz="4" w:space="0"/>
              <w:left w:val="nil"/>
              <w:bottom w:val="single" w:color="000000" w:sz="4" w:space="0"/>
              <w:right w:val="single" w:color="000000" w:sz="4" w:space="0"/>
            </w:tcBorders>
            <w:shd w:val="clear" w:color="FFFFFF" w:fill="C0C0C0"/>
            <w:vAlign w:val="center"/>
          </w:tcPr>
          <w:p w14:paraId="2888E3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年初结转和结余</w:t>
            </w:r>
          </w:p>
        </w:tc>
        <w:tc>
          <w:tcPr>
            <w:tcW w:w="479" w:type="pct"/>
            <w:vMerge w:val="restart"/>
            <w:tcBorders>
              <w:top w:val="single" w:color="000000" w:sz="4" w:space="0"/>
              <w:left w:val="nil"/>
              <w:bottom w:val="single" w:color="000000" w:sz="4" w:space="0"/>
              <w:right w:val="single" w:color="000000" w:sz="4" w:space="0"/>
            </w:tcBorders>
            <w:shd w:val="clear" w:color="FFFFFF" w:fill="C0C0C0"/>
            <w:vAlign w:val="center"/>
          </w:tcPr>
          <w:p w14:paraId="4FC7C3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本年收入</w:t>
            </w:r>
          </w:p>
        </w:tc>
        <w:tc>
          <w:tcPr>
            <w:tcW w:w="1402" w:type="pct"/>
            <w:gridSpan w:val="3"/>
            <w:tcBorders>
              <w:top w:val="single" w:color="000000" w:sz="4" w:space="0"/>
              <w:left w:val="nil"/>
              <w:bottom w:val="single" w:color="000000" w:sz="4" w:space="0"/>
              <w:right w:val="single" w:color="000000" w:sz="4" w:space="0"/>
            </w:tcBorders>
            <w:shd w:val="clear" w:color="FFFFFF" w:fill="C0C0C0"/>
            <w:vAlign w:val="center"/>
          </w:tcPr>
          <w:p w14:paraId="29A12B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本年支出</w:t>
            </w:r>
          </w:p>
        </w:tc>
        <w:tc>
          <w:tcPr>
            <w:tcW w:w="383" w:type="pct"/>
            <w:vMerge w:val="restart"/>
            <w:tcBorders>
              <w:top w:val="single" w:color="000000" w:sz="4" w:space="0"/>
              <w:left w:val="nil"/>
              <w:bottom w:val="single" w:color="000000" w:sz="4" w:space="0"/>
              <w:right w:val="single" w:color="000000" w:sz="4" w:space="0"/>
            </w:tcBorders>
            <w:shd w:val="clear" w:color="FFFFFF" w:fill="C0C0C0"/>
            <w:vAlign w:val="center"/>
          </w:tcPr>
          <w:p w14:paraId="5E4EBC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年末结转和结余</w:t>
            </w:r>
          </w:p>
        </w:tc>
      </w:tr>
      <w:tr w14:paraId="77FD3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vMerge w:val="restart"/>
            <w:tcBorders>
              <w:top w:val="nil"/>
              <w:left w:val="single" w:color="000000" w:sz="4" w:space="0"/>
              <w:bottom w:val="single" w:color="000000" w:sz="4" w:space="0"/>
              <w:right w:val="single" w:color="000000" w:sz="4" w:space="0"/>
            </w:tcBorders>
            <w:shd w:val="clear" w:color="FFFFFF" w:fill="C0C0C0"/>
            <w:vAlign w:val="center"/>
          </w:tcPr>
          <w:p w14:paraId="58BEA4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科目代码</w:t>
            </w:r>
          </w:p>
        </w:tc>
        <w:tc>
          <w:tcPr>
            <w:tcW w:w="1693" w:type="pct"/>
            <w:vMerge w:val="restart"/>
            <w:tcBorders>
              <w:top w:val="nil"/>
              <w:left w:val="nil"/>
              <w:bottom w:val="single" w:color="000000" w:sz="4" w:space="0"/>
              <w:right w:val="single" w:color="000000" w:sz="4" w:space="0"/>
            </w:tcBorders>
            <w:shd w:val="clear" w:color="FFFFFF" w:fill="C0C0C0"/>
            <w:noWrap/>
            <w:vAlign w:val="center"/>
          </w:tcPr>
          <w:p w14:paraId="26BF0C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科目名称</w:t>
            </w: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14:paraId="54B5F8FD">
            <w:pPr>
              <w:jc w:val="center"/>
              <w:rPr>
                <w:rFonts w:hint="eastAsia" w:ascii="仿宋" w:hAnsi="仿宋" w:eastAsia="仿宋" w:cs="仿宋"/>
                <w:i w:val="0"/>
                <w:iCs w:val="0"/>
                <w:color w:val="000000"/>
                <w:sz w:val="20"/>
                <w:szCs w:val="20"/>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C0C0C0"/>
            <w:vAlign w:val="center"/>
          </w:tcPr>
          <w:p w14:paraId="7C78F3CB">
            <w:pPr>
              <w:jc w:val="center"/>
              <w:rPr>
                <w:rFonts w:hint="eastAsia" w:ascii="仿宋" w:hAnsi="仿宋" w:eastAsia="仿宋" w:cs="仿宋"/>
                <w:i w:val="0"/>
                <w:iCs w:val="0"/>
                <w:color w:val="000000"/>
                <w:sz w:val="20"/>
                <w:szCs w:val="20"/>
                <w:u w:val="none"/>
              </w:rPr>
            </w:pPr>
          </w:p>
        </w:tc>
        <w:tc>
          <w:tcPr>
            <w:tcW w:w="412" w:type="pct"/>
            <w:vMerge w:val="restart"/>
            <w:tcBorders>
              <w:top w:val="nil"/>
              <w:left w:val="nil"/>
              <w:bottom w:val="single" w:color="000000" w:sz="4" w:space="0"/>
              <w:right w:val="single" w:color="000000" w:sz="4" w:space="0"/>
            </w:tcBorders>
            <w:shd w:val="clear" w:color="FFFFFF" w:fill="C0C0C0"/>
            <w:vAlign w:val="center"/>
          </w:tcPr>
          <w:p w14:paraId="69FB98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小计</w:t>
            </w:r>
          </w:p>
        </w:tc>
        <w:tc>
          <w:tcPr>
            <w:tcW w:w="506" w:type="pct"/>
            <w:vMerge w:val="restart"/>
            <w:tcBorders>
              <w:top w:val="nil"/>
              <w:left w:val="nil"/>
              <w:bottom w:val="single" w:color="000000" w:sz="4" w:space="0"/>
              <w:right w:val="single" w:color="000000" w:sz="4" w:space="0"/>
            </w:tcBorders>
            <w:shd w:val="clear" w:color="FFFFFF" w:fill="C0C0C0"/>
            <w:vAlign w:val="center"/>
          </w:tcPr>
          <w:p w14:paraId="251AF3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基本支出</w:t>
            </w:r>
          </w:p>
        </w:tc>
        <w:tc>
          <w:tcPr>
            <w:tcW w:w="483" w:type="pct"/>
            <w:vMerge w:val="restart"/>
            <w:tcBorders>
              <w:top w:val="nil"/>
              <w:left w:val="nil"/>
              <w:bottom w:val="single" w:color="000000" w:sz="4" w:space="0"/>
              <w:right w:val="single" w:color="000000" w:sz="4" w:space="0"/>
            </w:tcBorders>
            <w:shd w:val="clear" w:color="FFFFFF" w:fill="C0C0C0"/>
            <w:vAlign w:val="center"/>
          </w:tcPr>
          <w:p w14:paraId="6AC79E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项目支出</w:t>
            </w:r>
          </w:p>
        </w:tc>
        <w:tc>
          <w:tcPr>
            <w:tcW w:w="383" w:type="pct"/>
            <w:vMerge w:val="continue"/>
            <w:tcBorders>
              <w:top w:val="single" w:color="000000" w:sz="4" w:space="0"/>
              <w:left w:val="nil"/>
              <w:bottom w:val="single" w:color="000000" w:sz="4" w:space="0"/>
              <w:right w:val="single" w:color="000000" w:sz="4" w:space="0"/>
            </w:tcBorders>
            <w:shd w:val="clear" w:color="FFFFFF" w:fill="C0C0C0"/>
            <w:vAlign w:val="center"/>
          </w:tcPr>
          <w:p w14:paraId="7E28D270">
            <w:pPr>
              <w:jc w:val="center"/>
              <w:rPr>
                <w:rFonts w:hint="eastAsia" w:ascii="仿宋" w:hAnsi="仿宋" w:eastAsia="仿宋" w:cs="仿宋"/>
                <w:i w:val="0"/>
                <w:iCs w:val="0"/>
                <w:color w:val="000000"/>
                <w:sz w:val="20"/>
                <w:szCs w:val="20"/>
                <w:u w:val="none"/>
              </w:rPr>
            </w:pPr>
          </w:p>
        </w:tc>
      </w:tr>
      <w:tr w14:paraId="74A62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2" w:type="pct"/>
            <w:vMerge w:val="continue"/>
            <w:tcBorders>
              <w:top w:val="nil"/>
              <w:left w:val="single" w:color="000000" w:sz="4" w:space="0"/>
              <w:bottom w:val="single" w:color="000000" w:sz="4" w:space="0"/>
              <w:right w:val="single" w:color="000000" w:sz="4" w:space="0"/>
            </w:tcBorders>
            <w:shd w:val="clear" w:color="FFFFFF" w:fill="C0C0C0"/>
            <w:vAlign w:val="center"/>
          </w:tcPr>
          <w:p w14:paraId="16CDF411">
            <w:pPr>
              <w:jc w:val="center"/>
              <w:rPr>
                <w:rFonts w:hint="eastAsia" w:ascii="仿宋" w:hAnsi="仿宋" w:eastAsia="仿宋" w:cs="仿宋"/>
                <w:i w:val="0"/>
                <w:iCs w:val="0"/>
                <w:color w:val="000000"/>
                <w:sz w:val="20"/>
                <w:szCs w:val="20"/>
                <w:u w:val="none"/>
              </w:rPr>
            </w:pPr>
          </w:p>
        </w:tc>
        <w:tc>
          <w:tcPr>
            <w:tcW w:w="1693" w:type="pct"/>
            <w:vMerge w:val="continue"/>
            <w:tcBorders>
              <w:top w:val="nil"/>
              <w:left w:val="nil"/>
              <w:bottom w:val="single" w:color="000000" w:sz="4" w:space="0"/>
              <w:right w:val="single" w:color="000000" w:sz="4" w:space="0"/>
            </w:tcBorders>
            <w:shd w:val="clear" w:color="FFFFFF" w:fill="C0C0C0"/>
            <w:noWrap/>
            <w:vAlign w:val="center"/>
          </w:tcPr>
          <w:p w14:paraId="109B1D5B">
            <w:pPr>
              <w:jc w:val="center"/>
              <w:rPr>
                <w:rFonts w:hint="eastAsia" w:ascii="仿宋" w:hAnsi="仿宋" w:eastAsia="仿宋" w:cs="仿宋"/>
                <w:i w:val="0"/>
                <w:iCs w:val="0"/>
                <w:color w:val="000000"/>
                <w:sz w:val="20"/>
                <w:szCs w:val="20"/>
                <w:u w:val="none"/>
              </w:rPr>
            </w:pP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14:paraId="617E57D8">
            <w:pPr>
              <w:jc w:val="center"/>
              <w:rPr>
                <w:rFonts w:hint="eastAsia" w:ascii="仿宋" w:hAnsi="仿宋" w:eastAsia="仿宋" w:cs="仿宋"/>
                <w:i w:val="0"/>
                <w:iCs w:val="0"/>
                <w:color w:val="000000"/>
                <w:sz w:val="20"/>
                <w:szCs w:val="20"/>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C0C0C0"/>
            <w:vAlign w:val="center"/>
          </w:tcPr>
          <w:p w14:paraId="3810002D">
            <w:pPr>
              <w:jc w:val="center"/>
              <w:rPr>
                <w:rFonts w:hint="eastAsia" w:ascii="仿宋" w:hAnsi="仿宋" w:eastAsia="仿宋" w:cs="仿宋"/>
                <w:i w:val="0"/>
                <w:iCs w:val="0"/>
                <w:color w:val="000000"/>
                <w:sz w:val="20"/>
                <w:szCs w:val="20"/>
                <w:u w:val="none"/>
              </w:rPr>
            </w:pPr>
          </w:p>
        </w:tc>
        <w:tc>
          <w:tcPr>
            <w:tcW w:w="412" w:type="pct"/>
            <w:vMerge w:val="continue"/>
            <w:tcBorders>
              <w:top w:val="nil"/>
              <w:left w:val="nil"/>
              <w:bottom w:val="single" w:color="000000" w:sz="4" w:space="0"/>
              <w:right w:val="single" w:color="000000" w:sz="4" w:space="0"/>
            </w:tcBorders>
            <w:shd w:val="clear" w:color="FFFFFF" w:fill="C0C0C0"/>
            <w:vAlign w:val="center"/>
          </w:tcPr>
          <w:p w14:paraId="60E7FCF5">
            <w:pPr>
              <w:jc w:val="center"/>
              <w:rPr>
                <w:rFonts w:hint="eastAsia" w:ascii="仿宋" w:hAnsi="仿宋" w:eastAsia="仿宋" w:cs="仿宋"/>
                <w:i w:val="0"/>
                <w:iCs w:val="0"/>
                <w:color w:val="000000"/>
                <w:sz w:val="20"/>
                <w:szCs w:val="20"/>
                <w:u w:val="none"/>
              </w:rPr>
            </w:pPr>
          </w:p>
        </w:tc>
        <w:tc>
          <w:tcPr>
            <w:tcW w:w="506" w:type="pct"/>
            <w:vMerge w:val="continue"/>
            <w:tcBorders>
              <w:top w:val="nil"/>
              <w:left w:val="nil"/>
              <w:bottom w:val="single" w:color="000000" w:sz="4" w:space="0"/>
              <w:right w:val="single" w:color="000000" w:sz="4" w:space="0"/>
            </w:tcBorders>
            <w:shd w:val="clear" w:color="FFFFFF" w:fill="C0C0C0"/>
            <w:vAlign w:val="center"/>
          </w:tcPr>
          <w:p w14:paraId="4B9D3C43">
            <w:pPr>
              <w:jc w:val="center"/>
              <w:rPr>
                <w:rFonts w:hint="eastAsia" w:ascii="仿宋" w:hAnsi="仿宋" w:eastAsia="仿宋" w:cs="仿宋"/>
                <w:i w:val="0"/>
                <w:iCs w:val="0"/>
                <w:color w:val="000000"/>
                <w:sz w:val="20"/>
                <w:szCs w:val="20"/>
                <w:u w:val="none"/>
              </w:rPr>
            </w:pPr>
          </w:p>
        </w:tc>
        <w:tc>
          <w:tcPr>
            <w:tcW w:w="483" w:type="pct"/>
            <w:vMerge w:val="continue"/>
            <w:tcBorders>
              <w:top w:val="nil"/>
              <w:left w:val="nil"/>
              <w:bottom w:val="single" w:color="000000" w:sz="4" w:space="0"/>
              <w:right w:val="single" w:color="000000" w:sz="4" w:space="0"/>
            </w:tcBorders>
            <w:shd w:val="clear" w:color="FFFFFF" w:fill="C0C0C0"/>
            <w:vAlign w:val="center"/>
          </w:tcPr>
          <w:p w14:paraId="54E93257">
            <w:pPr>
              <w:jc w:val="center"/>
              <w:rPr>
                <w:rFonts w:hint="eastAsia" w:ascii="仿宋" w:hAnsi="仿宋" w:eastAsia="仿宋" w:cs="仿宋"/>
                <w:i w:val="0"/>
                <w:iCs w:val="0"/>
                <w:color w:val="000000"/>
                <w:sz w:val="20"/>
                <w:szCs w:val="20"/>
                <w:u w:val="none"/>
              </w:rPr>
            </w:pPr>
          </w:p>
        </w:tc>
        <w:tc>
          <w:tcPr>
            <w:tcW w:w="383" w:type="pct"/>
            <w:vMerge w:val="continue"/>
            <w:tcBorders>
              <w:top w:val="single" w:color="000000" w:sz="4" w:space="0"/>
              <w:left w:val="nil"/>
              <w:bottom w:val="single" w:color="000000" w:sz="4" w:space="0"/>
              <w:right w:val="single" w:color="000000" w:sz="4" w:space="0"/>
            </w:tcBorders>
            <w:shd w:val="clear" w:color="FFFFFF" w:fill="C0C0C0"/>
            <w:vAlign w:val="center"/>
          </w:tcPr>
          <w:p w14:paraId="282FC270">
            <w:pPr>
              <w:jc w:val="center"/>
              <w:rPr>
                <w:rFonts w:hint="eastAsia" w:ascii="仿宋" w:hAnsi="仿宋" w:eastAsia="仿宋" w:cs="仿宋"/>
                <w:i w:val="0"/>
                <w:iCs w:val="0"/>
                <w:color w:val="000000"/>
                <w:sz w:val="20"/>
                <w:szCs w:val="20"/>
                <w:u w:val="none"/>
              </w:rPr>
            </w:pPr>
          </w:p>
        </w:tc>
      </w:tr>
      <w:tr w14:paraId="07ABF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2" w:type="pct"/>
            <w:vMerge w:val="continue"/>
            <w:tcBorders>
              <w:top w:val="nil"/>
              <w:left w:val="single" w:color="000000" w:sz="4" w:space="0"/>
              <w:bottom w:val="single" w:color="000000" w:sz="4" w:space="0"/>
              <w:right w:val="single" w:color="000000" w:sz="4" w:space="0"/>
            </w:tcBorders>
            <w:shd w:val="clear" w:color="FFFFFF" w:fill="C0C0C0"/>
            <w:vAlign w:val="center"/>
          </w:tcPr>
          <w:p w14:paraId="4282AAF1">
            <w:pPr>
              <w:jc w:val="center"/>
              <w:rPr>
                <w:rFonts w:hint="eastAsia" w:ascii="仿宋" w:hAnsi="仿宋" w:eastAsia="仿宋" w:cs="仿宋"/>
                <w:i w:val="0"/>
                <w:iCs w:val="0"/>
                <w:color w:val="000000"/>
                <w:sz w:val="20"/>
                <w:szCs w:val="20"/>
                <w:u w:val="none"/>
              </w:rPr>
            </w:pPr>
          </w:p>
        </w:tc>
        <w:tc>
          <w:tcPr>
            <w:tcW w:w="1693" w:type="pct"/>
            <w:vMerge w:val="continue"/>
            <w:tcBorders>
              <w:top w:val="nil"/>
              <w:left w:val="nil"/>
              <w:bottom w:val="single" w:color="000000" w:sz="4" w:space="0"/>
              <w:right w:val="single" w:color="000000" w:sz="4" w:space="0"/>
            </w:tcBorders>
            <w:shd w:val="clear" w:color="FFFFFF" w:fill="C0C0C0"/>
            <w:noWrap/>
            <w:vAlign w:val="center"/>
          </w:tcPr>
          <w:p w14:paraId="6DB97EDB">
            <w:pPr>
              <w:jc w:val="center"/>
              <w:rPr>
                <w:rFonts w:hint="eastAsia" w:ascii="仿宋" w:hAnsi="仿宋" w:eastAsia="仿宋" w:cs="仿宋"/>
                <w:i w:val="0"/>
                <w:iCs w:val="0"/>
                <w:color w:val="000000"/>
                <w:sz w:val="20"/>
                <w:szCs w:val="20"/>
                <w:u w:val="none"/>
              </w:rPr>
            </w:pP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14:paraId="5CBAAAE8">
            <w:pPr>
              <w:jc w:val="center"/>
              <w:rPr>
                <w:rFonts w:hint="eastAsia" w:ascii="仿宋" w:hAnsi="仿宋" w:eastAsia="仿宋" w:cs="仿宋"/>
                <w:i w:val="0"/>
                <w:iCs w:val="0"/>
                <w:color w:val="000000"/>
                <w:sz w:val="20"/>
                <w:szCs w:val="20"/>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C0C0C0"/>
            <w:vAlign w:val="center"/>
          </w:tcPr>
          <w:p w14:paraId="62AB930F">
            <w:pPr>
              <w:jc w:val="center"/>
              <w:rPr>
                <w:rFonts w:hint="eastAsia" w:ascii="仿宋" w:hAnsi="仿宋" w:eastAsia="仿宋" w:cs="仿宋"/>
                <w:i w:val="0"/>
                <w:iCs w:val="0"/>
                <w:color w:val="000000"/>
                <w:sz w:val="20"/>
                <w:szCs w:val="20"/>
                <w:u w:val="none"/>
              </w:rPr>
            </w:pPr>
          </w:p>
        </w:tc>
        <w:tc>
          <w:tcPr>
            <w:tcW w:w="412" w:type="pct"/>
            <w:vMerge w:val="continue"/>
            <w:tcBorders>
              <w:top w:val="nil"/>
              <w:left w:val="nil"/>
              <w:bottom w:val="single" w:color="000000" w:sz="4" w:space="0"/>
              <w:right w:val="single" w:color="000000" w:sz="4" w:space="0"/>
            </w:tcBorders>
            <w:shd w:val="clear" w:color="FFFFFF" w:fill="C0C0C0"/>
            <w:vAlign w:val="center"/>
          </w:tcPr>
          <w:p w14:paraId="79CE0DE5">
            <w:pPr>
              <w:jc w:val="center"/>
              <w:rPr>
                <w:rFonts w:hint="eastAsia" w:ascii="仿宋" w:hAnsi="仿宋" w:eastAsia="仿宋" w:cs="仿宋"/>
                <w:i w:val="0"/>
                <w:iCs w:val="0"/>
                <w:color w:val="000000"/>
                <w:sz w:val="20"/>
                <w:szCs w:val="20"/>
                <w:u w:val="none"/>
              </w:rPr>
            </w:pPr>
          </w:p>
        </w:tc>
        <w:tc>
          <w:tcPr>
            <w:tcW w:w="506" w:type="pct"/>
            <w:vMerge w:val="continue"/>
            <w:tcBorders>
              <w:top w:val="nil"/>
              <w:left w:val="nil"/>
              <w:bottom w:val="single" w:color="000000" w:sz="4" w:space="0"/>
              <w:right w:val="single" w:color="000000" w:sz="4" w:space="0"/>
            </w:tcBorders>
            <w:shd w:val="clear" w:color="FFFFFF" w:fill="C0C0C0"/>
            <w:vAlign w:val="center"/>
          </w:tcPr>
          <w:p w14:paraId="753DC900">
            <w:pPr>
              <w:jc w:val="center"/>
              <w:rPr>
                <w:rFonts w:hint="eastAsia" w:ascii="仿宋" w:hAnsi="仿宋" w:eastAsia="仿宋" w:cs="仿宋"/>
                <w:i w:val="0"/>
                <w:iCs w:val="0"/>
                <w:color w:val="000000"/>
                <w:sz w:val="20"/>
                <w:szCs w:val="20"/>
                <w:u w:val="none"/>
              </w:rPr>
            </w:pPr>
          </w:p>
        </w:tc>
        <w:tc>
          <w:tcPr>
            <w:tcW w:w="483" w:type="pct"/>
            <w:vMerge w:val="continue"/>
            <w:tcBorders>
              <w:top w:val="nil"/>
              <w:left w:val="nil"/>
              <w:bottom w:val="single" w:color="000000" w:sz="4" w:space="0"/>
              <w:right w:val="single" w:color="000000" w:sz="4" w:space="0"/>
            </w:tcBorders>
            <w:shd w:val="clear" w:color="FFFFFF" w:fill="C0C0C0"/>
            <w:vAlign w:val="center"/>
          </w:tcPr>
          <w:p w14:paraId="6B40448B">
            <w:pPr>
              <w:jc w:val="center"/>
              <w:rPr>
                <w:rFonts w:hint="eastAsia" w:ascii="仿宋" w:hAnsi="仿宋" w:eastAsia="仿宋" w:cs="仿宋"/>
                <w:i w:val="0"/>
                <w:iCs w:val="0"/>
                <w:color w:val="000000"/>
                <w:sz w:val="20"/>
                <w:szCs w:val="20"/>
                <w:u w:val="none"/>
              </w:rPr>
            </w:pPr>
          </w:p>
        </w:tc>
        <w:tc>
          <w:tcPr>
            <w:tcW w:w="383" w:type="pct"/>
            <w:vMerge w:val="continue"/>
            <w:tcBorders>
              <w:top w:val="single" w:color="000000" w:sz="4" w:space="0"/>
              <w:left w:val="nil"/>
              <w:bottom w:val="single" w:color="000000" w:sz="4" w:space="0"/>
              <w:right w:val="single" w:color="000000" w:sz="4" w:space="0"/>
            </w:tcBorders>
            <w:shd w:val="clear" w:color="FFFFFF" w:fill="C0C0C0"/>
            <w:vAlign w:val="center"/>
          </w:tcPr>
          <w:p w14:paraId="12019B86">
            <w:pPr>
              <w:jc w:val="center"/>
              <w:rPr>
                <w:rFonts w:hint="eastAsia" w:ascii="仿宋" w:hAnsi="仿宋" w:eastAsia="仿宋" w:cs="仿宋"/>
                <w:i w:val="0"/>
                <w:iCs w:val="0"/>
                <w:color w:val="000000"/>
                <w:sz w:val="20"/>
                <w:szCs w:val="20"/>
                <w:u w:val="none"/>
              </w:rPr>
            </w:pPr>
          </w:p>
        </w:tc>
      </w:tr>
      <w:tr w14:paraId="47AF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nil"/>
              <w:left w:val="single" w:color="000000" w:sz="4" w:space="0"/>
              <w:bottom w:val="single" w:color="000000" w:sz="4" w:space="0"/>
              <w:right w:val="single" w:color="000000" w:sz="4" w:space="0"/>
            </w:tcBorders>
            <w:shd w:val="clear" w:color="FFFFFF" w:fill="C0C0C0"/>
            <w:noWrap/>
            <w:vAlign w:val="center"/>
          </w:tcPr>
          <w:p w14:paraId="6DBB6A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栏次</w:t>
            </w:r>
          </w:p>
        </w:tc>
        <w:tc>
          <w:tcPr>
            <w:tcW w:w="417" w:type="pct"/>
            <w:tcBorders>
              <w:top w:val="nil"/>
              <w:left w:val="nil"/>
              <w:bottom w:val="single" w:color="000000" w:sz="4" w:space="0"/>
              <w:right w:val="single" w:color="000000" w:sz="4" w:space="0"/>
            </w:tcBorders>
            <w:shd w:val="clear" w:color="FFFFFF" w:fill="C0C0C0"/>
            <w:noWrap/>
            <w:vAlign w:val="center"/>
          </w:tcPr>
          <w:p w14:paraId="20EB85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79" w:type="pct"/>
            <w:tcBorders>
              <w:top w:val="nil"/>
              <w:left w:val="nil"/>
              <w:bottom w:val="single" w:color="000000" w:sz="4" w:space="0"/>
              <w:right w:val="single" w:color="000000" w:sz="4" w:space="0"/>
            </w:tcBorders>
            <w:shd w:val="clear" w:color="FFFFFF" w:fill="C0C0C0"/>
            <w:noWrap/>
            <w:vAlign w:val="center"/>
          </w:tcPr>
          <w:p w14:paraId="38EF3B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412" w:type="pct"/>
            <w:tcBorders>
              <w:top w:val="nil"/>
              <w:left w:val="nil"/>
              <w:bottom w:val="single" w:color="000000" w:sz="4" w:space="0"/>
              <w:right w:val="single" w:color="000000" w:sz="4" w:space="0"/>
            </w:tcBorders>
            <w:shd w:val="clear" w:color="FFFFFF" w:fill="C0C0C0"/>
            <w:noWrap/>
            <w:vAlign w:val="center"/>
          </w:tcPr>
          <w:p w14:paraId="2AA6F8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506" w:type="pct"/>
            <w:tcBorders>
              <w:top w:val="nil"/>
              <w:left w:val="nil"/>
              <w:bottom w:val="single" w:color="000000" w:sz="4" w:space="0"/>
              <w:right w:val="single" w:color="000000" w:sz="4" w:space="0"/>
            </w:tcBorders>
            <w:shd w:val="clear" w:color="FFFFFF" w:fill="C0C0C0"/>
            <w:noWrap/>
            <w:vAlign w:val="center"/>
          </w:tcPr>
          <w:p w14:paraId="7FE6E5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483" w:type="pct"/>
            <w:tcBorders>
              <w:top w:val="nil"/>
              <w:left w:val="nil"/>
              <w:bottom w:val="single" w:color="000000" w:sz="4" w:space="0"/>
              <w:right w:val="single" w:color="000000" w:sz="4" w:space="0"/>
            </w:tcBorders>
            <w:shd w:val="clear" w:color="FFFFFF" w:fill="C0C0C0"/>
            <w:noWrap/>
            <w:vAlign w:val="center"/>
          </w:tcPr>
          <w:p w14:paraId="54A9A7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383" w:type="pct"/>
            <w:tcBorders>
              <w:top w:val="nil"/>
              <w:left w:val="nil"/>
              <w:bottom w:val="single" w:color="000000" w:sz="4" w:space="0"/>
              <w:right w:val="single" w:color="000000" w:sz="4" w:space="0"/>
            </w:tcBorders>
            <w:shd w:val="clear" w:color="FFFFFF" w:fill="C0C0C0"/>
            <w:noWrap/>
            <w:vAlign w:val="center"/>
          </w:tcPr>
          <w:p w14:paraId="796790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r>
      <w:tr w14:paraId="02B06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nil"/>
              <w:left w:val="single" w:color="000000" w:sz="4" w:space="0"/>
              <w:bottom w:val="single" w:color="000000" w:sz="4" w:space="0"/>
              <w:right w:val="single" w:color="000000" w:sz="4" w:space="0"/>
            </w:tcBorders>
            <w:shd w:val="clear" w:color="FFFFFF" w:fill="C0C0C0"/>
            <w:noWrap/>
            <w:vAlign w:val="center"/>
          </w:tcPr>
          <w:p w14:paraId="421386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合计</w:t>
            </w:r>
          </w:p>
        </w:tc>
        <w:tc>
          <w:tcPr>
            <w:tcW w:w="417" w:type="pct"/>
            <w:tcBorders>
              <w:top w:val="nil"/>
              <w:left w:val="nil"/>
              <w:bottom w:val="single" w:color="000000" w:sz="4" w:space="0"/>
              <w:right w:val="single" w:color="000000" w:sz="4" w:space="0"/>
            </w:tcBorders>
            <w:shd w:val="clear" w:color="auto" w:fill="auto"/>
            <w:noWrap/>
            <w:vAlign w:val="center"/>
          </w:tcPr>
          <w:p w14:paraId="43083A34">
            <w:pPr>
              <w:jc w:val="right"/>
              <w:rPr>
                <w:rFonts w:hint="eastAsia" w:ascii="仿宋" w:hAnsi="仿宋" w:eastAsia="仿宋" w:cs="仿宋"/>
                <w:b/>
                <w:bCs/>
                <w:i w:val="0"/>
                <w:iCs w:val="0"/>
                <w:color w:val="000000"/>
                <w:kern w:val="2"/>
                <w:sz w:val="20"/>
                <w:szCs w:val="20"/>
                <w:u w:val="none"/>
                <w:lang w:val="en-US" w:eastAsia="zh-CN" w:bidi="ar-SA"/>
              </w:rPr>
            </w:pPr>
          </w:p>
        </w:tc>
        <w:tc>
          <w:tcPr>
            <w:tcW w:w="479" w:type="pct"/>
            <w:tcBorders>
              <w:top w:val="nil"/>
              <w:left w:val="nil"/>
              <w:bottom w:val="single" w:color="000000" w:sz="4" w:space="0"/>
              <w:right w:val="single" w:color="000000" w:sz="4" w:space="0"/>
            </w:tcBorders>
            <w:shd w:val="clear" w:color="auto" w:fill="auto"/>
            <w:noWrap/>
            <w:vAlign w:val="center"/>
          </w:tcPr>
          <w:p w14:paraId="06A2F738">
            <w:pPr>
              <w:jc w:val="right"/>
              <w:rPr>
                <w:rFonts w:hint="default" w:ascii="仿宋" w:hAnsi="仿宋" w:eastAsia="仿宋" w:cs="仿宋"/>
                <w:b/>
                <w:bCs/>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 xml:space="preserve">915.89 </w:t>
            </w:r>
          </w:p>
        </w:tc>
        <w:tc>
          <w:tcPr>
            <w:tcW w:w="412" w:type="pct"/>
            <w:tcBorders>
              <w:top w:val="nil"/>
              <w:left w:val="nil"/>
              <w:bottom w:val="single" w:color="000000" w:sz="4" w:space="0"/>
              <w:right w:val="single" w:color="000000" w:sz="4" w:space="0"/>
            </w:tcBorders>
            <w:shd w:val="clear" w:color="auto" w:fill="auto"/>
            <w:noWrap/>
            <w:vAlign w:val="center"/>
          </w:tcPr>
          <w:p w14:paraId="3895EDFF">
            <w:pPr>
              <w:jc w:val="right"/>
              <w:rPr>
                <w:rFonts w:hint="default" w:ascii="仿宋" w:hAnsi="仿宋" w:eastAsia="仿宋" w:cs="仿宋"/>
                <w:b/>
                <w:bCs/>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 xml:space="preserve">915.89 </w:t>
            </w:r>
          </w:p>
        </w:tc>
        <w:tc>
          <w:tcPr>
            <w:tcW w:w="506" w:type="pct"/>
            <w:tcBorders>
              <w:top w:val="nil"/>
              <w:left w:val="nil"/>
              <w:bottom w:val="single" w:color="000000" w:sz="4" w:space="0"/>
              <w:right w:val="single" w:color="000000" w:sz="4" w:space="0"/>
            </w:tcBorders>
            <w:shd w:val="clear" w:color="auto" w:fill="auto"/>
            <w:noWrap/>
            <w:vAlign w:val="center"/>
          </w:tcPr>
          <w:p w14:paraId="51D6B5FD">
            <w:pPr>
              <w:jc w:val="right"/>
              <w:rPr>
                <w:rFonts w:hint="eastAsia" w:ascii="仿宋" w:hAnsi="仿宋" w:eastAsia="仿宋" w:cs="仿宋"/>
                <w:b/>
                <w:bCs/>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0</w:t>
            </w:r>
          </w:p>
        </w:tc>
        <w:tc>
          <w:tcPr>
            <w:tcW w:w="483" w:type="pct"/>
            <w:tcBorders>
              <w:top w:val="nil"/>
              <w:left w:val="nil"/>
              <w:bottom w:val="single" w:color="000000" w:sz="4" w:space="0"/>
              <w:right w:val="single" w:color="000000" w:sz="4" w:space="0"/>
            </w:tcBorders>
            <w:shd w:val="clear" w:color="auto" w:fill="auto"/>
            <w:noWrap/>
            <w:vAlign w:val="center"/>
          </w:tcPr>
          <w:p w14:paraId="39619E09">
            <w:pPr>
              <w:jc w:val="right"/>
              <w:rPr>
                <w:rFonts w:hint="default" w:ascii="仿宋" w:hAnsi="仿宋" w:eastAsia="仿宋" w:cs="仿宋"/>
                <w:b/>
                <w:bCs/>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 xml:space="preserve">915.89 </w:t>
            </w:r>
          </w:p>
        </w:tc>
        <w:tc>
          <w:tcPr>
            <w:tcW w:w="383" w:type="pct"/>
            <w:tcBorders>
              <w:top w:val="nil"/>
              <w:left w:val="nil"/>
              <w:bottom w:val="single" w:color="000000" w:sz="4" w:space="0"/>
              <w:right w:val="single" w:color="000000" w:sz="4" w:space="0"/>
            </w:tcBorders>
            <w:shd w:val="clear" w:color="auto" w:fill="auto"/>
            <w:noWrap/>
            <w:vAlign w:val="center"/>
          </w:tcPr>
          <w:p w14:paraId="2CD3532A">
            <w:pPr>
              <w:jc w:val="right"/>
              <w:rPr>
                <w:rFonts w:hint="eastAsia" w:ascii="仿宋" w:hAnsi="仿宋" w:eastAsia="仿宋" w:cs="仿宋"/>
                <w:b/>
                <w:bCs/>
                <w:i w:val="0"/>
                <w:iCs w:val="0"/>
                <w:color w:val="000000"/>
                <w:sz w:val="20"/>
                <w:szCs w:val="20"/>
                <w:u w:val="none"/>
                <w:lang w:val="en-US" w:eastAsia="zh-CN"/>
              </w:rPr>
            </w:pPr>
          </w:p>
        </w:tc>
      </w:tr>
      <w:tr w14:paraId="07E5D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6D919CC4">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2121301</w:t>
            </w:r>
          </w:p>
        </w:tc>
        <w:tc>
          <w:tcPr>
            <w:tcW w:w="1693" w:type="pct"/>
            <w:tcBorders>
              <w:top w:val="nil"/>
              <w:left w:val="nil"/>
              <w:bottom w:val="single" w:color="000000" w:sz="4" w:space="0"/>
              <w:right w:val="single" w:color="000000" w:sz="4" w:space="0"/>
            </w:tcBorders>
            <w:shd w:val="clear" w:color="auto" w:fill="auto"/>
            <w:noWrap/>
            <w:vAlign w:val="center"/>
          </w:tcPr>
          <w:p w14:paraId="10DE9FCC">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城市公共设施</w:t>
            </w:r>
          </w:p>
        </w:tc>
        <w:tc>
          <w:tcPr>
            <w:tcW w:w="417" w:type="pct"/>
            <w:tcBorders>
              <w:top w:val="nil"/>
              <w:left w:val="nil"/>
              <w:bottom w:val="single" w:color="000000" w:sz="4" w:space="0"/>
              <w:right w:val="single" w:color="000000" w:sz="4" w:space="0"/>
            </w:tcBorders>
            <w:shd w:val="clear" w:color="auto" w:fill="auto"/>
            <w:noWrap/>
            <w:vAlign w:val="center"/>
          </w:tcPr>
          <w:p w14:paraId="1BADC9D5">
            <w:pPr>
              <w:jc w:val="right"/>
              <w:rPr>
                <w:rFonts w:hint="eastAsia" w:ascii="仿宋" w:hAnsi="仿宋" w:eastAsia="仿宋" w:cs="仿宋"/>
                <w:i w:val="0"/>
                <w:iCs w:val="0"/>
                <w:color w:val="000000"/>
                <w:sz w:val="20"/>
                <w:szCs w:val="20"/>
                <w:u w:val="none"/>
                <w:lang w:val="en-US" w:eastAsia="zh-CN"/>
              </w:rPr>
            </w:pPr>
          </w:p>
        </w:tc>
        <w:tc>
          <w:tcPr>
            <w:tcW w:w="479" w:type="pct"/>
            <w:tcBorders>
              <w:top w:val="nil"/>
              <w:left w:val="nil"/>
              <w:bottom w:val="single" w:color="000000" w:sz="4" w:space="0"/>
              <w:right w:val="single" w:color="000000" w:sz="4" w:space="0"/>
            </w:tcBorders>
            <w:shd w:val="clear" w:color="auto" w:fill="auto"/>
            <w:noWrap/>
            <w:vAlign w:val="center"/>
          </w:tcPr>
          <w:p w14:paraId="016816A8">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50.00 </w:t>
            </w:r>
          </w:p>
        </w:tc>
        <w:tc>
          <w:tcPr>
            <w:tcW w:w="412" w:type="pct"/>
            <w:tcBorders>
              <w:top w:val="nil"/>
              <w:left w:val="nil"/>
              <w:bottom w:val="single" w:color="000000" w:sz="4" w:space="0"/>
              <w:right w:val="single" w:color="000000" w:sz="4" w:space="0"/>
            </w:tcBorders>
            <w:shd w:val="clear" w:color="auto" w:fill="auto"/>
            <w:noWrap/>
            <w:vAlign w:val="center"/>
          </w:tcPr>
          <w:p w14:paraId="6E05B6D4">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50.00 </w:t>
            </w:r>
          </w:p>
        </w:tc>
        <w:tc>
          <w:tcPr>
            <w:tcW w:w="506" w:type="pct"/>
            <w:tcBorders>
              <w:top w:val="nil"/>
              <w:left w:val="nil"/>
              <w:bottom w:val="single" w:color="000000" w:sz="4" w:space="0"/>
              <w:right w:val="single" w:color="000000" w:sz="4" w:space="0"/>
            </w:tcBorders>
            <w:shd w:val="clear" w:color="auto" w:fill="auto"/>
            <w:noWrap/>
            <w:vAlign w:val="center"/>
          </w:tcPr>
          <w:p w14:paraId="732C0F13">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0</w:t>
            </w:r>
          </w:p>
        </w:tc>
        <w:tc>
          <w:tcPr>
            <w:tcW w:w="483" w:type="pct"/>
            <w:tcBorders>
              <w:top w:val="nil"/>
              <w:left w:val="nil"/>
              <w:bottom w:val="single" w:color="000000" w:sz="4" w:space="0"/>
              <w:right w:val="single" w:color="000000" w:sz="4" w:space="0"/>
            </w:tcBorders>
            <w:shd w:val="clear" w:color="auto" w:fill="auto"/>
            <w:noWrap/>
            <w:vAlign w:val="center"/>
          </w:tcPr>
          <w:p w14:paraId="699BDFB9">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50.00 </w:t>
            </w:r>
          </w:p>
        </w:tc>
        <w:tc>
          <w:tcPr>
            <w:tcW w:w="383" w:type="pct"/>
            <w:tcBorders>
              <w:top w:val="nil"/>
              <w:left w:val="nil"/>
              <w:bottom w:val="single" w:color="000000" w:sz="4" w:space="0"/>
              <w:right w:val="single" w:color="000000" w:sz="4" w:space="0"/>
            </w:tcBorders>
            <w:shd w:val="clear" w:color="auto" w:fill="auto"/>
            <w:noWrap/>
            <w:vAlign w:val="center"/>
          </w:tcPr>
          <w:p w14:paraId="13B3FC8A">
            <w:pPr>
              <w:jc w:val="right"/>
              <w:rPr>
                <w:rFonts w:hint="eastAsia" w:ascii="仿宋" w:hAnsi="仿宋" w:eastAsia="仿宋" w:cs="仿宋"/>
                <w:i w:val="0"/>
                <w:iCs w:val="0"/>
                <w:color w:val="000000"/>
                <w:sz w:val="20"/>
                <w:szCs w:val="20"/>
                <w:u w:val="none"/>
                <w:lang w:val="en-US" w:eastAsia="zh-CN"/>
              </w:rPr>
            </w:pPr>
          </w:p>
        </w:tc>
      </w:tr>
      <w:tr w14:paraId="659C0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35B4CFF8">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2121399</w:t>
            </w:r>
          </w:p>
        </w:tc>
        <w:tc>
          <w:tcPr>
            <w:tcW w:w="1693" w:type="pct"/>
            <w:tcBorders>
              <w:top w:val="nil"/>
              <w:left w:val="nil"/>
              <w:bottom w:val="single" w:color="000000" w:sz="4" w:space="0"/>
              <w:right w:val="single" w:color="000000" w:sz="4" w:space="0"/>
            </w:tcBorders>
            <w:shd w:val="clear" w:color="auto" w:fill="auto"/>
            <w:noWrap/>
            <w:vAlign w:val="center"/>
          </w:tcPr>
          <w:p w14:paraId="5D23C827">
            <w:pPr>
              <w:jc w:val="lef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rPr>
              <w:t>其他城市基础设施配套费安排的支出</w:t>
            </w:r>
          </w:p>
        </w:tc>
        <w:tc>
          <w:tcPr>
            <w:tcW w:w="417" w:type="pct"/>
            <w:tcBorders>
              <w:top w:val="nil"/>
              <w:left w:val="nil"/>
              <w:bottom w:val="single" w:color="000000" w:sz="4" w:space="0"/>
              <w:right w:val="single" w:color="000000" w:sz="4" w:space="0"/>
            </w:tcBorders>
            <w:shd w:val="clear" w:color="auto" w:fill="auto"/>
            <w:noWrap/>
            <w:vAlign w:val="center"/>
          </w:tcPr>
          <w:p w14:paraId="5D844640">
            <w:pPr>
              <w:jc w:val="right"/>
              <w:rPr>
                <w:rFonts w:hint="eastAsia" w:ascii="仿宋" w:hAnsi="仿宋" w:eastAsia="仿宋" w:cs="仿宋"/>
                <w:i w:val="0"/>
                <w:iCs w:val="0"/>
                <w:color w:val="000000"/>
                <w:sz w:val="20"/>
                <w:szCs w:val="20"/>
                <w:u w:val="none"/>
                <w:lang w:val="en-US" w:eastAsia="zh-CN"/>
              </w:rPr>
            </w:pPr>
          </w:p>
        </w:tc>
        <w:tc>
          <w:tcPr>
            <w:tcW w:w="479" w:type="pct"/>
            <w:tcBorders>
              <w:top w:val="nil"/>
              <w:left w:val="nil"/>
              <w:bottom w:val="single" w:color="000000" w:sz="4" w:space="0"/>
              <w:right w:val="single" w:color="000000" w:sz="4" w:space="0"/>
            </w:tcBorders>
            <w:shd w:val="clear" w:color="auto" w:fill="auto"/>
            <w:noWrap/>
            <w:vAlign w:val="center"/>
          </w:tcPr>
          <w:p w14:paraId="09A84BCE">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617.89 </w:t>
            </w:r>
          </w:p>
        </w:tc>
        <w:tc>
          <w:tcPr>
            <w:tcW w:w="412" w:type="pct"/>
            <w:tcBorders>
              <w:top w:val="nil"/>
              <w:left w:val="nil"/>
              <w:bottom w:val="single" w:color="000000" w:sz="4" w:space="0"/>
              <w:right w:val="single" w:color="000000" w:sz="4" w:space="0"/>
            </w:tcBorders>
            <w:shd w:val="clear" w:color="auto" w:fill="auto"/>
            <w:noWrap/>
            <w:vAlign w:val="center"/>
          </w:tcPr>
          <w:p w14:paraId="216645CF">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617.89 </w:t>
            </w:r>
          </w:p>
        </w:tc>
        <w:tc>
          <w:tcPr>
            <w:tcW w:w="506" w:type="pct"/>
            <w:tcBorders>
              <w:top w:val="nil"/>
              <w:left w:val="nil"/>
              <w:bottom w:val="single" w:color="000000" w:sz="4" w:space="0"/>
              <w:right w:val="single" w:color="000000" w:sz="4" w:space="0"/>
            </w:tcBorders>
            <w:shd w:val="clear" w:color="auto" w:fill="auto"/>
            <w:noWrap/>
            <w:vAlign w:val="center"/>
          </w:tcPr>
          <w:p w14:paraId="4C6788E3">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0</w:t>
            </w:r>
          </w:p>
        </w:tc>
        <w:tc>
          <w:tcPr>
            <w:tcW w:w="483" w:type="pct"/>
            <w:tcBorders>
              <w:top w:val="nil"/>
              <w:left w:val="nil"/>
              <w:bottom w:val="single" w:color="000000" w:sz="4" w:space="0"/>
              <w:right w:val="single" w:color="000000" w:sz="4" w:space="0"/>
            </w:tcBorders>
            <w:shd w:val="clear" w:color="auto" w:fill="auto"/>
            <w:noWrap/>
            <w:vAlign w:val="center"/>
          </w:tcPr>
          <w:p w14:paraId="5C2CB00B">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617.89 </w:t>
            </w:r>
          </w:p>
        </w:tc>
        <w:tc>
          <w:tcPr>
            <w:tcW w:w="383" w:type="pct"/>
            <w:tcBorders>
              <w:top w:val="nil"/>
              <w:left w:val="nil"/>
              <w:bottom w:val="single" w:color="000000" w:sz="4" w:space="0"/>
              <w:right w:val="single" w:color="000000" w:sz="4" w:space="0"/>
            </w:tcBorders>
            <w:shd w:val="clear" w:color="auto" w:fill="auto"/>
            <w:noWrap/>
            <w:vAlign w:val="center"/>
          </w:tcPr>
          <w:p w14:paraId="6D2DD659">
            <w:pPr>
              <w:jc w:val="right"/>
              <w:rPr>
                <w:rFonts w:hint="eastAsia" w:ascii="仿宋" w:hAnsi="仿宋" w:eastAsia="仿宋" w:cs="仿宋"/>
                <w:i w:val="0"/>
                <w:iCs w:val="0"/>
                <w:color w:val="000000"/>
                <w:sz w:val="20"/>
                <w:szCs w:val="20"/>
                <w:u w:val="none"/>
                <w:lang w:val="en-US" w:eastAsia="zh-CN"/>
              </w:rPr>
            </w:pPr>
          </w:p>
        </w:tc>
      </w:tr>
      <w:tr w14:paraId="48D6F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4F1E52F4">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2121701</w:t>
            </w:r>
          </w:p>
        </w:tc>
        <w:tc>
          <w:tcPr>
            <w:tcW w:w="1693" w:type="pct"/>
            <w:tcBorders>
              <w:top w:val="nil"/>
              <w:left w:val="nil"/>
              <w:bottom w:val="single" w:color="000000" w:sz="4" w:space="0"/>
              <w:right w:val="single" w:color="000000" w:sz="4" w:space="0"/>
            </w:tcBorders>
            <w:shd w:val="clear" w:color="auto" w:fill="auto"/>
            <w:noWrap/>
            <w:vAlign w:val="center"/>
          </w:tcPr>
          <w:p w14:paraId="0E08883A">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城市公共设施</w:t>
            </w:r>
          </w:p>
        </w:tc>
        <w:tc>
          <w:tcPr>
            <w:tcW w:w="417" w:type="pct"/>
            <w:tcBorders>
              <w:top w:val="nil"/>
              <w:left w:val="nil"/>
              <w:bottom w:val="single" w:color="000000" w:sz="4" w:space="0"/>
              <w:right w:val="single" w:color="000000" w:sz="4" w:space="0"/>
            </w:tcBorders>
            <w:shd w:val="clear" w:color="auto" w:fill="auto"/>
            <w:noWrap/>
            <w:vAlign w:val="center"/>
          </w:tcPr>
          <w:p w14:paraId="5FAEA6C5">
            <w:pPr>
              <w:jc w:val="right"/>
              <w:rPr>
                <w:rFonts w:hint="eastAsia" w:ascii="仿宋" w:hAnsi="仿宋" w:eastAsia="仿宋" w:cs="仿宋"/>
                <w:i w:val="0"/>
                <w:iCs w:val="0"/>
                <w:color w:val="000000"/>
                <w:sz w:val="20"/>
                <w:szCs w:val="20"/>
                <w:u w:val="none"/>
                <w:lang w:val="en-US" w:eastAsia="zh-CN"/>
              </w:rPr>
            </w:pPr>
          </w:p>
        </w:tc>
        <w:tc>
          <w:tcPr>
            <w:tcW w:w="479" w:type="pct"/>
            <w:tcBorders>
              <w:top w:val="nil"/>
              <w:left w:val="nil"/>
              <w:bottom w:val="single" w:color="000000" w:sz="4" w:space="0"/>
              <w:right w:val="single" w:color="000000" w:sz="4" w:space="0"/>
            </w:tcBorders>
            <w:shd w:val="clear" w:color="auto" w:fill="auto"/>
            <w:noWrap/>
            <w:vAlign w:val="center"/>
          </w:tcPr>
          <w:p w14:paraId="3F40D3E2">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48.00 </w:t>
            </w:r>
          </w:p>
        </w:tc>
        <w:tc>
          <w:tcPr>
            <w:tcW w:w="412" w:type="pct"/>
            <w:tcBorders>
              <w:top w:val="nil"/>
              <w:left w:val="nil"/>
              <w:bottom w:val="single" w:color="000000" w:sz="4" w:space="0"/>
              <w:right w:val="single" w:color="000000" w:sz="4" w:space="0"/>
            </w:tcBorders>
            <w:shd w:val="clear" w:color="auto" w:fill="auto"/>
            <w:noWrap/>
            <w:vAlign w:val="center"/>
          </w:tcPr>
          <w:p w14:paraId="35AE585D">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48.00 </w:t>
            </w:r>
          </w:p>
        </w:tc>
        <w:tc>
          <w:tcPr>
            <w:tcW w:w="506" w:type="pct"/>
            <w:tcBorders>
              <w:top w:val="nil"/>
              <w:left w:val="nil"/>
              <w:bottom w:val="single" w:color="000000" w:sz="4" w:space="0"/>
              <w:right w:val="single" w:color="000000" w:sz="4" w:space="0"/>
            </w:tcBorders>
            <w:shd w:val="clear" w:color="auto" w:fill="auto"/>
            <w:noWrap/>
            <w:vAlign w:val="center"/>
          </w:tcPr>
          <w:p w14:paraId="059366E0">
            <w:pPr>
              <w:jc w:val="right"/>
              <w:rPr>
                <w:rFonts w:hint="eastAsia" w:ascii="仿宋" w:hAnsi="仿宋" w:eastAsia="仿宋" w:cs="仿宋"/>
                <w:i w:val="0"/>
                <w:iCs w:val="0"/>
                <w:color w:val="000000"/>
                <w:sz w:val="20"/>
                <w:szCs w:val="20"/>
                <w:u w:val="none"/>
                <w:lang w:val="en-US" w:eastAsia="zh-CN"/>
              </w:rPr>
            </w:pPr>
          </w:p>
        </w:tc>
        <w:tc>
          <w:tcPr>
            <w:tcW w:w="483" w:type="pct"/>
            <w:tcBorders>
              <w:top w:val="nil"/>
              <w:left w:val="nil"/>
              <w:bottom w:val="single" w:color="000000" w:sz="4" w:space="0"/>
              <w:right w:val="single" w:color="000000" w:sz="4" w:space="0"/>
            </w:tcBorders>
            <w:shd w:val="clear" w:color="auto" w:fill="auto"/>
            <w:noWrap/>
            <w:vAlign w:val="center"/>
          </w:tcPr>
          <w:p w14:paraId="26048129">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48.00 </w:t>
            </w:r>
          </w:p>
        </w:tc>
        <w:tc>
          <w:tcPr>
            <w:tcW w:w="383" w:type="pct"/>
            <w:tcBorders>
              <w:top w:val="nil"/>
              <w:left w:val="nil"/>
              <w:bottom w:val="single" w:color="000000" w:sz="4" w:space="0"/>
              <w:right w:val="single" w:color="000000" w:sz="4" w:space="0"/>
            </w:tcBorders>
            <w:shd w:val="clear" w:color="auto" w:fill="auto"/>
            <w:noWrap/>
            <w:vAlign w:val="center"/>
          </w:tcPr>
          <w:p w14:paraId="7B4C8958">
            <w:pPr>
              <w:jc w:val="right"/>
              <w:rPr>
                <w:rFonts w:hint="eastAsia" w:ascii="仿宋" w:hAnsi="仿宋" w:eastAsia="仿宋" w:cs="仿宋"/>
                <w:i w:val="0"/>
                <w:iCs w:val="0"/>
                <w:color w:val="000000"/>
                <w:sz w:val="20"/>
                <w:szCs w:val="20"/>
                <w:u w:val="none"/>
                <w:lang w:val="en-US" w:eastAsia="zh-CN"/>
              </w:rPr>
            </w:pPr>
          </w:p>
        </w:tc>
      </w:tr>
      <w:tr w14:paraId="6259D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1E104682">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2121799</w:t>
            </w:r>
          </w:p>
        </w:tc>
        <w:tc>
          <w:tcPr>
            <w:tcW w:w="1693" w:type="pct"/>
            <w:tcBorders>
              <w:top w:val="nil"/>
              <w:left w:val="nil"/>
              <w:bottom w:val="single" w:color="000000" w:sz="4" w:space="0"/>
              <w:right w:val="single" w:color="000000" w:sz="4" w:space="0"/>
            </w:tcBorders>
            <w:shd w:val="clear" w:color="auto" w:fill="auto"/>
            <w:noWrap/>
            <w:vAlign w:val="center"/>
          </w:tcPr>
          <w:p w14:paraId="628A1325">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其他城市基础设施配套费对应专项债务收入安排的支出</w:t>
            </w:r>
          </w:p>
        </w:tc>
        <w:tc>
          <w:tcPr>
            <w:tcW w:w="417" w:type="pct"/>
            <w:tcBorders>
              <w:top w:val="nil"/>
              <w:left w:val="nil"/>
              <w:bottom w:val="single" w:color="000000" w:sz="4" w:space="0"/>
              <w:right w:val="single" w:color="000000" w:sz="4" w:space="0"/>
            </w:tcBorders>
            <w:shd w:val="clear" w:color="auto" w:fill="auto"/>
            <w:noWrap/>
            <w:vAlign w:val="center"/>
          </w:tcPr>
          <w:p w14:paraId="3B1DFEC7">
            <w:pPr>
              <w:jc w:val="right"/>
              <w:rPr>
                <w:rFonts w:hint="eastAsia" w:ascii="仿宋" w:hAnsi="仿宋" w:eastAsia="仿宋" w:cs="仿宋"/>
                <w:i w:val="0"/>
                <w:iCs w:val="0"/>
                <w:color w:val="000000"/>
                <w:sz w:val="20"/>
                <w:szCs w:val="20"/>
                <w:u w:val="none"/>
              </w:rPr>
            </w:pPr>
          </w:p>
        </w:tc>
        <w:tc>
          <w:tcPr>
            <w:tcW w:w="479" w:type="pct"/>
            <w:tcBorders>
              <w:top w:val="nil"/>
              <w:left w:val="nil"/>
              <w:bottom w:val="single" w:color="000000" w:sz="4" w:space="0"/>
              <w:right w:val="single" w:color="000000" w:sz="4" w:space="0"/>
            </w:tcBorders>
            <w:shd w:val="clear" w:color="auto" w:fill="auto"/>
            <w:noWrap/>
            <w:vAlign w:val="center"/>
          </w:tcPr>
          <w:p w14:paraId="18C56E23">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200.00 </w:t>
            </w:r>
          </w:p>
        </w:tc>
        <w:tc>
          <w:tcPr>
            <w:tcW w:w="412" w:type="pct"/>
            <w:tcBorders>
              <w:top w:val="nil"/>
              <w:left w:val="nil"/>
              <w:bottom w:val="single" w:color="000000" w:sz="4" w:space="0"/>
              <w:right w:val="single" w:color="000000" w:sz="4" w:space="0"/>
            </w:tcBorders>
            <w:shd w:val="clear" w:color="auto" w:fill="auto"/>
            <w:noWrap/>
            <w:vAlign w:val="center"/>
          </w:tcPr>
          <w:p w14:paraId="0E959FD2">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200.00 </w:t>
            </w:r>
          </w:p>
        </w:tc>
        <w:tc>
          <w:tcPr>
            <w:tcW w:w="506" w:type="pct"/>
            <w:tcBorders>
              <w:top w:val="nil"/>
              <w:left w:val="nil"/>
              <w:bottom w:val="single" w:color="000000" w:sz="4" w:space="0"/>
              <w:right w:val="single" w:color="000000" w:sz="4" w:space="0"/>
            </w:tcBorders>
            <w:shd w:val="clear" w:color="auto" w:fill="auto"/>
            <w:noWrap/>
            <w:vAlign w:val="center"/>
          </w:tcPr>
          <w:p w14:paraId="22523BAC">
            <w:pPr>
              <w:jc w:val="right"/>
              <w:rPr>
                <w:rFonts w:hint="eastAsia" w:ascii="仿宋" w:hAnsi="仿宋" w:eastAsia="仿宋" w:cs="仿宋"/>
                <w:i w:val="0"/>
                <w:iCs w:val="0"/>
                <w:color w:val="000000"/>
                <w:sz w:val="20"/>
                <w:szCs w:val="20"/>
                <w:u w:val="none"/>
                <w:lang w:val="en-US" w:eastAsia="zh-CN"/>
              </w:rPr>
            </w:pPr>
          </w:p>
        </w:tc>
        <w:tc>
          <w:tcPr>
            <w:tcW w:w="483" w:type="pct"/>
            <w:tcBorders>
              <w:top w:val="nil"/>
              <w:left w:val="nil"/>
              <w:bottom w:val="single" w:color="000000" w:sz="4" w:space="0"/>
              <w:right w:val="single" w:color="000000" w:sz="4" w:space="0"/>
            </w:tcBorders>
            <w:shd w:val="clear" w:color="auto" w:fill="auto"/>
            <w:noWrap/>
            <w:vAlign w:val="center"/>
          </w:tcPr>
          <w:p w14:paraId="5CC0E762">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200.00 </w:t>
            </w:r>
          </w:p>
        </w:tc>
        <w:tc>
          <w:tcPr>
            <w:tcW w:w="383" w:type="pct"/>
            <w:tcBorders>
              <w:top w:val="nil"/>
              <w:left w:val="nil"/>
              <w:bottom w:val="single" w:color="000000" w:sz="4" w:space="0"/>
              <w:right w:val="single" w:color="000000" w:sz="4" w:space="0"/>
            </w:tcBorders>
            <w:shd w:val="clear" w:color="auto" w:fill="auto"/>
            <w:noWrap/>
            <w:vAlign w:val="center"/>
          </w:tcPr>
          <w:p w14:paraId="4102250C">
            <w:pPr>
              <w:jc w:val="right"/>
              <w:rPr>
                <w:rFonts w:hint="eastAsia" w:ascii="仿宋" w:hAnsi="仿宋" w:eastAsia="仿宋" w:cs="仿宋"/>
                <w:i w:val="0"/>
                <w:iCs w:val="0"/>
                <w:color w:val="000000"/>
                <w:sz w:val="20"/>
                <w:szCs w:val="20"/>
                <w:u w:val="none"/>
                <w:lang w:val="en-US" w:eastAsia="zh-CN"/>
              </w:rPr>
            </w:pPr>
          </w:p>
        </w:tc>
      </w:tr>
      <w:tr w14:paraId="62581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67BE144D">
            <w:pPr>
              <w:jc w:val="left"/>
              <w:rPr>
                <w:rFonts w:hint="eastAsia" w:ascii="仿宋" w:hAnsi="仿宋" w:eastAsia="仿宋" w:cs="仿宋"/>
                <w:i w:val="0"/>
                <w:iCs w:val="0"/>
                <w:color w:val="000000"/>
                <w:sz w:val="20"/>
                <w:szCs w:val="20"/>
                <w:u w:val="none"/>
              </w:rPr>
            </w:pPr>
          </w:p>
        </w:tc>
        <w:tc>
          <w:tcPr>
            <w:tcW w:w="1693" w:type="pct"/>
            <w:tcBorders>
              <w:top w:val="nil"/>
              <w:left w:val="nil"/>
              <w:bottom w:val="single" w:color="000000" w:sz="4" w:space="0"/>
              <w:right w:val="single" w:color="000000" w:sz="4" w:space="0"/>
            </w:tcBorders>
            <w:shd w:val="clear" w:color="auto" w:fill="auto"/>
            <w:noWrap/>
            <w:vAlign w:val="center"/>
          </w:tcPr>
          <w:p w14:paraId="112B4803">
            <w:pPr>
              <w:jc w:val="left"/>
              <w:rPr>
                <w:rFonts w:hint="eastAsia" w:ascii="仿宋" w:hAnsi="仿宋" w:eastAsia="仿宋" w:cs="仿宋"/>
                <w:i w:val="0"/>
                <w:iCs w:val="0"/>
                <w:color w:val="000000"/>
                <w:sz w:val="20"/>
                <w:szCs w:val="20"/>
                <w:u w:val="none"/>
              </w:rPr>
            </w:pPr>
          </w:p>
        </w:tc>
        <w:tc>
          <w:tcPr>
            <w:tcW w:w="417" w:type="pct"/>
            <w:tcBorders>
              <w:top w:val="nil"/>
              <w:left w:val="nil"/>
              <w:bottom w:val="single" w:color="000000" w:sz="4" w:space="0"/>
              <w:right w:val="single" w:color="000000" w:sz="4" w:space="0"/>
            </w:tcBorders>
            <w:shd w:val="clear" w:color="auto" w:fill="auto"/>
            <w:noWrap/>
            <w:vAlign w:val="center"/>
          </w:tcPr>
          <w:p w14:paraId="1BD30BB1">
            <w:pPr>
              <w:jc w:val="right"/>
              <w:rPr>
                <w:rFonts w:hint="eastAsia" w:ascii="仿宋" w:hAnsi="仿宋" w:eastAsia="仿宋" w:cs="仿宋"/>
                <w:i w:val="0"/>
                <w:iCs w:val="0"/>
                <w:color w:val="000000"/>
                <w:sz w:val="20"/>
                <w:szCs w:val="20"/>
                <w:u w:val="none"/>
              </w:rPr>
            </w:pPr>
          </w:p>
        </w:tc>
        <w:tc>
          <w:tcPr>
            <w:tcW w:w="479" w:type="pct"/>
            <w:tcBorders>
              <w:top w:val="nil"/>
              <w:left w:val="nil"/>
              <w:bottom w:val="single" w:color="000000" w:sz="4" w:space="0"/>
              <w:right w:val="single" w:color="000000" w:sz="4" w:space="0"/>
            </w:tcBorders>
            <w:shd w:val="clear" w:color="auto" w:fill="auto"/>
            <w:noWrap/>
            <w:vAlign w:val="center"/>
          </w:tcPr>
          <w:p w14:paraId="47E929E8">
            <w:pPr>
              <w:jc w:val="right"/>
              <w:rPr>
                <w:rFonts w:hint="eastAsia" w:ascii="仿宋" w:hAnsi="仿宋" w:eastAsia="仿宋" w:cs="仿宋"/>
                <w:i w:val="0"/>
                <w:iCs w:val="0"/>
                <w:color w:val="000000"/>
                <w:sz w:val="20"/>
                <w:szCs w:val="20"/>
                <w:u w:val="none"/>
              </w:rPr>
            </w:pPr>
          </w:p>
        </w:tc>
        <w:tc>
          <w:tcPr>
            <w:tcW w:w="412" w:type="pct"/>
            <w:tcBorders>
              <w:top w:val="nil"/>
              <w:left w:val="nil"/>
              <w:bottom w:val="single" w:color="000000" w:sz="4" w:space="0"/>
              <w:right w:val="single" w:color="000000" w:sz="4" w:space="0"/>
            </w:tcBorders>
            <w:shd w:val="clear" w:color="auto" w:fill="auto"/>
            <w:noWrap/>
            <w:vAlign w:val="center"/>
          </w:tcPr>
          <w:p w14:paraId="7DAEB351">
            <w:pPr>
              <w:jc w:val="right"/>
              <w:rPr>
                <w:rFonts w:hint="eastAsia" w:ascii="仿宋" w:hAnsi="仿宋" w:eastAsia="仿宋" w:cs="仿宋"/>
                <w:i w:val="0"/>
                <w:iCs w:val="0"/>
                <w:color w:val="000000"/>
                <w:sz w:val="20"/>
                <w:szCs w:val="20"/>
                <w:u w:val="none"/>
              </w:rPr>
            </w:pPr>
          </w:p>
        </w:tc>
        <w:tc>
          <w:tcPr>
            <w:tcW w:w="506" w:type="pct"/>
            <w:tcBorders>
              <w:top w:val="nil"/>
              <w:left w:val="nil"/>
              <w:bottom w:val="single" w:color="000000" w:sz="4" w:space="0"/>
              <w:right w:val="single" w:color="000000" w:sz="4" w:space="0"/>
            </w:tcBorders>
            <w:shd w:val="clear" w:color="auto" w:fill="auto"/>
            <w:noWrap/>
            <w:vAlign w:val="center"/>
          </w:tcPr>
          <w:p w14:paraId="17379992">
            <w:pPr>
              <w:jc w:val="right"/>
              <w:rPr>
                <w:rFonts w:hint="eastAsia" w:ascii="仿宋" w:hAnsi="仿宋" w:eastAsia="仿宋" w:cs="仿宋"/>
                <w:i w:val="0"/>
                <w:iCs w:val="0"/>
                <w:color w:val="000000"/>
                <w:sz w:val="20"/>
                <w:szCs w:val="20"/>
                <w:u w:val="none"/>
              </w:rPr>
            </w:pPr>
          </w:p>
        </w:tc>
        <w:tc>
          <w:tcPr>
            <w:tcW w:w="483" w:type="pct"/>
            <w:tcBorders>
              <w:top w:val="nil"/>
              <w:left w:val="nil"/>
              <w:bottom w:val="single" w:color="000000" w:sz="4" w:space="0"/>
              <w:right w:val="single" w:color="000000" w:sz="4" w:space="0"/>
            </w:tcBorders>
            <w:shd w:val="clear" w:color="auto" w:fill="auto"/>
            <w:noWrap/>
            <w:vAlign w:val="center"/>
          </w:tcPr>
          <w:p w14:paraId="38B08FBF">
            <w:pPr>
              <w:jc w:val="right"/>
              <w:rPr>
                <w:rFonts w:hint="eastAsia" w:ascii="仿宋" w:hAnsi="仿宋" w:eastAsia="仿宋" w:cs="仿宋"/>
                <w:i w:val="0"/>
                <w:iCs w:val="0"/>
                <w:color w:val="000000"/>
                <w:sz w:val="20"/>
                <w:szCs w:val="20"/>
                <w:u w:val="none"/>
              </w:rPr>
            </w:pPr>
          </w:p>
        </w:tc>
        <w:tc>
          <w:tcPr>
            <w:tcW w:w="383" w:type="pct"/>
            <w:tcBorders>
              <w:top w:val="nil"/>
              <w:left w:val="nil"/>
              <w:bottom w:val="single" w:color="000000" w:sz="4" w:space="0"/>
              <w:right w:val="single" w:color="000000" w:sz="4" w:space="0"/>
            </w:tcBorders>
            <w:shd w:val="clear" w:color="auto" w:fill="auto"/>
            <w:noWrap/>
            <w:vAlign w:val="center"/>
          </w:tcPr>
          <w:p w14:paraId="54F4C767">
            <w:pPr>
              <w:jc w:val="right"/>
              <w:rPr>
                <w:rFonts w:hint="eastAsia" w:ascii="仿宋" w:hAnsi="仿宋" w:eastAsia="仿宋" w:cs="仿宋"/>
                <w:i w:val="0"/>
                <w:iCs w:val="0"/>
                <w:color w:val="000000"/>
                <w:sz w:val="20"/>
                <w:szCs w:val="20"/>
                <w:u w:val="none"/>
              </w:rPr>
            </w:pPr>
          </w:p>
        </w:tc>
      </w:tr>
      <w:tr w14:paraId="61738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55523A66">
            <w:pPr>
              <w:jc w:val="left"/>
              <w:rPr>
                <w:rFonts w:hint="eastAsia" w:ascii="仿宋" w:hAnsi="仿宋" w:eastAsia="仿宋" w:cs="仿宋"/>
                <w:i w:val="0"/>
                <w:iCs w:val="0"/>
                <w:color w:val="000000"/>
                <w:sz w:val="20"/>
                <w:szCs w:val="20"/>
                <w:u w:val="none"/>
              </w:rPr>
            </w:pPr>
          </w:p>
        </w:tc>
        <w:tc>
          <w:tcPr>
            <w:tcW w:w="1693" w:type="pct"/>
            <w:tcBorders>
              <w:top w:val="nil"/>
              <w:left w:val="nil"/>
              <w:bottom w:val="single" w:color="000000" w:sz="4" w:space="0"/>
              <w:right w:val="single" w:color="000000" w:sz="4" w:space="0"/>
            </w:tcBorders>
            <w:shd w:val="clear" w:color="auto" w:fill="auto"/>
            <w:noWrap/>
            <w:vAlign w:val="center"/>
          </w:tcPr>
          <w:p w14:paraId="4EDD1CB8">
            <w:pPr>
              <w:jc w:val="left"/>
              <w:rPr>
                <w:rFonts w:hint="eastAsia" w:ascii="仿宋" w:hAnsi="仿宋" w:eastAsia="仿宋" w:cs="仿宋"/>
                <w:i w:val="0"/>
                <w:iCs w:val="0"/>
                <w:color w:val="000000"/>
                <w:sz w:val="20"/>
                <w:szCs w:val="20"/>
                <w:u w:val="none"/>
              </w:rPr>
            </w:pPr>
          </w:p>
        </w:tc>
        <w:tc>
          <w:tcPr>
            <w:tcW w:w="417" w:type="pct"/>
            <w:tcBorders>
              <w:top w:val="nil"/>
              <w:left w:val="nil"/>
              <w:bottom w:val="single" w:color="000000" w:sz="4" w:space="0"/>
              <w:right w:val="single" w:color="000000" w:sz="4" w:space="0"/>
            </w:tcBorders>
            <w:shd w:val="clear" w:color="auto" w:fill="auto"/>
            <w:noWrap/>
            <w:vAlign w:val="center"/>
          </w:tcPr>
          <w:p w14:paraId="0FAC0358">
            <w:pPr>
              <w:jc w:val="right"/>
              <w:rPr>
                <w:rFonts w:hint="eastAsia" w:ascii="仿宋" w:hAnsi="仿宋" w:eastAsia="仿宋" w:cs="仿宋"/>
                <w:i w:val="0"/>
                <w:iCs w:val="0"/>
                <w:color w:val="000000"/>
                <w:sz w:val="20"/>
                <w:szCs w:val="20"/>
                <w:u w:val="none"/>
              </w:rPr>
            </w:pPr>
          </w:p>
        </w:tc>
        <w:tc>
          <w:tcPr>
            <w:tcW w:w="479" w:type="pct"/>
            <w:tcBorders>
              <w:top w:val="nil"/>
              <w:left w:val="nil"/>
              <w:bottom w:val="single" w:color="000000" w:sz="4" w:space="0"/>
              <w:right w:val="single" w:color="000000" w:sz="4" w:space="0"/>
            </w:tcBorders>
            <w:shd w:val="clear" w:color="auto" w:fill="auto"/>
            <w:noWrap/>
            <w:vAlign w:val="center"/>
          </w:tcPr>
          <w:p w14:paraId="7003026B">
            <w:pPr>
              <w:jc w:val="right"/>
              <w:rPr>
                <w:rFonts w:hint="eastAsia" w:ascii="仿宋" w:hAnsi="仿宋" w:eastAsia="仿宋" w:cs="仿宋"/>
                <w:i w:val="0"/>
                <w:iCs w:val="0"/>
                <w:color w:val="000000"/>
                <w:sz w:val="20"/>
                <w:szCs w:val="20"/>
                <w:u w:val="none"/>
              </w:rPr>
            </w:pPr>
          </w:p>
        </w:tc>
        <w:tc>
          <w:tcPr>
            <w:tcW w:w="412" w:type="pct"/>
            <w:tcBorders>
              <w:top w:val="nil"/>
              <w:left w:val="nil"/>
              <w:bottom w:val="single" w:color="000000" w:sz="4" w:space="0"/>
              <w:right w:val="single" w:color="000000" w:sz="4" w:space="0"/>
            </w:tcBorders>
            <w:shd w:val="clear" w:color="auto" w:fill="auto"/>
            <w:noWrap/>
            <w:vAlign w:val="center"/>
          </w:tcPr>
          <w:p w14:paraId="3D05A1EE">
            <w:pPr>
              <w:jc w:val="right"/>
              <w:rPr>
                <w:rFonts w:hint="eastAsia" w:ascii="仿宋" w:hAnsi="仿宋" w:eastAsia="仿宋" w:cs="仿宋"/>
                <w:i w:val="0"/>
                <w:iCs w:val="0"/>
                <w:color w:val="000000"/>
                <w:sz w:val="20"/>
                <w:szCs w:val="20"/>
                <w:u w:val="none"/>
              </w:rPr>
            </w:pPr>
          </w:p>
        </w:tc>
        <w:tc>
          <w:tcPr>
            <w:tcW w:w="506" w:type="pct"/>
            <w:tcBorders>
              <w:top w:val="nil"/>
              <w:left w:val="nil"/>
              <w:bottom w:val="single" w:color="000000" w:sz="4" w:space="0"/>
              <w:right w:val="single" w:color="000000" w:sz="4" w:space="0"/>
            </w:tcBorders>
            <w:shd w:val="clear" w:color="auto" w:fill="auto"/>
            <w:noWrap/>
            <w:vAlign w:val="center"/>
          </w:tcPr>
          <w:p w14:paraId="036AD6B9">
            <w:pPr>
              <w:jc w:val="right"/>
              <w:rPr>
                <w:rFonts w:hint="eastAsia" w:ascii="仿宋" w:hAnsi="仿宋" w:eastAsia="仿宋" w:cs="仿宋"/>
                <w:i w:val="0"/>
                <w:iCs w:val="0"/>
                <w:color w:val="000000"/>
                <w:sz w:val="20"/>
                <w:szCs w:val="20"/>
                <w:u w:val="none"/>
              </w:rPr>
            </w:pPr>
          </w:p>
        </w:tc>
        <w:tc>
          <w:tcPr>
            <w:tcW w:w="483" w:type="pct"/>
            <w:tcBorders>
              <w:top w:val="nil"/>
              <w:left w:val="nil"/>
              <w:bottom w:val="single" w:color="000000" w:sz="4" w:space="0"/>
              <w:right w:val="single" w:color="000000" w:sz="4" w:space="0"/>
            </w:tcBorders>
            <w:shd w:val="clear" w:color="auto" w:fill="auto"/>
            <w:noWrap/>
            <w:vAlign w:val="center"/>
          </w:tcPr>
          <w:p w14:paraId="757D3156">
            <w:pPr>
              <w:jc w:val="right"/>
              <w:rPr>
                <w:rFonts w:hint="eastAsia" w:ascii="仿宋" w:hAnsi="仿宋" w:eastAsia="仿宋" w:cs="仿宋"/>
                <w:i w:val="0"/>
                <w:iCs w:val="0"/>
                <w:color w:val="000000"/>
                <w:sz w:val="20"/>
                <w:szCs w:val="20"/>
                <w:u w:val="none"/>
              </w:rPr>
            </w:pPr>
          </w:p>
        </w:tc>
        <w:tc>
          <w:tcPr>
            <w:tcW w:w="383" w:type="pct"/>
            <w:tcBorders>
              <w:top w:val="nil"/>
              <w:left w:val="nil"/>
              <w:bottom w:val="single" w:color="000000" w:sz="4" w:space="0"/>
              <w:right w:val="single" w:color="000000" w:sz="4" w:space="0"/>
            </w:tcBorders>
            <w:shd w:val="clear" w:color="auto" w:fill="auto"/>
            <w:noWrap/>
            <w:vAlign w:val="center"/>
          </w:tcPr>
          <w:p w14:paraId="3AC024D8">
            <w:pPr>
              <w:jc w:val="right"/>
              <w:rPr>
                <w:rFonts w:hint="eastAsia" w:ascii="仿宋" w:hAnsi="仿宋" w:eastAsia="仿宋" w:cs="仿宋"/>
                <w:i w:val="0"/>
                <w:iCs w:val="0"/>
                <w:color w:val="000000"/>
                <w:sz w:val="20"/>
                <w:szCs w:val="20"/>
                <w:u w:val="none"/>
              </w:rPr>
            </w:pPr>
          </w:p>
        </w:tc>
      </w:tr>
    </w:tbl>
    <w:p w14:paraId="538F3F1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69F8545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1DE9676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3B83C2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499A00-7143-4F12-A75E-8556EEA91D2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embedRegular r:id="rId2" w:fontKey="{DF107711-84F4-4ED6-AE93-F8989A1A33EB}"/>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24F79CAB-A9B3-4222-A65B-2DA76702D1E7}"/>
  </w:font>
  <w:font w:name="方正黑体_GBK">
    <w:panose1 w:val="02010600010101010101"/>
    <w:charset w:val="86"/>
    <w:family w:val="auto"/>
    <w:pitch w:val="default"/>
    <w:sig w:usb0="00000001" w:usb1="080E0000" w:usb2="00000000" w:usb3="00000000" w:csb0="00040000" w:csb1="00000000"/>
    <w:embedRegular r:id="rId4" w:fontKey="{B9249475-BBE4-475B-A8D7-01356EB6E111}"/>
  </w:font>
  <w:font w:name="Times New Roman Regular">
    <w:altName w:val="Times New Roman"/>
    <w:panose1 w:val="02020603050405020304"/>
    <w:charset w:val="00"/>
    <w:family w:val="auto"/>
    <w:pitch w:val="default"/>
    <w:sig w:usb0="00000000" w:usb1="00000000" w:usb2="00000009" w:usb3="00000000" w:csb0="400001FF" w:csb1="FFFF0000"/>
    <w:embedRegular r:id="rId5" w:fontKey="{B0C14152-7A13-4137-A8C5-2DBE884F10AF}"/>
  </w:font>
  <w:font w:name="仿宋_GB2312">
    <w:panose1 w:val="02010609030101010101"/>
    <w:charset w:val="86"/>
    <w:family w:val="auto"/>
    <w:pitch w:val="default"/>
    <w:sig w:usb0="00000001" w:usb1="080E0000" w:usb2="00000000" w:usb3="00000000" w:csb0="00040000" w:csb1="00000000"/>
    <w:embedRegular r:id="rId6" w:fontKey="{21F94267-F354-4860-A023-F5277AB083D8}"/>
  </w:font>
  <w:font w:name="仿宋">
    <w:panose1 w:val="02010609060101010101"/>
    <w:charset w:val="86"/>
    <w:family w:val="auto"/>
    <w:pitch w:val="default"/>
    <w:sig w:usb0="800002BF" w:usb1="38CF7CFA" w:usb2="00000016" w:usb3="00000000" w:csb0="00040001" w:csb1="00000000"/>
    <w:embedRegular r:id="rId7" w:fontKey="{8A35797E-AF7E-40CF-84BB-7E81AD931AAC}"/>
  </w:font>
  <w:font w:name="方正小标宋简体">
    <w:panose1 w:val="02000000000000000000"/>
    <w:charset w:val="86"/>
    <w:family w:val="auto"/>
    <w:pitch w:val="default"/>
    <w:sig w:usb0="00000001" w:usb1="08000000" w:usb2="00000000" w:usb3="00000000" w:csb0="00040000" w:csb1="00000000"/>
    <w:embedRegular r:id="rId8" w:fontKey="{DB4D4C69-404E-44A0-AA7D-5FFEF2783D1E}"/>
  </w:font>
  <w:font w:name="WPSEMBED34">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00749E3"/>
    <w:rsid w:val="0011760F"/>
    <w:rsid w:val="001315D9"/>
    <w:rsid w:val="0020619A"/>
    <w:rsid w:val="003550AC"/>
    <w:rsid w:val="00501EE6"/>
    <w:rsid w:val="00535E7A"/>
    <w:rsid w:val="00586FEC"/>
    <w:rsid w:val="00594E02"/>
    <w:rsid w:val="00867410"/>
    <w:rsid w:val="00AD10E6"/>
    <w:rsid w:val="00C91C98"/>
    <w:rsid w:val="00CF3752"/>
    <w:rsid w:val="00E0770D"/>
    <w:rsid w:val="00F1191B"/>
    <w:rsid w:val="00F54158"/>
    <w:rsid w:val="010D6029"/>
    <w:rsid w:val="01115B19"/>
    <w:rsid w:val="012A2087"/>
    <w:rsid w:val="014337F8"/>
    <w:rsid w:val="01710365"/>
    <w:rsid w:val="01853E11"/>
    <w:rsid w:val="01916C5A"/>
    <w:rsid w:val="01AF0E8E"/>
    <w:rsid w:val="01B85F94"/>
    <w:rsid w:val="01D31020"/>
    <w:rsid w:val="01DF79C5"/>
    <w:rsid w:val="021138F7"/>
    <w:rsid w:val="0227136C"/>
    <w:rsid w:val="02693149"/>
    <w:rsid w:val="028247F4"/>
    <w:rsid w:val="02874033"/>
    <w:rsid w:val="02AF3C72"/>
    <w:rsid w:val="02B41F9E"/>
    <w:rsid w:val="02DD1A2B"/>
    <w:rsid w:val="02F56D74"/>
    <w:rsid w:val="02F70D3E"/>
    <w:rsid w:val="03101E00"/>
    <w:rsid w:val="034A3347"/>
    <w:rsid w:val="03597303"/>
    <w:rsid w:val="03773971"/>
    <w:rsid w:val="038D16A3"/>
    <w:rsid w:val="03AA1254"/>
    <w:rsid w:val="03B23B1B"/>
    <w:rsid w:val="03D4208C"/>
    <w:rsid w:val="03E312C3"/>
    <w:rsid w:val="03E5328D"/>
    <w:rsid w:val="03F434D0"/>
    <w:rsid w:val="03F90AE6"/>
    <w:rsid w:val="042042C5"/>
    <w:rsid w:val="042A0CA0"/>
    <w:rsid w:val="043B2EAD"/>
    <w:rsid w:val="046C3C18"/>
    <w:rsid w:val="04910D1F"/>
    <w:rsid w:val="049525BD"/>
    <w:rsid w:val="04AF1147"/>
    <w:rsid w:val="05104339"/>
    <w:rsid w:val="053C0C8A"/>
    <w:rsid w:val="054D1CB7"/>
    <w:rsid w:val="05685F23"/>
    <w:rsid w:val="05A0746B"/>
    <w:rsid w:val="05AB18CB"/>
    <w:rsid w:val="05AC79A0"/>
    <w:rsid w:val="05D9297D"/>
    <w:rsid w:val="05DB3E17"/>
    <w:rsid w:val="05E25CD6"/>
    <w:rsid w:val="05E95AA6"/>
    <w:rsid w:val="05F61781"/>
    <w:rsid w:val="063221DE"/>
    <w:rsid w:val="0667442D"/>
    <w:rsid w:val="0673692E"/>
    <w:rsid w:val="067601CC"/>
    <w:rsid w:val="068E19BA"/>
    <w:rsid w:val="06915006"/>
    <w:rsid w:val="06B55198"/>
    <w:rsid w:val="06B93983"/>
    <w:rsid w:val="06CC597B"/>
    <w:rsid w:val="06D53145"/>
    <w:rsid w:val="06DB44D3"/>
    <w:rsid w:val="06EE06AA"/>
    <w:rsid w:val="06FC6923"/>
    <w:rsid w:val="07250889"/>
    <w:rsid w:val="07487DBA"/>
    <w:rsid w:val="074D717F"/>
    <w:rsid w:val="077A0C9E"/>
    <w:rsid w:val="0788465B"/>
    <w:rsid w:val="07A80605"/>
    <w:rsid w:val="07D050E5"/>
    <w:rsid w:val="07E13D6B"/>
    <w:rsid w:val="080D5D7E"/>
    <w:rsid w:val="0822060B"/>
    <w:rsid w:val="0839515B"/>
    <w:rsid w:val="08514A4D"/>
    <w:rsid w:val="0865674A"/>
    <w:rsid w:val="08670714"/>
    <w:rsid w:val="086F52F0"/>
    <w:rsid w:val="089454E3"/>
    <w:rsid w:val="08964B56"/>
    <w:rsid w:val="08A059D4"/>
    <w:rsid w:val="08EB4EA1"/>
    <w:rsid w:val="08F85810"/>
    <w:rsid w:val="091A5787"/>
    <w:rsid w:val="09267C87"/>
    <w:rsid w:val="0941208F"/>
    <w:rsid w:val="094353E9"/>
    <w:rsid w:val="097E5D15"/>
    <w:rsid w:val="09C358EC"/>
    <w:rsid w:val="09D45935"/>
    <w:rsid w:val="0A183EA3"/>
    <w:rsid w:val="0A1C108A"/>
    <w:rsid w:val="0A374116"/>
    <w:rsid w:val="0A5957EA"/>
    <w:rsid w:val="0A5D2B12"/>
    <w:rsid w:val="0A6D18E6"/>
    <w:rsid w:val="0A7D421F"/>
    <w:rsid w:val="0A83437F"/>
    <w:rsid w:val="0AAC240E"/>
    <w:rsid w:val="0AAE2130"/>
    <w:rsid w:val="0ACE4A7B"/>
    <w:rsid w:val="0AD33E3F"/>
    <w:rsid w:val="0ADD11E0"/>
    <w:rsid w:val="0AE20526"/>
    <w:rsid w:val="0AFF69E2"/>
    <w:rsid w:val="0B1701D0"/>
    <w:rsid w:val="0B3C44AA"/>
    <w:rsid w:val="0B3F14D4"/>
    <w:rsid w:val="0B3F54E4"/>
    <w:rsid w:val="0B5036E2"/>
    <w:rsid w:val="0B6251C3"/>
    <w:rsid w:val="0B64251C"/>
    <w:rsid w:val="0B6D57EE"/>
    <w:rsid w:val="0B7A250D"/>
    <w:rsid w:val="0B971310"/>
    <w:rsid w:val="0BAE26FE"/>
    <w:rsid w:val="0BC55E7E"/>
    <w:rsid w:val="0BEF6A57"/>
    <w:rsid w:val="0C0B7609"/>
    <w:rsid w:val="0C1464BD"/>
    <w:rsid w:val="0C180A78"/>
    <w:rsid w:val="0C2A5BBE"/>
    <w:rsid w:val="0C790A16"/>
    <w:rsid w:val="0CAF4438"/>
    <w:rsid w:val="0CB11F5E"/>
    <w:rsid w:val="0D197B03"/>
    <w:rsid w:val="0D276746"/>
    <w:rsid w:val="0D464D9C"/>
    <w:rsid w:val="0D5374B9"/>
    <w:rsid w:val="0D605732"/>
    <w:rsid w:val="0D645272"/>
    <w:rsid w:val="0D755681"/>
    <w:rsid w:val="0D8D2270"/>
    <w:rsid w:val="0D9C5BE4"/>
    <w:rsid w:val="0DCD1019"/>
    <w:rsid w:val="0DD52794"/>
    <w:rsid w:val="0DE70D9D"/>
    <w:rsid w:val="0DF76096"/>
    <w:rsid w:val="0DFA7935"/>
    <w:rsid w:val="0E0B7D94"/>
    <w:rsid w:val="0E1409F6"/>
    <w:rsid w:val="0E3110D3"/>
    <w:rsid w:val="0E4D78EC"/>
    <w:rsid w:val="0E5E1C72"/>
    <w:rsid w:val="0E6F3EAD"/>
    <w:rsid w:val="0E7F38F4"/>
    <w:rsid w:val="0E89077F"/>
    <w:rsid w:val="0E956870"/>
    <w:rsid w:val="0EB83A78"/>
    <w:rsid w:val="0EDC703A"/>
    <w:rsid w:val="0EF92D65"/>
    <w:rsid w:val="0F135152"/>
    <w:rsid w:val="0F2E7896"/>
    <w:rsid w:val="0F490BEF"/>
    <w:rsid w:val="0F4E1CE6"/>
    <w:rsid w:val="0F5A68DD"/>
    <w:rsid w:val="0F7D081D"/>
    <w:rsid w:val="0FA07C49"/>
    <w:rsid w:val="0FB104C7"/>
    <w:rsid w:val="0FE64614"/>
    <w:rsid w:val="0FFF18FA"/>
    <w:rsid w:val="100C3F23"/>
    <w:rsid w:val="10246EEB"/>
    <w:rsid w:val="103B4960"/>
    <w:rsid w:val="10545A22"/>
    <w:rsid w:val="10675755"/>
    <w:rsid w:val="10700789"/>
    <w:rsid w:val="10802373"/>
    <w:rsid w:val="109F048E"/>
    <w:rsid w:val="10B04C81"/>
    <w:rsid w:val="10C04E65"/>
    <w:rsid w:val="10C666A5"/>
    <w:rsid w:val="10E943BC"/>
    <w:rsid w:val="110C187F"/>
    <w:rsid w:val="11131439"/>
    <w:rsid w:val="11360C84"/>
    <w:rsid w:val="11537A88"/>
    <w:rsid w:val="1185411D"/>
    <w:rsid w:val="11A6405B"/>
    <w:rsid w:val="11BD75F7"/>
    <w:rsid w:val="11CB7FF4"/>
    <w:rsid w:val="11E332CA"/>
    <w:rsid w:val="11F56D91"/>
    <w:rsid w:val="11F67770"/>
    <w:rsid w:val="11F70892"/>
    <w:rsid w:val="12017D74"/>
    <w:rsid w:val="121C431D"/>
    <w:rsid w:val="1223366A"/>
    <w:rsid w:val="12291A19"/>
    <w:rsid w:val="1232769D"/>
    <w:rsid w:val="123553DF"/>
    <w:rsid w:val="1237572B"/>
    <w:rsid w:val="123A0C48"/>
    <w:rsid w:val="124043EC"/>
    <w:rsid w:val="12723F3D"/>
    <w:rsid w:val="12B46304"/>
    <w:rsid w:val="12B5207C"/>
    <w:rsid w:val="12CD1ABC"/>
    <w:rsid w:val="12D270D2"/>
    <w:rsid w:val="12E3308D"/>
    <w:rsid w:val="13370CE3"/>
    <w:rsid w:val="138D3EA8"/>
    <w:rsid w:val="13916645"/>
    <w:rsid w:val="13921BEA"/>
    <w:rsid w:val="139F5206"/>
    <w:rsid w:val="13A10F7E"/>
    <w:rsid w:val="13AE369B"/>
    <w:rsid w:val="13DA7FEC"/>
    <w:rsid w:val="13E57B0C"/>
    <w:rsid w:val="13FA41EA"/>
    <w:rsid w:val="14171240"/>
    <w:rsid w:val="143877FD"/>
    <w:rsid w:val="144E09DA"/>
    <w:rsid w:val="145204CA"/>
    <w:rsid w:val="148A7C64"/>
    <w:rsid w:val="149A3C1F"/>
    <w:rsid w:val="14A35169"/>
    <w:rsid w:val="14B80712"/>
    <w:rsid w:val="14EF7AC7"/>
    <w:rsid w:val="14F0383F"/>
    <w:rsid w:val="151632A6"/>
    <w:rsid w:val="152359C3"/>
    <w:rsid w:val="153320AA"/>
    <w:rsid w:val="154F67B8"/>
    <w:rsid w:val="15CC1BB7"/>
    <w:rsid w:val="15D171CD"/>
    <w:rsid w:val="15D60C87"/>
    <w:rsid w:val="15E05662"/>
    <w:rsid w:val="15F64E85"/>
    <w:rsid w:val="15F6656E"/>
    <w:rsid w:val="15F731EB"/>
    <w:rsid w:val="15F829AC"/>
    <w:rsid w:val="15FA2BC8"/>
    <w:rsid w:val="160C6A1C"/>
    <w:rsid w:val="161812A0"/>
    <w:rsid w:val="16565924"/>
    <w:rsid w:val="167E55A7"/>
    <w:rsid w:val="16A06BC0"/>
    <w:rsid w:val="16BC74EB"/>
    <w:rsid w:val="16EA0A0B"/>
    <w:rsid w:val="16F01959"/>
    <w:rsid w:val="171E2686"/>
    <w:rsid w:val="175A17EC"/>
    <w:rsid w:val="1783099B"/>
    <w:rsid w:val="17984446"/>
    <w:rsid w:val="179E1C0F"/>
    <w:rsid w:val="17AC7EF2"/>
    <w:rsid w:val="17D64F6F"/>
    <w:rsid w:val="17FCFFF6"/>
    <w:rsid w:val="17FD074D"/>
    <w:rsid w:val="17FF2717"/>
    <w:rsid w:val="18003D99"/>
    <w:rsid w:val="18253800"/>
    <w:rsid w:val="182C2DE0"/>
    <w:rsid w:val="18371EB1"/>
    <w:rsid w:val="183845C3"/>
    <w:rsid w:val="183F2B14"/>
    <w:rsid w:val="185365BF"/>
    <w:rsid w:val="18583BD5"/>
    <w:rsid w:val="188C7DF8"/>
    <w:rsid w:val="18932E60"/>
    <w:rsid w:val="18A4506D"/>
    <w:rsid w:val="18D05E62"/>
    <w:rsid w:val="1945415A"/>
    <w:rsid w:val="19B337B9"/>
    <w:rsid w:val="19C07C84"/>
    <w:rsid w:val="19E805B2"/>
    <w:rsid w:val="1A0062D3"/>
    <w:rsid w:val="1A163D48"/>
    <w:rsid w:val="1A165AF6"/>
    <w:rsid w:val="1A6B4094"/>
    <w:rsid w:val="1A736AA5"/>
    <w:rsid w:val="1A751621"/>
    <w:rsid w:val="1A7F47B4"/>
    <w:rsid w:val="1A8213DE"/>
    <w:rsid w:val="1A82318C"/>
    <w:rsid w:val="1A846F04"/>
    <w:rsid w:val="1A8C640E"/>
    <w:rsid w:val="1AD5775F"/>
    <w:rsid w:val="1AE6196C"/>
    <w:rsid w:val="1AFF336A"/>
    <w:rsid w:val="1B09565B"/>
    <w:rsid w:val="1B23671D"/>
    <w:rsid w:val="1B326FCA"/>
    <w:rsid w:val="1B4538C9"/>
    <w:rsid w:val="1B501DFD"/>
    <w:rsid w:val="1B586AD4"/>
    <w:rsid w:val="1B643A72"/>
    <w:rsid w:val="1B656D35"/>
    <w:rsid w:val="1B7927E1"/>
    <w:rsid w:val="1C104F9B"/>
    <w:rsid w:val="1C145920"/>
    <w:rsid w:val="1C1642E7"/>
    <w:rsid w:val="1C2344FA"/>
    <w:rsid w:val="1C47643B"/>
    <w:rsid w:val="1C4A5BD3"/>
    <w:rsid w:val="1C4E71BE"/>
    <w:rsid w:val="1C5D7A0C"/>
    <w:rsid w:val="1C8467CC"/>
    <w:rsid w:val="1C8E406A"/>
    <w:rsid w:val="1C997751"/>
    <w:rsid w:val="1CAD0994"/>
    <w:rsid w:val="1CBF872E"/>
    <w:rsid w:val="1CD13F56"/>
    <w:rsid w:val="1CEC0D90"/>
    <w:rsid w:val="1D102CD1"/>
    <w:rsid w:val="1D440BCC"/>
    <w:rsid w:val="1DB26E14"/>
    <w:rsid w:val="1E1E4F79"/>
    <w:rsid w:val="1E2C7696"/>
    <w:rsid w:val="1E4E1D03"/>
    <w:rsid w:val="1E805C34"/>
    <w:rsid w:val="1E8C282B"/>
    <w:rsid w:val="1E9D0594"/>
    <w:rsid w:val="1EBD4792"/>
    <w:rsid w:val="1EDD12DA"/>
    <w:rsid w:val="1EDF0BAD"/>
    <w:rsid w:val="1EF5217E"/>
    <w:rsid w:val="1F106FB8"/>
    <w:rsid w:val="1F330EF8"/>
    <w:rsid w:val="1F444EB4"/>
    <w:rsid w:val="1F600A03"/>
    <w:rsid w:val="1F6115C2"/>
    <w:rsid w:val="1F707A57"/>
    <w:rsid w:val="1F813A12"/>
    <w:rsid w:val="1FAF67D1"/>
    <w:rsid w:val="1FBA6F24"/>
    <w:rsid w:val="1FBC2C9C"/>
    <w:rsid w:val="1FC61D6D"/>
    <w:rsid w:val="1FDF698A"/>
    <w:rsid w:val="1FE32951"/>
    <w:rsid w:val="1FED554B"/>
    <w:rsid w:val="1FEF6BCD"/>
    <w:rsid w:val="200563F1"/>
    <w:rsid w:val="201E11C5"/>
    <w:rsid w:val="202D76F6"/>
    <w:rsid w:val="203E3861"/>
    <w:rsid w:val="204038CD"/>
    <w:rsid w:val="20417F0B"/>
    <w:rsid w:val="20534041"/>
    <w:rsid w:val="205C5728"/>
    <w:rsid w:val="20692E24"/>
    <w:rsid w:val="208F215E"/>
    <w:rsid w:val="20A52F7F"/>
    <w:rsid w:val="20C0056A"/>
    <w:rsid w:val="20C2105F"/>
    <w:rsid w:val="20C55B80"/>
    <w:rsid w:val="20C8629B"/>
    <w:rsid w:val="20E26732"/>
    <w:rsid w:val="20EA7CA2"/>
    <w:rsid w:val="21025026"/>
    <w:rsid w:val="210448FA"/>
    <w:rsid w:val="210C37AF"/>
    <w:rsid w:val="213807D9"/>
    <w:rsid w:val="213A031C"/>
    <w:rsid w:val="213C22E6"/>
    <w:rsid w:val="216435EB"/>
    <w:rsid w:val="21696E53"/>
    <w:rsid w:val="216E7FC6"/>
    <w:rsid w:val="217355DC"/>
    <w:rsid w:val="21CE6CB6"/>
    <w:rsid w:val="222039B6"/>
    <w:rsid w:val="22347461"/>
    <w:rsid w:val="228222FA"/>
    <w:rsid w:val="228850B7"/>
    <w:rsid w:val="22993768"/>
    <w:rsid w:val="22B57E4A"/>
    <w:rsid w:val="22C30F5F"/>
    <w:rsid w:val="22CC1448"/>
    <w:rsid w:val="22CF51A9"/>
    <w:rsid w:val="22FE234B"/>
    <w:rsid w:val="230C5CE8"/>
    <w:rsid w:val="23126E2B"/>
    <w:rsid w:val="23166B67"/>
    <w:rsid w:val="231A0405"/>
    <w:rsid w:val="2322550C"/>
    <w:rsid w:val="23451001"/>
    <w:rsid w:val="23682531"/>
    <w:rsid w:val="23867849"/>
    <w:rsid w:val="23952182"/>
    <w:rsid w:val="23963804"/>
    <w:rsid w:val="23AD1FA8"/>
    <w:rsid w:val="23B51EDC"/>
    <w:rsid w:val="23C579E4"/>
    <w:rsid w:val="23CC4CE6"/>
    <w:rsid w:val="23D5257E"/>
    <w:rsid w:val="23F70746"/>
    <w:rsid w:val="23F944BF"/>
    <w:rsid w:val="240510B5"/>
    <w:rsid w:val="242F6132"/>
    <w:rsid w:val="2435301D"/>
    <w:rsid w:val="24361208"/>
    <w:rsid w:val="24390D5F"/>
    <w:rsid w:val="244F2331"/>
    <w:rsid w:val="2452597D"/>
    <w:rsid w:val="246355B9"/>
    <w:rsid w:val="246B4C91"/>
    <w:rsid w:val="24717A8C"/>
    <w:rsid w:val="24B76A25"/>
    <w:rsid w:val="24C3687B"/>
    <w:rsid w:val="24D80578"/>
    <w:rsid w:val="24E33EA6"/>
    <w:rsid w:val="24F26FF6"/>
    <w:rsid w:val="251A2ADF"/>
    <w:rsid w:val="253B4441"/>
    <w:rsid w:val="253D487F"/>
    <w:rsid w:val="2548036D"/>
    <w:rsid w:val="25626093"/>
    <w:rsid w:val="25697422"/>
    <w:rsid w:val="256B13EC"/>
    <w:rsid w:val="258129BE"/>
    <w:rsid w:val="2582760D"/>
    <w:rsid w:val="258C1362"/>
    <w:rsid w:val="258E0C37"/>
    <w:rsid w:val="25981AB5"/>
    <w:rsid w:val="259C77F7"/>
    <w:rsid w:val="25AE3087"/>
    <w:rsid w:val="25AE6A39"/>
    <w:rsid w:val="25D02FFD"/>
    <w:rsid w:val="25DD571A"/>
    <w:rsid w:val="25DF76E4"/>
    <w:rsid w:val="25F8534E"/>
    <w:rsid w:val="261849A4"/>
    <w:rsid w:val="261D1FBA"/>
    <w:rsid w:val="26265313"/>
    <w:rsid w:val="26435EC5"/>
    <w:rsid w:val="264B4D7A"/>
    <w:rsid w:val="267C13D7"/>
    <w:rsid w:val="267E514F"/>
    <w:rsid w:val="2681079B"/>
    <w:rsid w:val="26926505"/>
    <w:rsid w:val="26A41F89"/>
    <w:rsid w:val="26D16E89"/>
    <w:rsid w:val="26D42FC1"/>
    <w:rsid w:val="26F35C52"/>
    <w:rsid w:val="27160EE4"/>
    <w:rsid w:val="27280C17"/>
    <w:rsid w:val="274A3283"/>
    <w:rsid w:val="27693709"/>
    <w:rsid w:val="277327DA"/>
    <w:rsid w:val="277E6F02"/>
    <w:rsid w:val="278C389C"/>
    <w:rsid w:val="2790513A"/>
    <w:rsid w:val="27BC5F2F"/>
    <w:rsid w:val="27F136FF"/>
    <w:rsid w:val="280276BA"/>
    <w:rsid w:val="280E605F"/>
    <w:rsid w:val="28321D4D"/>
    <w:rsid w:val="284701FB"/>
    <w:rsid w:val="284C4266"/>
    <w:rsid w:val="284D7976"/>
    <w:rsid w:val="285443B9"/>
    <w:rsid w:val="28577A06"/>
    <w:rsid w:val="285D2B42"/>
    <w:rsid w:val="28610884"/>
    <w:rsid w:val="289504BB"/>
    <w:rsid w:val="28A40771"/>
    <w:rsid w:val="28A644E9"/>
    <w:rsid w:val="28B9246E"/>
    <w:rsid w:val="28D252DE"/>
    <w:rsid w:val="28E13773"/>
    <w:rsid w:val="28ED3EC6"/>
    <w:rsid w:val="290F6532"/>
    <w:rsid w:val="294176B3"/>
    <w:rsid w:val="294D29D9"/>
    <w:rsid w:val="29634188"/>
    <w:rsid w:val="29714AF7"/>
    <w:rsid w:val="29736AC1"/>
    <w:rsid w:val="298A7967"/>
    <w:rsid w:val="298B1AC7"/>
    <w:rsid w:val="29990575"/>
    <w:rsid w:val="29AC5B2F"/>
    <w:rsid w:val="29F37C02"/>
    <w:rsid w:val="29F67B88"/>
    <w:rsid w:val="29F85218"/>
    <w:rsid w:val="2A027E45"/>
    <w:rsid w:val="2A1060BE"/>
    <w:rsid w:val="2A4C2E6E"/>
    <w:rsid w:val="2A4E4E38"/>
    <w:rsid w:val="2A663F30"/>
    <w:rsid w:val="2A8E283B"/>
    <w:rsid w:val="2A9F38E6"/>
    <w:rsid w:val="2ABF1892"/>
    <w:rsid w:val="2AC375D4"/>
    <w:rsid w:val="2AF6742D"/>
    <w:rsid w:val="2B057BED"/>
    <w:rsid w:val="2B1A46C4"/>
    <w:rsid w:val="2B807273"/>
    <w:rsid w:val="2B870602"/>
    <w:rsid w:val="2BEC6A86"/>
    <w:rsid w:val="2BF5596C"/>
    <w:rsid w:val="2C01033F"/>
    <w:rsid w:val="2C271DE5"/>
    <w:rsid w:val="2C3562B0"/>
    <w:rsid w:val="2C622E1D"/>
    <w:rsid w:val="2C6941AB"/>
    <w:rsid w:val="2C950AFD"/>
    <w:rsid w:val="2CBA67B5"/>
    <w:rsid w:val="2CF47F19"/>
    <w:rsid w:val="2CF73565"/>
    <w:rsid w:val="2D0143E4"/>
    <w:rsid w:val="2D03015C"/>
    <w:rsid w:val="2D152395"/>
    <w:rsid w:val="2D265BF9"/>
    <w:rsid w:val="2D2F4DAB"/>
    <w:rsid w:val="2D371BB4"/>
    <w:rsid w:val="2D5B1D46"/>
    <w:rsid w:val="2D60735C"/>
    <w:rsid w:val="2D656721"/>
    <w:rsid w:val="2D83129D"/>
    <w:rsid w:val="2DDB4C35"/>
    <w:rsid w:val="2DFB0E33"/>
    <w:rsid w:val="2E141EF5"/>
    <w:rsid w:val="2E150147"/>
    <w:rsid w:val="2E580034"/>
    <w:rsid w:val="2E90270F"/>
    <w:rsid w:val="2EA37B6E"/>
    <w:rsid w:val="2ED44416"/>
    <w:rsid w:val="2EDC0C65"/>
    <w:rsid w:val="2EE61AE3"/>
    <w:rsid w:val="2EE87609"/>
    <w:rsid w:val="2F393EED"/>
    <w:rsid w:val="2F433B90"/>
    <w:rsid w:val="2F4F7689"/>
    <w:rsid w:val="2F5E5B1E"/>
    <w:rsid w:val="2F6D4CE4"/>
    <w:rsid w:val="2F6D7B0F"/>
    <w:rsid w:val="2F754677"/>
    <w:rsid w:val="2F950E14"/>
    <w:rsid w:val="2F9818FE"/>
    <w:rsid w:val="2F994DA8"/>
    <w:rsid w:val="2FB43990"/>
    <w:rsid w:val="2FB7522E"/>
    <w:rsid w:val="2FDD1384"/>
    <w:rsid w:val="2FEF49C8"/>
    <w:rsid w:val="303F652C"/>
    <w:rsid w:val="303F76FD"/>
    <w:rsid w:val="30747D59"/>
    <w:rsid w:val="30766E97"/>
    <w:rsid w:val="30795651"/>
    <w:rsid w:val="308E5F8F"/>
    <w:rsid w:val="30973638"/>
    <w:rsid w:val="30BB2AFC"/>
    <w:rsid w:val="30DF0573"/>
    <w:rsid w:val="310B3A83"/>
    <w:rsid w:val="310C55BA"/>
    <w:rsid w:val="3112096E"/>
    <w:rsid w:val="312A2265"/>
    <w:rsid w:val="31387DC4"/>
    <w:rsid w:val="313C1E8F"/>
    <w:rsid w:val="3150593A"/>
    <w:rsid w:val="317E224F"/>
    <w:rsid w:val="31833619"/>
    <w:rsid w:val="31994BEB"/>
    <w:rsid w:val="31B9528D"/>
    <w:rsid w:val="31D200FD"/>
    <w:rsid w:val="31E06CBE"/>
    <w:rsid w:val="31F603C9"/>
    <w:rsid w:val="32004C6A"/>
    <w:rsid w:val="32052280"/>
    <w:rsid w:val="320D55D9"/>
    <w:rsid w:val="32472899"/>
    <w:rsid w:val="325B6344"/>
    <w:rsid w:val="326A47D9"/>
    <w:rsid w:val="328716F8"/>
    <w:rsid w:val="32933D30"/>
    <w:rsid w:val="329D4BAF"/>
    <w:rsid w:val="32BE51C6"/>
    <w:rsid w:val="32BF4B25"/>
    <w:rsid w:val="32CB34E8"/>
    <w:rsid w:val="330C0137"/>
    <w:rsid w:val="332D5F33"/>
    <w:rsid w:val="33315E45"/>
    <w:rsid w:val="333A57B7"/>
    <w:rsid w:val="333F3E43"/>
    <w:rsid w:val="336F654B"/>
    <w:rsid w:val="33721B98"/>
    <w:rsid w:val="33791178"/>
    <w:rsid w:val="337C39AE"/>
    <w:rsid w:val="33857B1D"/>
    <w:rsid w:val="339A10EE"/>
    <w:rsid w:val="33B9550C"/>
    <w:rsid w:val="33CB74FA"/>
    <w:rsid w:val="33F16F60"/>
    <w:rsid w:val="3407662C"/>
    <w:rsid w:val="343A5A3C"/>
    <w:rsid w:val="3442156A"/>
    <w:rsid w:val="34850DEF"/>
    <w:rsid w:val="3491604D"/>
    <w:rsid w:val="34A57D4B"/>
    <w:rsid w:val="34D81ECE"/>
    <w:rsid w:val="35386E11"/>
    <w:rsid w:val="353C1008"/>
    <w:rsid w:val="355E5AD1"/>
    <w:rsid w:val="356814A4"/>
    <w:rsid w:val="35700359"/>
    <w:rsid w:val="357E66E6"/>
    <w:rsid w:val="3592207D"/>
    <w:rsid w:val="35DC59EE"/>
    <w:rsid w:val="35FB2318"/>
    <w:rsid w:val="35FC399A"/>
    <w:rsid w:val="360A60B7"/>
    <w:rsid w:val="36154A5C"/>
    <w:rsid w:val="362F5B1E"/>
    <w:rsid w:val="36431A71"/>
    <w:rsid w:val="364D069A"/>
    <w:rsid w:val="367B5207"/>
    <w:rsid w:val="36870D33"/>
    <w:rsid w:val="368A369C"/>
    <w:rsid w:val="36A209E6"/>
    <w:rsid w:val="36EC1438"/>
    <w:rsid w:val="36FC0F5D"/>
    <w:rsid w:val="36FD5C1C"/>
    <w:rsid w:val="37305FF2"/>
    <w:rsid w:val="37490E61"/>
    <w:rsid w:val="374B0DA2"/>
    <w:rsid w:val="374B6987"/>
    <w:rsid w:val="374E0226"/>
    <w:rsid w:val="375773F8"/>
    <w:rsid w:val="376477E4"/>
    <w:rsid w:val="37696008"/>
    <w:rsid w:val="3771090C"/>
    <w:rsid w:val="377759CE"/>
    <w:rsid w:val="377D0B0B"/>
    <w:rsid w:val="3786679F"/>
    <w:rsid w:val="379876F3"/>
    <w:rsid w:val="38003C16"/>
    <w:rsid w:val="38081A00"/>
    <w:rsid w:val="382044C2"/>
    <w:rsid w:val="384D4981"/>
    <w:rsid w:val="387939C8"/>
    <w:rsid w:val="388C36FB"/>
    <w:rsid w:val="388E7474"/>
    <w:rsid w:val="38B751E6"/>
    <w:rsid w:val="38CA5FD2"/>
    <w:rsid w:val="38D64C86"/>
    <w:rsid w:val="38E478C3"/>
    <w:rsid w:val="38F023FD"/>
    <w:rsid w:val="38FB618B"/>
    <w:rsid w:val="39007C46"/>
    <w:rsid w:val="390F1C37"/>
    <w:rsid w:val="391B4A7F"/>
    <w:rsid w:val="391D3E4B"/>
    <w:rsid w:val="392A6314"/>
    <w:rsid w:val="39361575"/>
    <w:rsid w:val="393E32BB"/>
    <w:rsid w:val="3962445C"/>
    <w:rsid w:val="39693A3D"/>
    <w:rsid w:val="396E2E01"/>
    <w:rsid w:val="39822409"/>
    <w:rsid w:val="39A35E40"/>
    <w:rsid w:val="39D2513E"/>
    <w:rsid w:val="39E15381"/>
    <w:rsid w:val="39E76710"/>
    <w:rsid w:val="39F257E0"/>
    <w:rsid w:val="3A0948D8"/>
    <w:rsid w:val="3A0D43C8"/>
    <w:rsid w:val="3A2D6818"/>
    <w:rsid w:val="3A306308"/>
    <w:rsid w:val="3A325BDD"/>
    <w:rsid w:val="3A4818A4"/>
    <w:rsid w:val="3A5E69D2"/>
    <w:rsid w:val="3A663AD8"/>
    <w:rsid w:val="3A6C5593"/>
    <w:rsid w:val="3A6D130B"/>
    <w:rsid w:val="3A872D51"/>
    <w:rsid w:val="3A9B5E78"/>
    <w:rsid w:val="3A9D4FED"/>
    <w:rsid w:val="3AB042CB"/>
    <w:rsid w:val="3ABB2076"/>
    <w:rsid w:val="3ADC3D9A"/>
    <w:rsid w:val="3AED5FA8"/>
    <w:rsid w:val="3AFD443D"/>
    <w:rsid w:val="3B1A3241"/>
    <w:rsid w:val="3B392F9B"/>
    <w:rsid w:val="3B5B5607"/>
    <w:rsid w:val="3B5D3BE4"/>
    <w:rsid w:val="3B624C93"/>
    <w:rsid w:val="3B7D732B"/>
    <w:rsid w:val="3B9024F6"/>
    <w:rsid w:val="3BA66882"/>
    <w:rsid w:val="3BAB09A2"/>
    <w:rsid w:val="3BBC679F"/>
    <w:rsid w:val="3BC46D08"/>
    <w:rsid w:val="3BD038FF"/>
    <w:rsid w:val="3BDB4462"/>
    <w:rsid w:val="3BFA6BCE"/>
    <w:rsid w:val="3C157564"/>
    <w:rsid w:val="3C1A7270"/>
    <w:rsid w:val="3C2E51A3"/>
    <w:rsid w:val="3C44609B"/>
    <w:rsid w:val="3C683B38"/>
    <w:rsid w:val="3C74072E"/>
    <w:rsid w:val="3C7921E9"/>
    <w:rsid w:val="3C7A386B"/>
    <w:rsid w:val="3C7A7B40"/>
    <w:rsid w:val="3C7C3A87"/>
    <w:rsid w:val="3CBC20D5"/>
    <w:rsid w:val="3CE55188"/>
    <w:rsid w:val="3CE77152"/>
    <w:rsid w:val="3CFD6976"/>
    <w:rsid w:val="3D0D1101"/>
    <w:rsid w:val="3D357127"/>
    <w:rsid w:val="3D3659E4"/>
    <w:rsid w:val="3D3B23B2"/>
    <w:rsid w:val="3D87623F"/>
    <w:rsid w:val="3D986795"/>
    <w:rsid w:val="3DFA4C63"/>
    <w:rsid w:val="3E083824"/>
    <w:rsid w:val="3E3C34CE"/>
    <w:rsid w:val="3E506F79"/>
    <w:rsid w:val="3E522CF1"/>
    <w:rsid w:val="3E680921"/>
    <w:rsid w:val="3E88226F"/>
    <w:rsid w:val="3ED71449"/>
    <w:rsid w:val="3EE94590"/>
    <w:rsid w:val="3EED47C8"/>
    <w:rsid w:val="3EF73899"/>
    <w:rsid w:val="3EFDDE87"/>
    <w:rsid w:val="3F28532F"/>
    <w:rsid w:val="3F285800"/>
    <w:rsid w:val="3F3F2FD1"/>
    <w:rsid w:val="3F6D744E"/>
    <w:rsid w:val="3F731171"/>
    <w:rsid w:val="3F8C3FE1"/>
    <w:rsid w:val="3F8E7D59"/>
    <w:rsid w:val="3F9D61EE"/>
    <w:rsid w:val="3FA27F1B"/>
    <w:rsid w:val="3FA330D9"/>
    <w:rsid w:val="3FA7099B"/>
    <w:rsid w:val="3FC92B3F"/>
    <w:rsid w:val="3FD61700"/>
    <w:rsid w:val="3FD82768"/>
    <w:rsid w:val="3FDA2F9E"/>
    <w:rsid w:val="3FEC0F24"/>
    <w:rsid w:val="40104C12"/>
    <w:rsid w:val="404E1296"/>
    <w:rsid w:val="404E573A"/>
    <w:rsid w:val="405014B2"/>
    <w:rsid w:val="406867FC"/>
    <w:rsid w:val="407C4056"/>
    <w:rsid w:val="4093139F"/>
    <w:rsid w:val="409F7D44"/>
    <w:rsid w:val="40EF4827"/>
    <w:rsid w:val="4117383C"/>
    <w:rsid w:val="41210759"/>
    <w:rsid w:val="41306BEE"/>
    <w:rsid w:val="41322966"/>
    <w:rsid w:val="415A12F9"/>
    <w:rsid w:val="41605725"/>
    <w:rsid w:val="41654AEA"/>
    <w:rsid w:val="4182744A"/>
    <w:rsid w:val="419B2857"/>
    <w:rsid w:val="41B617E9"/>
    <w:rsid w:val="41D71DA8"/>
    <w:rsid w:val="41FD2F74"/>
    <w:rsid w:val="420C1409"/>
    <w:rsid w:val="420F4A55"/>
    <w:rsid w:val="42132798"/>
    <w:rsid w:val="422E4FE9"/>
    <w:rsid w:val="42366486"/>
    <w:rsid w:val="425D3A13"/>
    <w:rsid w:val="4265561A"/>
    <w:rsid w:val="42734FE4"/>
    <w:rsid w:val="428E62C2"/>
    <w:rsid w:val="42A17DA3"/>
    <w:rsid w:val="42A772EB"/>
    <w:rsid w:val="42BA0E65"/>
    <w:rsid w:val="42BB2D0A"/>
    <w:rsid w:val="42CA0D04"/>
    <w:rsid w:val="42D15097"/>
    <w:rsid w:val="42D27F5D"/>
    <w:rsid w:val="42D57A4D"/>
    <w:rsid w:val="42F34036"/>
    <w:rsid w:val="42F34E69"/>
    <w:rsid w:val="430640D4"/>
    <w:rsid w:val="43065E58"/>
    <w:rsid w:val="43193DDE"/>
    <w:rsid w:val="4320516C"/>
    <w:rsid w:val="43210EE4"/>
    <w:rsid w:val="4335673E"/>
    <w:rsid w:val="4346094B"/>
    <w:rsid w:val="4359242C"/>
    <w:rsid w:val="437E1E93"/>
    <w:rsid w:val="4391606A"/>
    <w:rsid w:val="439367F3"/>
    <w:rsid w:val="439B2A45"/>
    <w:rsid w:val="43BD1D7C"/>
    <w:rsid w:val="43CF6B92"/>
    <w:rsid w:val="43FB1735"/>
    <w:rsid w:val="441A0C25"/>
    <w:rsid w:val="442962A2"/>
    <w:rsid w:val="44305883"/>
    <w:rsid w:val="443F7874"/>
    <w:rsid w:val="445B51E7"/>
    <w:rsid w:val="44676DCB"/>
    <w:rsid w:val="446C618F"/>
    <w:rsid w:val="44A57C2A"/>
    <w:rsid w:val="44B063C2"/>
    <w:rsid w:val="44D63DB5"/>
    <w:rsid w:val="44DC3315"/>
    <w:rsid w:val="44E346A3"/>
    <w:rsid w:val="450B19A9"/>
    <w:rsid w:val="4513485D"/>
    <w:rsid w:val="451B472F"/>
    <w:rsid w:val="451F3201"/>
    <w:rsid w:val="45355DB7"/>
    <w:rsid w:val="454F3AE7"/>
    <w:rsid w:val="456A6B72"/>
    <w:rsid w:val="456B3081"/>
    <w:rsid w:val="456D6663"/>
    <w:rsid w:val="4574179F"/>
    <w:rsid w:val="4588349D"/>
    <w:rsid w:val="45957BB7"/>
    <w:rsid w:val="459B31D0"/>
    <w:rsid w:val="459E681C"/>
    <w:rsid w:val="45A002F6"/>
    <w:rsid w:val="45A65CA0"/>
    <w:rsid w:val="45A81449"/>
    <w:rsid w:val="45B46040"/>
    <w:rsid w:val="45BA2B7D"/>
    <w:rsid w:val="45C67B21"/>
    <w:rsid w:val="45D24718"/>
    <w:rsid w:val="462F50C2"/>
    <w:rsid w:val="464707A6"/>
    <w:rsid w:val="46492C2C"/>
    <w:rsid w:val="46690BD8"/>
    <w:rsid w:val="4674298A"/>
    <w:rsid w:val="46936EA4"/>
    <w:rsid w:val="46A41C10"/>
    <w:rsid w:val="46AC31BB"/>
    <w:rsid w:val="46AE6F33"/>
    <w:rsid w:val="46AF79F9"/>
    <w:rsid w:val="46BA7686"/>
    <w:rsid w:val="46C6427C"/>
    <w:rsid w:val="46D02A05"/>
    <w:rsid w:val="46DA1AD6"/>
    <w:rsid w:val="46E14A18"/>
    <w:rsid w:val="46E464B1"/>
    <w:rsid w:val="470813E8"/>
    <w:rsid w:val="471054F8"/>
    <w:rsid w:val="4714323A"/>
    <w:rsid w:val="47413903"/>
    <w:rsid w:val="47730B93"/>
    <w:rsid w:val="47887784"/>
    <w:rsid w:val="47925F0D"/>
    <w:rsid w:val="47AF4671"/>
    <w:rsid w:val="47B42327"/>
    <w:rsid w:val="47C56D49"/>
    <w:rsid w:val="47CA7D9C"/>
    <w:rsid w:val="47D2657C"/>
    <w:rsid w:val="47DB78B4"/>
    <w:rsid w:val="47E97841"/>
    <w:rsid w:val="48027536"/>
    <w:rsid w:val="48140A12"/>
    <w:rsid w:val="4860425D"/>
    <w:rsid w:val="487D7A24"/>
    <w:rsid w:val="48A42047"/>
    <w:rsid w:val="48A73C3A"/>
    <w:rsid w:val="48B63E7D"/>
    <w:rsid w:val="48B819A3"/>
    <w:rsid w:val="48C04CFB"/>
    <w:rsid w:val="48DD53FB"/>
    <w:rsid w:val="48EC789E"/>
    <w:rsid w:val="49290AF3"/>
    <w:rsid w:val="492B03C7"/>
    <w:rsid w:val="49441489"/>
    <w:rsid w:val="494871CB"/>
    <w:rsid w:val="4972249A"/>
    <w:rsid w:val="498D2E30"/>
    <w:rsid w:val="49971F00"/>
    <w:rsid w:val="49B62248"/>
    <w:rsid w:val="49C5081B"/>
    <w:rsid w:val="49CA0FAD"/>
    <w:rsid w:val="49CA4084"/>
    <w:rsid w:val="49D40A5E"/>
    <w:rsid w:val="49EC224C"/>
    <w:rsid w:val="49EF3AEA"/>
    <w:rsid w:val="49EF5898"/>
    <w:rsid w:val="4A3414FD"/>
    <w:rsid w:val="4A3A309A"/>
    <w:rsid w:val="4A5D4EF8"/>
    <w:rsid w:val="4A5E47CC"/>
    <w:rsid w:val="4A77763C"/>
    <w:rsid w:val="4A875AD1"/>
    <w:rsid w:val="4AAC19DB"/>
    <w:rsid w:val="4ABA5EA6"/>
    <w:rsid w:val="4AC960E9"/>
    <w:rsid w:val="4ACC0BEA"/>
    <w:rsid w:val="4AF229B2"/>
    <w:rsid w:val="4B3D6AD7"/>
    <w:rsid w:val="4B571947"/>
    <w:rsid w:val="4B5A1437"/>
    <w:rsid w:val="4B736055"/>
    <w:rsid w:val="4BBD5522"/>
    <w:rsid w:val="4BC6087B"/>
    <w:rsid w:val="4BED4059"/>
    <w:rsid w:val="4C003D8D"/>
    <w:rsid w:val="4C043151"/>
    <w:rsid w:val="4C15535E"/>
    <w:rsid w:val="4C177328"/>
    <w:rsid w:val="4C413F68"/>
    <w:rsid w:val="4C455C43"/>
    <w:rsid w:val="4C6611ED"/>
    <w:rsid w:val="4C7402D7"/>
    <w:rsid w:val="4CBD57DA"/>
    <w:rsid w:val="4CCF19B1"/>
    <w:rsid w:val="4CD11285"/>
    <w:rsid w:val="4CD64AED"/>
    <w:rsid w:val="4CD6689C"/>
    <w:rsid w:val="4CE511D4"/>
    <w:rsid w:val="4D502AF2"/>
    <w:rsid w:val="4D583754"/>
    <w:rsid w:val="4D5D3BD3"/>
    <w:rsid w:val="4D5E3588"/>
    <w:rsid w:val="4D7C38E7"/>
    <w:rsid w:val="4D942E5A"/>
    <w:rsid w:val="4DD92AE7"/>
    <w:rsid w:val="4DEB6377"/>
    <w:rsid w:val="4DF53699"/>
    <w:rsid w:val="4DFC4102"/>
    <w:rsid w:val="4E10402F"/>
    <w:rsid w:val="4E2F2707"/>
    <w:rsid w:val="4E3E0D43"/>
    <w:rsid w:val="4E3E294A"/>
    <w:rsid w:val="4E45017D"/>
    <w:rsid w:val="4E4F2DA9"/>
    <w:rsid w:val="4E5B5471"/>
    <w:rsid w:val="4E65437B"/>
    <w:rsid w:val="4E805B61"/>
    <w:rsid w:val="4EAD7AD0"/>
    <w:rsid w:val="4EB7F892"/>
    <w:rsid w:val="4ED4505D"/>
    <w:rsid w:val="4ED7041B"/>
    <w:rsid w:val="4EEC5046"/>
    <w:rsid w:val="4EFB4CDF"/>
    <w:rsid w:val="4EFD4BB2"/>
    <w:rsid w:val="4F1D6A04"/>
    <w:rsid w:val="4F2A2ECF"/>
    <w:rsid w:val="4F302BDB"/>
    <w:rsid w:val="4F3C29F8"/>
    <w:rsid w:val="4F4E3061"/>
    <w:rsid w:val="4F7B197C"/>
    <w:rsid w:val="4F894099"/>
    <w:rsid w:val="4F9B5B7A"/>
    <w:rsid w:val="4FAD5FDA"/>
    <w:rsid w:val="4FC624D0"/>
    <w:rsid w:val="4FD3745D"/>
    <w:rsid w:val="4FE6773D"/>
    <w:rsid w:val="4FEB08B0"/>
    <w:rsid w:val="4FF0236A"/>
    <w:rsid w:val="500D67CD"/>
    <w:rsid w:val="501C315F"/>
    <w:rsid w:val="506A3ECB"/>
    <w:rsid w:val="50827466"/>
    <w:rsid w:val="50B15413"/>
    <w:rsid w:val="51031C29"/>
    <w:rsid w:val="51140C15"/>
    <w:rsid w:val="5116195C"/>
    <w:rsid w:val="516777E7"/>
    <w:rsid w:val="51736DAF"/>
    <w:rsid w:val="51750D79"/>
    <w:rsid w:val="517843C5"/>
    <w:rsid w:val="51A96C75"/>
    <w:rsid w:val="51CF4131"/>
    <w:rsid w:val="51FC0A11"/>
    <w:rsid w:val="5226253D"/>
    <w:rsid w:val="523E42B2"/>
    <w:rsid w:val="52701540"/>
    <w:rsid w:val="528E34A6"/>
    <w:rsid w:val="529D410E"/>
    <w:rsid w:val="52AE45C6"/>
    <w:rsid w:val="52CD24EF"/>
    <w:rsid w:val="52D03D8D"/>
    <w:rsid w:val="5302488E"/>
    <w:rsid w:val="532279AC"/>
    <w:rsid w:val="53316F22"/>
    <w:rsid w:val="53365140"/>
    <w:rsid w:val="534722A1"/>
    <w:rsid w:val="53672094"/>
    <w:rsid w:val="53A15444"/>
    <w:rsid w:val="53BC7DF6"/>
    <w:rsid w:val="53C02053"/>
    <w:rsid w:val="53CE4770"/>
    <w:rsid w:val="53FE1EF1"/>
    <w:rsid w:val="541F0028"/>
    <w:rsid w:val="54244390"/>
    <w:rsid w:val="54262BDE"/>
    <w:rsid w:val="54493DF7"/>
    <w:rsid w:val="544C2A8B"/>
    <w:rsid w:val="54622097"/>
    <w:rsid w:val="54694499"/>
    <w:rsid w:val="54716287"/>
    <w:rsid w:val="54A35BFD"/>
    <w:rsid w:val="54D77655"/>
    <w:rsid w:val="54D97871"/>
    <w:rsid w:val="54E16725"/>
    <w:rsid w:val="551663CF"/>
    <w:rsid w:val="552A0475"/>
    <w:rsid w:val="553761F6"/>
    <w:rsid w:val="553D7E00"/>
    <w:rsid w:val="55480552"/>
    <w:rsid w:val="5560589C"/>
    <w:rsid w:val="557B4484"/>
    <w:rsid w:val="5588094F"/>
    <w:rsid w:val="55BA485F"/>
    <w:rsid w:val="56073F6A"/>
    <w:rsid w:val="560C1580"/>
    <w:rsid w:val="56151416"/>
    <w:rsid w:val="56226FF5"/>
    <w:rsid w:val="56357DB2"/>
    <w:rsid w:val="56680EAC"/>
    <w:rsid w:val="56737851"/>
    <w:rsid w:val="56883B2C"/>
    <w:rsid w:val="56B22127"/>
    <w:rsid w:val="56CB31E9"/>
    <w:rsid w:val="56DB71AF"/>
    <w:rsid w:val="56DC7FCD"/>
    <w:rsid w:val="56FA61B6"/>
    <w:rsid w:val="57091480"/>
    <w:rsid w:val="570B7A8A"/>
    <w:rsid w:val="573174F0"/>
    <w:rsid w:val="57430FD1"/>
    <w:rsid w:val="57441E9D"/>
    <w:rsid w:val="57482A8C"/>
    <w:rsid w:val="57684EDC"/>
    <w:rsid w:val="5782286C"/>
    <w:rsid w:val="578D10CB"/>
    <w:rsid w:val="57CC546B"/>
    <w:rsid w:val="57CF2661"/>
    <w:rsid w:val="57D91936"/>
    <w:rsid w:val="57DD1D3D"/>
    <w:rsid w:val="57DF519E"/>
    <w:rsid w:val="57E17504"/>
    <w:rsid w:val="581F1A3E"/>
    <w:rsid w:val="582901C7"/>
    <w:rsid w:val="583A6878"/>
    <w:rsid w:val="58726012"/>
    <w:rsid w:val="58920462"/>
    <w:rsid w:val="589761C5"/>
    <w:rsid w:val="58A3441E"/>
    <w:rsid w:val="58A43CF2"/>
    <w:rsid w:val="58C12AF6"/>
    <w:rsid w:val="58CD149A"/>
    <w:rsid w:val="58EB1FE8"/>
    <w:rsid w:val="59091DA7"/>
    <w:rsid w:val="591E5852"/>
    <w:rsid w:val="59205A6E"/>
    <w:rsid w:val="59576FB6"/>
    <w:rsid w:val="59732191"/>
    <w:rsid w:val="5979517E"/>
    <w:rsid w:val="59A33FA9"/>
    <w:rsid w:val="59AF294E"/>
    <w:rsid w:val="59E06FAB"/>
    <w:rsid w:val="59E24AD2"/>
    <w:rsid w:val="59F9006D"/>
    <w:rsid w:val="5A0709DC"/>
    <w:rsid w:val="5A0C4A9A"/>
    <w:rsid w:val="5A36306F"/>
    <w:rsid w:val="5A5915AC"/>
    <w:rsid w:val="5A6220B6"/>
    <w:rsid w:val="5A76346C"/>
    <w:rsid w:val="5AA004E9"/>
    <w:rsid w:val="5AAE2C06"/>
    <w:rsid w:val="5AB32912"/>
    <w:rsid w:val="5ABBC979"/>
    <w:rsid w:val="5ADA39FB"/>
    <w:rsid w:val="5ADF54B5"/>
    <w:rsid w:val="5AE12FDB"/>
    <w:rsid w:val="5AE96334"/>
    <w:rsid w:val="5AEA2B03"/>
    <w:rsid w:val="5B073454"/>
    <w:rsid w:val="5B08580C"/>
    <w:rsid w:val="5B0E7B48"/>
    <w:rsid w:val="5B280C0A"/>
    <w:rsid w:val="5B4D68C3"/>
    <w:rsid w:val="5B773940"/>
    <w:rsid w:val="5B7E082A"/>
    <w:rsid w:val="5B8E24AD"/>
    <w:rsid w:val="5B962018"/>
    <w:rsid w:val="5B9A34F2"/>
    <w:rsid w:val="5BA74225"/>
    <w:rsid w:val="5BA75F0B"/>
    <w:rsid w:val="5BAC35E9"/>
    <w:rsid w:val="5BBB382C"/>
    <w:rsid w:val="5BC22F0A"/>
    <w:rsid w:val="5BC56459"/>
    <w:rsid w:val="5BE85E7A"/>
    <w:rsid w:val="5BED7F47"/>
    <w:rsid w:val="5BEF3024"/>
    <w:rsid w:val="5BFC7B3B"/>
    <w:rsid w:val="5C1004D6"/>
    <w:rsid w:val="5C102F38"/>
    <w:rsid w:val="5C14118E"/>
    <w:rsid w:val="5C6F4617"/>
    <w:rsid w:val="5C82259C"/>
    <w:rsid w:val="5CBC0239"/>
    <w:rsid w:val="5D217368"/>
    <w:rsid w:val="5D257216"/>
    <w:rsid w:val="5D2673CB"/>
    <w:rsid w:val="5D2B6790"/>
    <w:rsid w:val="5D3513BC"/>
    <w:rsid w:val="5D3A4C25"/>
    <w:rsid w:val="5D4572A0"/>
    <w:rsid w:val="5DA12EF6"/>
    <w:rsid w:val="5DB621E5"/>
    <w:rsid w:val="5DCC2D27"/>
    <w:rsid w:val="5DD50E01"/>
    <w:rsid w:val="5DE132F2"/>
    <w:rsid w:val="5DE54B90"/>
    <w:rsid w:val="5DF272AD"/>
    <w:rsid w:val="5DF63241"/>
    <w:rsid w:val="5E162F9C"/>
    <w:rsid w:val="5E231B5D"/>
    <w:rsid w:val="5E380976"/>
    <w:rsid w:val="5E77C7C6"/>
    <w:rsid w:val="5E791835"/>
    <w:rsid w:val="5E9C2024"/>
    <w:rsid w:val="5EA30896"/>
    <w:rsid w:val="5EB81ADB"/>
    <w:rsid w:val="5EBD5B0D"/>
    <w:rsid w:val="5EE66E12"/>
    <w:rsid w:val="5EE70DDC"/>
    <w:rsid w:val="5EE74D1C"/>
    <w:rsid w:val="5F013C4C"/>
    <w:rsid w:val="5F13572D"/>
    <w:rsid w:val="5F1C2834"/>
    <w:rsid w:val="5F1D035A"/>
    <w:rsid w:val="5F277E42"/>
    <w:rsid w:val="5F3A775F"/>
    <w:rsid w:val="5F465B03"/>
    <w:rsid w:val="5F7A64AD"/>
    <w:rsid w:val="5F8403D9"/>
    <w:rsid w:val="5FA12D39"/>
    <w:rsid w:val="5FA171DD"/>
    <w:rsid w:val="5FBE36D4"/>
    <w:rsid w:val="5FC03B07"/>
    <w:rsid w:val="5FC66C44"/>
    <w:rsid w:val="5FDE3F8D"/>
    <w:rsid w:val="5FFFAAE0"/>
    <w:rsid w:val="60211B97"/>
    <w:rsid w:val="60327E35"/>
    <w:rsid w:val="6082700E"/>
    <w:rsid w:val="60883EF9"/>
    <w:rsid w:val="60A952CA"/>
    <w:rsid w:val="60BA7393"/>
    <w:rsid w:val="60DA0BF8"/>
    <w:rsid w:val="60EC26DA"/>
    <w:rsid w:val="60FB0B6F"/>
    <w:rsid w:val="6109328C"/>
    <w:rsid w:val="611A079F"/>
    <w:rsid w:val="6163768A"/>
    <w:rsid w:val="61722BDF"/>
    <w:rsid w:val="618648DC"/>
    <w:rsid w:val="61A06982"/>
    <w:rsid w:val="61AD1E69"/>
    <w:rsid w:val="61BA27D8"/>
    <w:rsid w:val="620D2908"/>
    <w:rsid w:val="62487121"/>
    <w:rsid w:val="624D0F56"/>
    <w:rsid w:val="62712E97"/>
    <w:rsid w:val="628D3A49"/>
    <w:rsid w:val="62960B4F"/>
    <w:rsid w:val="62AA0157"/>
    <w:rsid w:val="62BD2580"/>
    <w:rsid w:val="62CE653B"/>
    <w:rsid w:val="62D653F0"/>
    <w:rsid w:val="62DB0C58"/>
    <w:rsid w:val="62EE2739"/>
    <w:rsid w:val="630F445E"/>
    <w:rsid w:val="633006D6"/>
    <w:rsid w:val="633B5253"/>
    <w:rsid w:val="634E31D8"/>
    <w:rsid w:val="6356208C"/>
    <w:rsid w:val="6367429A"/>
    <w:rsid w:val="63844E4C"/>
    <w:rsid w:val="63961E23"/>
    <w:rsid w:val="639C3F43"/>
    <w:rsid w:val="63E36016"/>
    <w:rsid w:val="63F21DB5"/>
    <w:rsid w:val="641451FA"/>
    <w:rsid w:val="64241E12"/>
    <w:rsid w:val="64925346"/>
    <w:rsid w:val="64A15589"/>
    <w:rsid w:val="64C574CA"/>
    <w:rsid w:val="64D43BB1"/>
    <w:rsid w:val="64D57D88"/>
    <w:rsid w:val="64D70FAB"/>
    <w:rsid w:val="6522491C"/>
    <w:rsid w:val="6530528B"/>
    <w:rsid w:val="65314B5F"/>
    <w:rsid w:val="65415B58"/>
    <w:rsid w:val="65556AA0"/>
    <w:rsid w:val="65586590"/>
    <w:rsid w:val="65736F26"/>
    <w:rsid w:val="657D5FF6"/>
    <w:rsid w:val="65B37C6A"/>
    <w:rsid w:val="65B405D8"/>
    <w:rsid w:val="65D57BE0"/>
    <w:rsid w:val="661701F9"/>
    <w:rsid w:val="66255307"/>
    <w:rsid w:val="66347B2F"/>
    <w:rsid w:val="667E5B82"/>
    <w:rsid w:val="667FD72C"/>
    <w:rsid w:val="6684455A"/>
    <w:rsid w:val="66903B07"/>
    <w:rsid w:val="66A979FF"/>
    <w:rsid w:val="66C756DB"/>
    <w:rsid w:val="67103ED9"/>
    <w:rsid w:val="677156E7"/>
    <w:rsid w:val="677B6565"/>
    <w:rsid w:val="67851192"/>
    <w:rsid w:val="67A96C2F"/>
    <w:rsid w:val="67C27CF0"/>
    <w:rsid w:val="67E10ABE"/>
    <w:rsid w:val="67F43143"/>
    <w:rsid w:val="680B5B3B"/>
    <w:rsid w:val="68112A26"/>
    <w:rsid w:val="68150768"/>
    <w:rsid w:val="682664D1"/>
    <w:rsid w:val="68336E40"/>
    <w:rsid w:val="6867711E"/>
    <w:rsid w:val="686E1C26"/>
    <w:rsid w:val="6874548F"/>
    <w:rsid w:val="687A05CB"/>
    <w:rsid w:val="68923B67"/>
    <w:rsid w:val="68972A5B"/>
    <w:rsid w:val="68EF0D46"/>
    <w:rsid w:val="68F91E38"/>
    <w:rsid w:val="69132EFA"/>
    <w:rsid w:val="69256789"/>
    <w:rsid w:val="692A3D9F"/>
    <w:rsid w:val="692C3FBB"/>
    <w:rsid w:val="694A2693"/>
    <w:rsid w:val="69591C34"/>
    <w:rsid w:val="695B21AB"/>
    <w:rsid w:val="69727678"/>
    <w:rsid w:val="69793CC5"/>
    <w:rsid w:val="697D4817"/>
    <w:rsid w:val="698E2580"/>
    <w:rsid w:val="699E02E9"/>
    <w:rsid w:val="69BE2739"/>
    <w:rsid w:val="69C46E79"/>
    <w:rsid w:val="69F85A87"/>
    <w:rsid w:val="6A12486A"/>
    <w:rsid w:val="6A164324"/>
    <w:rsid w:val="6A211646"/>
    <w:rsid w:val="6A3D5D54"/>
    <w:rsid w:val="6A6B0B13"/>
    <w:rsid w:val="6A8676FB"/>
    <w:rsid w:val="6A8A4024"/>
    <w:rsid w:val="6A8D1437"/>
    <w:rsid w:val="6AA06A0F"/>
    <w:rsid w:val="6ABE64BE"/>
    <w:rsid w:val="6ACB15B2"/>
    <w:rsid w:val="6AD20B92"/>
    <w:rsid w:val="6AD46A66"/>
    <w:rsid w:val="6AEC1C54"/>
    <w:rsid w:val="6B0074AE"/>
    <w:rsid w:val="6B040620"/>
    <w:rsid w:val="6B044C40"/>
    <w:rsid w:val="6B144D07"/>
    <w:rsid w:val="6B317667"/>
    <w:rsid w:val="6B5F16C5"/>
    <w:rsid w:val="6B7359AC"/>
    <w:rsid w:val="6B7E6624"/>
    <w:rsid w:val="6B8A4FC9"/>
    <w:rsid w:val="6B981494"/>
    <w:rsid w:val="6BA75B7B"/>
    <w:rsid w:val="6BDB75D3"/>
    <w:rsid w:val="6BF76FC7"/>
    <w:rsid w:val="6C1E7411"/>
    <w:rsid w:val="6C315445"/>
    <w:rsid w:val="6C4C04D0"/>
    <w:rsid w:val="6C5630FD"/>
    <w:rsid w:val="6C68355C"/>
    <w:rsid w:val="6C847C6A"/>
    <w:rsid w:val="6C8D2FC3"/>
    <w:rsid w:val="6CA81BAB"/>
    <w:rsid w:val="6CC22541"/>
    <w:rsid w:val="6CE60925"/>
    <w:rsid w:val="6CF3EA5A"/>
    <w:rsid w:val="6CF62502"/>
    <w:rsid w:val="6D2D0302"/>
    <w:rsid w:val="6D521B17"/>
    <w:rsid w:val="6D684E88"/>
    <w:rsid w:val="6DA22A9E"/>
    <w:rsid w:val="6DA32372"/>
    <w:rsid w:val="6DA700B4"/>
    <w:rsid w:val="6DAA5EF7"/>
    <w:rsid w:val="6DDA2238"/>
    <w:rsid w:val="6DEC5AC7"/>
    <w:rsid w:val="6E104395"/>
    <w:rsid w:val="6E296D1B"/>
    <w:rsid w:val="6E301E58"/>
    <w:rsid w:val="6E37217F"/>
    <w:rsid w:val="6E421B8B"/>
    <w:rsid w:val="6E69536A"/>
    <w:rsid w:val="6E891568"/>
    <w:rsid w:val="6E9A3775"/>
    <w:rsid w:val="6EAC5256"/>
    <w:rsid w:val="6EDD6664"/>
    <w:rsid w:val="6EF2710D"/>
    <w:rsid w:val="6F1C1183"/>
    <w:rsid w:val="6F2D283B"/>
    <w:rsid w:val="6F307C36"/>
    <w:rsid w:val="6F5558EE"/>
    <w:rsid w:val="6F600666"/>
    <w:rsid w:val="6F60676D"/>
    <w:rsid w:val="6F863CF9"/>
    <w:rsid w:val="6FB22D40"/>
    <w:rsid w:val="6FB97C2B"/>
    <w:rsid w:val="6FDE3B35"/>
    <w:rsid w:val="6FE27182"/>
    <w:rsid w:val="70221C74"/>
    <w:rsid w:val="70237CAA"/>
    <w:rsid w:val="705363C1"/>
    <w:rsid w:val="707D6EAA"/>
    <w:rsid w:val="70AD3C34"/>
    <w:rsid w:val="70C1148D"/>
    <w:rsid w:val="70E62CA2"/>
    <w:rsid w:val="70F7175E"/>
    <w:rsid w:val="711D41EA"/>
    <w:rsid w:val="71285068"/>
    <w:rsid w:val="712B3716"/>
    <w:rsid w:val="712B6906"/>
    <w:rsid w:val="71793B16"/>
    <w:rsid w:val="718524BB"/>
    <w:rsid w:val="71900E5F"/>
    <w:rsid w:val="71961C5C"/>
    <w:rsid w:val="71D376CA"/>
    <w:rsid w:val="71FC3F4E"/>
    <w:rsid w:val="72367C59"/>
    <w:rsid w:val="724E4FA2"/>
    <w:rsid w:val="725455B8"/>
    <w:rsid w:val="72607410"/>
    <w:rsid w:val="72987FCC"/>
    <w:rsid w:val="72AB139A"/>
    <w:rsid w:val="72C54B39"/>
    <w:rsid w:val="73125FD0"/>
    <w:rsid w:val="731A1328"/>
    <w:rsid w:val="731F06ED"/>
    <w:rsid w:val="733D30E0"/>
    <w:rsid w:val="73440153"/>
    <w:rsid w:val="73AB01D2"/>
    <w:rsid w:val="73B0236C"/>
    <w:rsid w:val="73BE3A62"/>
    <w:rsid w:val="73CD639B"/>
    <w:rsid w:val="73D217C3"/>
    <w:rsid w:val="73D74B24"/>
    <w:rsid w:val="73DB2866"/>
    <w:rsid w:val="73E07E7C"/>
    <w:rsid w:val="74026044"/>
    <w:rsid w:val="745368A0"/>
    <w:rsid w:val="74604B19"/>
    <w:rsid w:val="74665DD1"/>
    <w:rsid w:val="7476433D"/>
    <w:rsid w:val="74980757"/>
    <w:rsid w:val="749B171E"/>
    <w:rsid w:val="74B265BE"/>
    <w:rsid w:val="74B310ED"/>
    <w:rsid w:val="74C7103C"/>
    <w:rsid w:val="74EC0AA3"/>
    <w:rsid w:val="74FF4332"/>
    <w:rsid w:val="751C3136"/>
    <w:rsid w:val="75263FB5"/>
    <w:rsid w:val="753C4E9B"/>
    <w:rsid w:val="75644ADD"/>
    <w:rsid w:val="756D0068"/>
    <w:rsid w:val="757C2E60"/>
    <w:rsid w:val="757F0D0E"/>
    <w:rsid w:val="75862CA5"/>
    <w:rsid w:val="759929D8"/>
    <w:rsid w:val="75C56449"/>
    <w:rsid w:val="75CC3AD6"/>
    <w:rsid w:val="76320737"/>
    <w:rsid w:val="763B583E"/>
    <w:rsid w:val="763C5112"/>
    <w:rsid w:val="764A782F"/>
    <w:rsid w:val="765406AD"/>
    <w:rsid w:val="76636B42"/>
    <w:rsid w:val="769B7804"/>
    <w:rsid w:val="76A07D97"/>
    <w:rsid w:val="76B924B2"/>
    <w:rsid w:val="76CE33B8"/>
    <w:rsid w:val="76EC2FDC"/>
    <w:rsid w:val="76F123A0"/>
    <w:rsid w:val="76F459ED"/>
    <w:rsid w:val="76F679B7"/>
    <w:rsid w:val="771A18F7"/>
    <w:rsid w:val="77274014"/>
    <w:rsid w:val="77302EC9"/>
    <w:rsid w:val="77410A12"/>
    <w:rsid w:val="77456248"/>
    <w:rsid w:val="774A3324"/>
    <w:rsid w:val="77846D70"/>
    <w:rsid w:val="779D6084"/>
    <w:rsid w:val="779FCBF0"/>
    <w:rsid w:val="77B75398"/>
    <w:rsid w:val="77BE04D4"/>
    <w:rsid w:val="77C47545"/>
    <w:rsid w:val="77F51A1C"/>
    <w:rsid w:val="77F7E21B"/>
    <w:rsid w:val="781113A7"/>
    <w:rsid w:val="782D11B6"/>
    <w:rsid w:val="784A024E"/>
    <w:rsid w:val="788F1E71"/>
    <w:rsid w:val="789631FF"/>
    <w:rsid w:val="78B418D7"/>
    <w:rsid w:val="78D51BF0"/>
    <w:rsid w:val="78DD2897"/>
    <w:rsid w:val="78DF4BA6"/>
    <w:rsid w:val="78E21493"/>
    <w:rsid w:val="78EC72C3"/>
    <w:rsid w:val="78EE6B97"/>
    <w:rsid w:val="79050385"/>
    <w:rsid w:val="7908577F"/>
    <w:rsid w:val="790A599B"/>
    <w:rsid w:val="790C1F77"/>
    <w:rsid w:val="791E6510"/>
    <w:rsid w:val="79202AC9"/>
    <w:rsid w:val="79570BE0"/>
    <w:rsid w:val="799C2A97"/>
    <w:rsid w:val="79AC25AE"/>
    <w:rsid w:val="79CB512B"/>
    <w:rsid w:val="79CD0EA3"/>
    <w:rsid w:val="79D42231"/>
    <w:rsid w:val="79E2F975"/>
    <w:rsid w:val="7A1B68CA"/>
    <w:rsid w:val="7A24483B"/>
    <w:rsid w:val="7A3C1B84"/>
    <w:rsid w:val="7A4954A2"/>
    <w:rsid w:val="7A545120"/>
    <w:rsid w:val="7A6510DB"/>
    <w:rsid w:val="7A65732D"/>
    <w:rsid w:val="7A831561"/>
    <w:rsid w:val="7A951295"/>
    <w:rsid w:val="7A9C2623"/>
    <w:rsid w:val="7AA4209F"/>
    <w:rsid w:val="7AAF67FA"/>
    <w:rsid w:val="7ABB519F"/>
    <w:rsid w:val="7AC8166A"/>
    <w:rsid w:val="7AFB559C"/>
    <w:rsid w:val="7B0501C8"/>
    <w:rsid w:val="7B160627"/>
    <w:rsid w:val="7B22521E"/>
    <w:rsid w:val="7B3BDBF2"/>
    <w:rsid w:val="7B494559"/>
    <w:rsid w:val="7B5178B1"/>
    <w:rsid w:val="7B713AB0"/>
    <w:rsid w:val="7B86755B"/>
    <w:rsid w:val="7B8F3F36"/>
    <w:rsid w:val="7B931C78"/>
    <w:rsid w:val="7BAB5214"/>
    <w:rsid w:val="7BB37C24"/>
    <w:rsid w:val="7BCE4A5E"/>
    <w:rsid w:val="7BDC717B"/>
    <w:rsid w:val="7BE6624C"/>
    <w:rsid w:val="7BEB136E"/>
    <w:rsid w:val="7BF10231"/>
    <w:rsid w:val="7C1F52BA"/>
    <w:rsid w:val="7C644D78"/>
    <w:rsid w:val="7C7F3FAA"/>
    <w:rsid w:val="7C870D8D"/>
    <w:rsid w:val="7C8D4A41"/>
    <w:rsid w:val="7CB761E4"/>
    <w:rsid w:val="7CC06A9D"/>
    <w:rsid w:val="7CCC5441"/>
    <w:rsid w:val="7CD82038"/>
    <w:rsid w:val="7CF24C2C"/>
    <w:rsid w:val="7CF8248D"/>
    <w:rsid w:val="7D016B7E"/>
    <w:rsid w:val="7D0A03FB"/>
    <w:rsid w:val="7D31799A"/>
    <w:rsid w:val="7D6531A0"/>
    <w:rsid w:val="7D844A87"/>
    <w:rsid w:val="7D9237C6"/>
    <w:rsid w:val="7DC0487A"/>
    <w:rsid w:val="7DC4436B"/>
    <w:rsid w:val="7DD221BC"/>
    <w:rsid w:val="7E0D5D12"/>
    <w:rsid w:val="7E1D3A7B"/>
    <w:rsid w:val="7E4F632A"/>
    <w:rsid w:val="7E503E50"/>
    <w:rsid w:val="7E552DFD"/>
    <w:rsid w:val="7E5C27F5"/>
    <w:rsid w:val="7E6671D0"/>
    <w:rsid w:val="7E835FD4"/>
    <w:rsid w:val="7EB4618D"/>
    <w:rsid w:val="7EBDCBBF"/>
    <w:rsid w:val="7EC448BF"/>
    <w:rsid w:val="7EC74CC1"/>
    <w:rsid w:val="7ECB34D7"/>
    <w:rsid w:val="7ECF1219"/>
    <w:rsid w:val="7ED06E49"/>
    <w:rsid w:val="7EE6408F"/>
    <w:rsid w:val="7EF90044"/>
    <w:rsid w:val="7EFA0975"/>
    <w:rsid w:val="7F1929B2"/>
    <w:rsid w:val="7F204B4A"/>
    <w:rsid w:val="7F2D43DF"/>
    <w:rsid w:val="7F3EB32E"/>
    <w:rsid w:val="7F5160D2"/>
    <w:rsid w:val="7F5F3F3B"/>
    <w:rsid w:val="7F5FE5E8"/>
    <w:rsid w:val="7F7678E7"/>
    <w:rsid w:val="7F7FC8C5"/>
    <w:rsid w:val="7FAF2DF8"/>
    <w:rsid w:val="7FBA12C1"/>
    <w:rsid w:val="7FC417C2"/>
    <w:rsid w:val="7FE01204"/>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autoRedefine/>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autoRedefine/>
    <w:unhideWhenUsed/>
    <w:qFormat/>
    <w:uiPriority w:val="0"/>
    <w:pPr>
      <w:spacing w:beforeLines="0" w:afterLines="0"/>
      <w:ind w:firstLine="640" w:firstLineChars="200"/>
    </w:pPr>
    <w:rPr>
      <w:rFonts w:hint="default"/>
      <w:sz w:val="32"/>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autoRedefine/>
    <w:unhideWhenUsed/>
    <w:qFormat/>
    <w:uiPriority w:val="99"/>
    <w:pPr>
      <w:spacing w:beforeLines="0" w:afterLines="0"/>
      <w:ind w:firstLine="420"/>
    </w:pPr>
    <w:rPr>
      <w:rFonts w:hint="default"/>
      <w:sz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1"/>
    <w:basedOn w:val="2"/>
    <w:autoRedefine/>
    <w:qFormat/>
    <w:uiPriority w:val="0"/>
    <w:rPr>
      <w:rFonts w:eastAsia="黑体"/>
    </w:rPr>
  </w:style>
  <w:style w:type="paragraph" w:customStyle="1" w:styleId="13">
    <w:name w:val="首行缩进"/>
    <w:basedOn w:val="1"/>
    <w:autoRedefine/>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8fddc613-ff91-4669-8dba-11dce23e6f98</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 FC48207</paraID>
      <start>10</start>
      <end>18</end>
      <status>unmodified</status>
      <modifiedWord/>
      <trackRevisions>false</trackRevisions>
    </reviewItem>
    <reviewItem>
      <errorID>02bf114a-18ff-40eb-b0ab-649dcf56a2a2</errorID>
      <errorWord>[2026]36号</errorWord>
      <group>L1_Knowledge</group>
      <groupName>知识性问题</groupName>
      <ability>L2_Knowledge</ability>
      <abilityName>其他知识</abilityName>
      <candidateList>
        <item>〔2026〕36号</item>
      </candidateList>
      <explain>发文字号格式错误。</explain>
      <paraID>60EF3084</paraID>
      <start>44</start>
      <end>53</end>
      <status>unmodified</status>
      <modifiedWord/>
      <trackRevisions>false</trackRevisions>
    </reviewItem>
    <reviewItem>
      <errorID>19ad4f21-e809-418d-9f9c-5a349dce38d6</errorID>
      <errorWord>品味</errorWord>
      <group>L1_Word</group>
      <groupName>字词问题</groupName>
      <ability>L2_Typo</ability>
      <abilityName>字词错误</abilityName>
      <candidateList>
        <item>品位</item>
      </candidateList>
      <explain>〈名〉❶〈书〉指官吏的品级；官阶。❷矿石中有用元素或有用矿物含量的百分率，百分率愈大，品位愈高。❸泛指人或事物的品质、水平：高～的蚕丝｜节目的艺术～较高｜他的谈吐很有～。</explain>
      <paraID> FE31027</paraID>
      <start>40</start>
      <end>42</end>
      <status>unmodified</status>
      <modifiedWord/>
      <trackRevisions>false</trackRevisions>
    </reviewItem>
    <reviewItem>
      <errorID>cdd79134-39aa-44c8-8543-e47cb79d491c</errorID>
      <errorWord>品味</errorWord>
      <group>L1_Word</group>
      <groupName>字词问题</groupName>
      <ability>L2_Typo</ability>
      <abilityName>字词错误</abilityName>
      <candidateList>
        <item>品位</item>
      </candidateList>
      <explain>〈名〉❶〈书〉指官吏的品级；官阶。❷矿石中有用元素或有用矿物含量的百分率，百分率愈大，品位愈高。❸泛指人或事物的品质、水平：高～的蚕丝｜节目的艺术～较高｜他的谈吐很有～。</explain>
      <paraID>2FC6E68E</paraID>
      <start>36</start>
      <end>38</end>
      <status>unmodified</status>
      <modifiedWord/>
      <trackRevisions>false</trackRevisions>
    </reviewItem>
    <reviewItem>
      <errorID>3d6f16eb-ac6f-4253-95bd-0c27fe493a28</errorID>
      <errorWord>科室为</errorWord>
      <group>L1_Word</group>
      <groupName>字词问题</groupName>
      <ability>L2_Typo</ability>
      <abilityName>字词错误</abilityName>
      <candidateList>
        <item>科室</item>
      </candidateList>
      <explain/>
      <paraID> 7E9A64E</paraID>
      <start>33</start>
      <end>36</end>
      <status>unmodified</status>
      <modifiedWord/>
      <trackRevisions>false</trackRevisions>
    </reviewItem>
    <reviewItem>
      <errorID>deb957d0-6e9c-4b93-9673-7e6ffa9875ad</errorID>
      <errorWord>截止</errorWord>
      <group>L1_Word</group>
      <groupName>字词问题</groupName>
      <ability>L2_Typo</ability>
      <abilityName>字词错误</abilityName>
      <candidateList>
        <item>截至</item>
      </candidateList>
      <explain>存在发音相同字词的误用。</explain>
      <paraID> 2F421B9</paraID>
      <start>0</start>
      <end>2</end>
      <status>unmodified</status>
      <modifiedWord/>
      <trackRevisions>false</trackRevisions>
    </reviewItem>
    <reviewItem>
      <errorID>13b3f2b6-96be-478c-996e-ef0eed74a4c6</errorID>
      <errorWord>城市排水排涝</errorWord>
      <group>L1_Political</group>
      <groupName>政治性问题</groupName>
      <ability>L2_Keyword</ability>
      <abilityName>固定表述</abilityName>
      <candidateList>
        <item>城市排水防涝</item>
      </candidateList>
      <explain>词汇“城市排水防涝”在特定场景下为固定表述形式，请确认此处的“城市排水排涝”是否存在不当。</explain>
      <paraID>4CEB30F7</paraID>
      <start>117</start>
      <end>123</end>
      <status>unmodified</status>
      <modifiedWord/>
      <trackRevisions>false</trackRevisions>
    </reviewItem>
    <reviewItem>
      <errorID>0732e317-9356-4248-af38-79e2b8cdd482</errorID>
      <errorWord>划</errorWord>
      <group>L1_Word</group>
      <groupName>字词问题</groupName>
      <ability>L2_Typo</ability>
      <abilityName>字词错误</abilityName>
      <candidateList>
        <item>划等</item>
      </candidateList>
      <explain/>
      <paraID>770B80A2</paraID>
      <start>35</start>
      <end>36</end>
      <status>unmodified</status>
      <modifiedWord/>
      <trackRevisions>false</trackRevisions>
    </reviewItem>
    <reviewItem>
      <errorID>d02db002-c156-48a8-8f4e-78c3f7c685b5</errorID>
      <errorWord>（2025）4号</errorWord>
      <group>L1_Knowledge</group>
      <groupName>知识性问题</groupName>
      <ability>L2_Knowledge</ability>
      <abilityName>其他知识</abilityName>
      <candidateList>
        <item>〔2025〕4号</item>
      </candidateList>
      <explain>发文字号格式错误。</explain>
      <paraID>696D2F43</paraID>
      <start>5</start>
      <end>13</end>
      <status>unmodified</status>
      <modifiedWord/>
      <trackRevisions>false</trackRevisions>
    </reviewItem>
    <reviewItem>
      <errorID>32a170c6-b267-43c5-a256-6436144c03bd</errorID>
      <errorWord>（2025）4号</errorWord>
      <group>L1_Knowledge</group>
      <groupName>知识性问题</groupName>
      <ability>L2_Knowledge</ability>
      <abilityName>其他知识</abilityName>
      <candidateList>
        <item>〔2025〕4号</item>
      </candidateList>
      <explain>发文字号格式错误。</explain>
      <paraID>704B718F</paraID>
      <start>5</start>
      <end>13</end>
      <status>unmodified</status>
      <modifiedWord/>
      <trackRevisions>false</trackRevisions>
    </reviewItem>
    <reviewItem>
      <errorID>b7f49a61-43e4-4042-a0a1-9add86108d82</errorID>
      <errorWord>(</errorWord>
      <group>L1_Format</group>
      <groupName>格式问题</groupName>
      <ability>L2_HalfPunc_CN</ability>
      <abilityName>全半角问题</abilityName>
      <candidateList>
        <item>（</item>
      </candidateList>
      <explain>文本全半角错误。</explain>
      <paraID>697257B9</paraID>
      <start>5</start>
      <end>6</end>
      <status>unmodified</status>
      <modifiedWord/>
      <trackRevisions>false</trackRevisions>
    </reviewItem>
    <reviewItem>
      <errorID>10350906-3488-4ecb-ab8b-6ccb078a8673</errorID>
      <errorWord>)</errorWord>
      <group>L1_Format</group>
      <groupName>格式问题</groupName>
      <ability>L2_HalfPunc_CN</ability>
      <abilityName>全半角问题</abilityName>
      <candidateList>
        <item>）</item>
      </candidateList>
      <explain>文本全半角错误。</explain>
      <paraID>697257B9</paraID>
      <start>8</start>
      <end>9</end>
      <status>unmodified</status>
      <modifiedWord/>
      <trackRevisions>false</trackRevisions>
    </reviewItem>
    <reviewItem>
      <errorID>b91d3802-0a2a-420e-be5a-95a04e45eb1c</errorID>
      <errorWord>三重一大</errorWord>
      <group>L1_Political</group>
      <groupName>政治性问题</groupName>
      <ability>L2_Keyword</ability>
      <abilityName>固定表述</abilityName>
      <candidateList>
        <item>“三重一大”</item>
      </candidateList>
      <explain>注意检查当前固定表述标点是否使用规范。</explain>
      <paraID>31DCD2CB</paraID>
      <start>12</start>
      <end>16</end>
      <status>unmodified</status>
      <modifiedWord/>
      <trackRevisions>false</trackRevisions>
    </reviewItem>
    <reviewItem>
      <errorID>5cb88b1f-14b7-4fc2-a772-e6ec91ec7e56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837D97B</paraID>
      <start>3</start>
      <end>9</end>
      <status>unmodified</status>
      <modifiedWord/>
      <trackRevisions>false</trackRevisions>
    </reviewItem>
    <reviewItem>
      <errorID>f1c44bc2-c766-46d7-be63-f719a14692fa</errorID>
      <errorWord>“三公经费”预算</errorWord>
      <group>L1_Political</group>
      <groupName>政治性问题</groupName>
      <ability>L2_Keyword</ability>
      <abilityName>固定表述</abilityName>
      <candidateList>
        <item>“三公”经费预算</item>
      </candidateList>
      <explain>注意检查当前固定表述标点是否使用规范。</explain>
      <paraID> 837D97B</paraID>
      <start>18</start>
      <end>26</end>
      <status>unmodified</status>
      <modifiedWord/>
      <trackRevisions>false</trackRevisions>
    </reviewItem>
    <reviewItem>
      <errorID>d0e0fd4e-0009-4748-8ba6-d1a178e7c808</errorID>
      <errorWord>“三公经费”预算</errorWord>
      <group>L1_Political</group>
      <groupName>政治性问题</groupName>
      <ability>L2_Keyword</ability>
      <abilityName>固定表述</abilityName>
      <candidateList>
        <item>“三公”经费预算</item>
      </candidateList>
      <explain>注意检查当前固定表述标点是否使用规范。</explain>
      <paraID> 837D97B</paraID>
      <start>34</start>
      <end>42</end>
      <status>unmodified</status>
      <modifiedWord/>
      <trackRevisions>false</trackRevisions>
    </reviewItem>
    <reviewItem>
      <errorID>60c8b7d8-cd8f-4f53-9bb0-87bbbd3e8446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837D97B</paraID>
      <start>49</start>
      <end>55</end>
      <status>unmodified</status>
      <modifiedWord/>
      <trackRevisions>false</trackRevisions>
    </reviewItem>
    <reviewItem>
      <errorID>d4e852b5-52f9-4d32-a883-52ccd592a2c2</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21EF2326</paraID>
      <start>3</start>
      <end>9</end>
      <status>unmodified</status>
      <modifiedWord/>
      <trackRevisions>false</trackRevisions>
    </reviewItem>
    <reviewItem>
      <errorID>3a287522-71c1-4dc1-92f9-c92d5d552613</errorID>
      <errorWord>“三公经费”预算</errorWord>
      <group>L1_Political</group>
      <groupName>政治性问题</groupName>
      <ability>L2_Keyword</ability>
      <abilityName>固定表述</abilityName>
      <candidateList>
        <item>“三公”经费预算</item>
      </candidateList>
      <explain>注意检查当前固定表述标点是否使用规范。</explain>
      <paraID>21EF2326</paraID>
      <start>18</start>
      <end>26</end>
      <status>unmodified</status>
      <modifiedWord/>
      <trackRevisions>false</trackRevisions>
    </reviewItem>
    <reviewItem>
      <errorID>0a482e21-6a8b-4318-a410-ec986eefbb6c</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21EF2326</paraID>
      <start>45</start>
      <end>51</end>
      <status>unmodified</status>
      <modifiedWord/>
      <trackRevisions>false</trackRevisions>
    </reviewItem>
    <reviewItem>
      <errorID>7480626f-b1f6-4f1e-a9c6-fcafdd94182c</errorID>
      <errorWord>;</errorWord>
      <group>L1_Format</group>
      <groupName>格式问题</groupName>
      <ability>L2_HalfPunc_CN</ability>
      <abilityName>全半角问题</abilityName>
      <candidateList>
        <item>；</item>
      </candidateList>
      <explain>文本全半角错误。</explain>
      <paraID>482CDB22</paraID>
      <start>42</start>
      <end>43</end>
      <status>unmodified</status>
      <modifiedWord/>
      <trackRevisions>false</trackRevisions>
    </reviewItem>
    <reviewItem>
      <errorID>e057dcf0-b446-44af-b2bb-d562cbda1592</errorID>
      <errorWord>帐实相符</errorWord>
      <group>L1_Word</group>
      <groupName>字词问题</groupName>
      <ability>L2_Alias</ability>
      <abilityName>也作/曾用词</abilityName>
      <candidateList>
        <item>账实相符</item>
      </candidateList>
      <explain>词汇[帐实相符]为不规范表述或旧称，其规范书面表述为[账实相符]。</explain>
      <paraID>30F756CC</paraID>
      <start>38</start>
      <end>42</end>
      <status>unmodified</status>
      <modifiedWord/>
      <trackRevisions>false</trackRevisions>
    </reviewItem>
    <reviewItem>
      <errorID>0803f0c1-1dfb-4263-9100-55093836d8e4</errorID>
      <errorWord>重点会</errorWord>
      <group>L1_Word</group>
      <groupName>字词问题</groupName>
      <ability>L2_Typo</ability>
      <abilityName>字词错误</abilityName>
      <candidateList>
        <item>重点</item>
      </candidateList>
      <explain/>
      <paraID>72AF69D4</paraID>
      <start>20</start>
      <end>23</end>
      <status>unmodified</status>
      <modifiedWord/>
      <trackRevisions>false</trackRevisions>
    </reviewItem>
    <reviewItem>
      <errorID>6bb649e4-2fc9-4288-90fa-76f3c966b297</errorID>
      <errorWord>沿</errorWord>
      <group>L1_Word</group>
      <groupName>字词问题</groupName>
      <ability>L2_Typo</ability>
      <abilityName>字词错误</abilityName>
      <candidateList>
        <item>缘</item>
      </candidateList>
      <explain>存在发音相近字词的误用。</explain>
      <paraID>72AF69D4</paraID>
      <start>227</start>
      <end>228</end>
      <status>unmodified</status>
      <modifiedWord/>
      <trackRevisions>false</trackRevisions>
    </reviewItem>
    <reviewItem>
      <errorID>dde9bc83-4b75-4b8e-8b89-cb8b99a1158f</errorID>
      <errorWord>新晃县</errorWord>
      <group>L1_Knowledge</group>
      <groupName>知识性问题</groupName>
      <ability>L2_Location</ability>
      <abilityName>地名检查</abilityName>
      <candidateList>
        <item>新晃侗族自治县</item>
      </candidateList>
      <explain>自治区州县缩写不规范。《地名管理条例》第十八条规定，标识牌、公共平台发布的信息、各类公文证件、学习类公开出版物、地图、法律法规规定等场景范围内必须使用标准地名。</explain>
      <paraID>72AF69D4</paraID>
      <start>652</start>
      <end>655</end>
      <status>unmodified</status>
      <modifiedWord/>
      <trackRevisions>false</trackRevisions>
    </reviewItem>
    <reviewItem>
      <errorID>8fab01e5-ee8b-407d-a504-faa564f48bd7</errorID>
      <errorWord>新晃县</errorWord>
      <group>L1_Knowledge</group>
      <groupName>知识性问题</groupName>
      <ability>L2_Location</ability>
      <abilityName>地名检查</abilityName>
      <candidateList>
        <item>新晃侗族自治县</item>
      </candidateList>
      <explain>自治区州县缩写不规范。《地名管理条例》第十八条规定，标识牌、公共平台发布的信息、各类公文证件、学习类公开出版物、地图、法律法规规定等场景范围内必须使用标准地名。</explain>
      <paraID>72AF69D4</paraID>
      <start>664</start>
      <end>667</end>
      <status>unmodified</status>
      <modifiedWord/>
      <trackRevisions>false</trackRevisions>
    </reviewItem>
    <reviewItem>
      <errorID>802c63ef-da76-4979-899f-e719130a9d9d</errorID>
      <errorWord>品味</errorWord>
      <group>L1_Word</group>
      <groupName>字词问题</groupName>
      <ability>L2_Typo</ability>
      <abilityName>字词错误</abilityName>
      <candidateList>
        <item>品位</item>
      </candidateList>
      <explain>〈名〉❶〈书〉指官吏的品级；官阶。❷矿石中有用元素或有用矿物含量的百分率，百分率愈大，品位愈高。❸泛指人或事物的品质、水平：高～的蚕丝｜节目的艺术～较高｜他的谈吐很有～。</explain>
      <paraID>336F7946</paraID>
      <start>13</start>
      <end>15</end>
      <status>unmodified</status>
      <modifiedWord/>
      <trackRevisions>false</trackRevisions>
    </reviewItem>
    <reviewItem>
      <errorID>b4179440-bbc6-4787-8eec-c42c9cf1fc97</errorID>
      <errorWord>品味</errorWord>
      <group>L1_Word</group>
      <groupName>字词问题</groupName>
      <ability>L2_Typo</ability>
      <abilityName>字词错误</abilityName>
      <candidateList>
        <item>品位</item>
      </candidateList>
      <explain>〈名〉❶〈书〉指官吏的品级；官阶。❷矿石中有用元素或有用矿物含量的百分率，百分率愈大，品位愈高。❸泛指人或事物的品质、水平：高～的蚕丝｜节目的艺术～较高｜他的谈吐很有～。</explain>
      <paraID>63678395</paraID>
      <start>11</start>
      <end>13</end>
      <status>unmodified</status>
      <modifiedWord/>
      <trackRevisions>false</trackRevisions>
    </reviewItem>
    <reviewItem>
      <errorID>4684bf42-a78c-4d1e-b2ff-ad35f98fd688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55D4652C</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6abc8b90-e3f9-4b72-9b97-36539bb0ad23}">
  <ds:schemaRefs/>
</ds:datastoreItem>
</file>

<file path=docProps/app.xml><?xml version="1.0" encoding="utf-8"?>
<Properties xmlns="http://schemas.openxmlformats.org/officeDocument/2006/extended-properties" xmlns:vt="http://schemas.openxmlformats.org/officeDocument/2006/docPropsVTypes">
  <Template>Normal.dotm</Template>
  <Pages>24</Pages>
  <Words>5991</Words>
  <Characters>6722</Characters>
  <Lines>0</Lines>
  <Paragraphs>0</Paragraphs>
  <TotalTime>51</TotalTime>
  <ScaleCrop>false</ScaleCrop>
  <LinksUpToDate>false</LinksUpToDate>
  <CharactersWithSpaces>6828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笔记</cp:lastModifiedBy>
  <cp:lastPrinted>2026-07-15T00:21:16Z</cp:lastPrinted>
  <dcterms:modified xsi:type="dcterms:W3CDTF">2026-07-15T00:21:51Z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2E59967559EAD85B47E0F5671AAD0169_43</vt:lpwstr>
  </property>
  <property fmtid="{D5CDD505-2E9C-101B-9397-08002B2CF9AE}" pid="4" name="KSOTemplateDocerSaveRecord">
    <vt:lpwstr>eyJoZGlkIjoiNzBhNzFmNjRiNmQyNzA3ODI2ZTY5ZGExZWQ2MmQzNDEiLCJ1c2VySWQiOiIzNDQwMDQzNTQifQ==</vt:lpwstr>
  </property>
</Properties>
</file>