
<file path=[Content_Types].xml><?xml version="1.0" encoding="utf-8"?>
<Types xmlns="http://schemas.openxmlformats.org/package/2006/content-types">
  <Default Extension="xml" ContentType="application/xml"/>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e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D97FDB4">
      <w:pPr>
        <w:pStyle w:val="12"/>
        <w:jc w:val="both"/>
        <w:rPr>
          <w:rFonts w:hint="eastAsia" w:hAnsi="黑体" w:eastAsia="黑体"/>
          <w:sz w:val="36"/>
          <w:szCs w:val="36"/>
          <w:lang w:eastAsia="zh-CN"/>
        </w:rPr>
      </w:pPr>
      <w:r>
        <w:rPr>
          <w:rFonts w:hint="eastAsia" w:hAnsi="黑体"/>
          <w:sz w:val="36"/>
          <w:szCs w:val="36"/>
        </w:rPr>
        <w:t>附件</w:t>
      </w:r>
      <w:r>
        <w:rPr>
          <w:rFonts w:hint="eastAsia" w:hAnsi="黑体"/>
          <w:sz w:val="36"/>
          <w:szCs w:val="36"/>
          <w:lang w:val="en-US" w:eastAsia="zh-CN"/>
        </w:rPr>
        <w:t>2</w:t>
      </w:r>
    </w:p>
    <w:p w14:paraId="3FE7C00F">
      <w:pPr>
        <w:pStyle w:val="12"/>
        <w:jc w:val="center"/>
        <w:rPr>
          <w:rFonts w:ascii="Times New Roman" w:hAnsi="Times New Roman" w:cs="Times New Roman"/>
          <w:sz w:val="56"/>
          <w:szCs w:val="56"/>
        </w:rPr>
      </w:pPr>
    </w:p>
    <w:p w14:paraId="5B750EF0">
      <w:pPr>
        <w:pStyle w:val="12"/>
        <w:jc w:val="center"/>
        <w:rPr>
          <w:rFonts w:ascii="Times New Roman" w:hAnsi="Times New Roman" w:cs="Times New Roman"/>
          <w:sz w:val="84"/>
          <w:szCs w:val="84"/>
        </w:rPr>
      </w:pPr>
    </w:p>
    <w:p w14:paraId="6B0951F9">
      <w:pPr>
        <w:pStyle w:val="12"/>
        <w:jc w:val="center"/>
        <w:rPr>
          <w:rFonts w:ascii="Times New Roman" w:hAnsi="Times New Roman" w:cs="Times New Roman"/>
          <w:sz w:val="84"/>
          <w:szCs w:val="84"/>
        </w:rPr>
      </w:pPr>
    </w:p>
    <w:p w14:paraId="454BCD85">
      <w:pPr>
        <w:pStyle w:val="12"/>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202</w:t>
      </w:r>
      <w:r>
        <w:rPr>
          <w:rFonts w:hint="eastAsia" w:ascii="Times New Roman" w:hAnsi="Times New Roman" w:eastAsia="方正小标宋简体" w:cs="Times New Roman"/>
          <w:sz w:val="72"/>
          <w:szCs w:val="72"/>
          <w:lang w:val="en-US" w:eastAsia="zh-CN"/>
        </w:rPr>
        <w:t>5</w:t>
      </w:r>
      <w:r>
        <w:rPr>
          <w:rFonts w:ascii="Times New Roman" w:hAnsi="Times New Roman" w:eastAsia="方正小标宋简体" w:cs="Times New Roman"/>
          <w:sz w:val="72"/>
          <w:szCs w:val="72"/>
        </w:rPr>
        <w:t>年度</w:t>
      </w:r>
    </w:p>
    <w:p w14:paraId="4163484E">
      <w:pPr>
        <w:pStyle w:val="12"/>
        <w:jc w:val="center"/>
        <w:rPr>
          <w:rFonts w:ascii="Times New Roman" w:hAnsi="Times New Roman" w:eastAsia="方正小标宋简体" w:cs="Times New Roman"/>
          <w:sz w:val="72"/>
          <w:szCs w:val="72"/>
        </w:rPr>
      </w:pPr>
      <w:r>
        <w:rPr>
          <w:rFonts w:hint="eastAsia" w:ascii="Times New Roman" w:hAnsi="Times New Roman" w:eastAsia="方正小标宋简体" w:cs="Times New Roman"/>
          <w:sz w:val="72"/>
          <w:szCs w:val="72"/>
        </w:rPr>
        <w:t>怀化市城市管理局</w:t>
      </w:r>
      <w:r>
        <w:rPr>
          <w:rFonts w:ascii="Times New Roman" w:hAnsi="Times New Roman" w:eastAsia="方正小标宋简体" w:cs="Times New Roman"/>
          <w:sz w:val="72"/>
          <w:szCs w:val="72"/>
        </w:rPr>
        <w:t>部门决算</w:t>
      </w:r>
    </w:p>
    <w:p w14:paraId="163F329D">
      <w:pPr>
        <w:pStyle w:val="12"/>
        <w:spacing w:line="600" w:lineRule="exact"/>
        <w:jc w:val="both"/>
        <w:rPr>
          <w:rFonts w:ascii="Times New Roman" w:hAnsi="Times New Roman" w:cs="Times New Roman"/>
          <w:b/>
          <w:sz w:val="36"/>
          <w:szCs w:val="28"/>
        </w:rPr>
        <w:sectPr>
          <w:footerReference r:id="rId3" w:type="default"/>
          <w:pgSz w:w="11906" w:h="16838"/>
          <w:pgMar w:top="1417" w:right="1588" w:bottom="1417" w:left="1588" w:header="851" w:footer="992" w:gutter="0"/>
          <w:pgNumType w:start="1"/>
          <w:cols w:space="425" w:num="1"/>
          <w:docGrid w:type="lines" w:linePitch="312" w:charSpace="0"/>
        </w:sectPr>
      </w:pPr>
    </w:p>
    <w:p w14:paraId="682F0CB2">
      <w:pPr>
        <w:pStyle w:val="12"/>
        <w:spacing w:line="600" w:lineRule="exact"/>
        <w:jc w:val="center"/>
        <w:rPr>
          <w:rFonts w:ascii="Times New Roman" w:hAnsi="Times New Roman" w:cs="Times New Roman"/>
          <w:bCs/>
          <w:sz w:val="36"/>
          <w:szCs w:val="28"/>
        </w:rPr>
      </w:pPr>
      <w:r>
        <w:rPr>
          <w:rFonts w:ascii="Times New Roman" w:hAnsi="Times New Roman" w:cs="Times New Roman"/>
          <w:bCs/>
          <w:sz w:val="36"/>
          <w:szCs w:val="28"/>
        </w:rPr>
        <w:t>目  录</w:t>
      </w:r>
    </w:p>
    <w:p w14:paraId="1BB68650">
      <w:pPr>
        <w:pStyle w:val="12"/>
        <w:spacing w:line="600" w:lineRule="exact"/>
        <w:jc w:val="center"/>
        <w:rPr>
          <w:rFonts w:ascii="Times New Roman" w:hAnsi="Times New Roman" w:cs="Times New Roman"/>
          <w:b/>
          <w:sz w:val="36"/>
          <w:szCs w:val="28"/>
        </w:rPr>
      </w:pPr>
    </w:p>
    <w:p w14:paraId="1260AE0B">
      <w:pPr>
        <w:pStyle w:val="12"/>
        <w:spacing w:after="156" w:afterLines="50" w:line="600" w:lineRule="exact"/>
        <w:rPr>
          <w:rFonts w:ascii="Times New Roman" w:hAnsi="Times New Roman" w:cs="Times New Roman"/>
          <w:bCs/>
          <w:sz w:val="32"/>
          <w:szCs w:val="32"/>
        </w:rPr>
      </w:pPr>
      <w:r>
        <w:rPr>
          <w:rFonts w:ascii="Times New Roman" w:hAnsi="Times New Roman" w:cs="Times New Roman"/>
          <w:bCs/>
          <w:sz w:val="32"/>
          <w:szCs w:val="32"/>
        </w:rPr>
        <w:t xml:space="preserve">第一部分 </w:t>
      </w:r>
      <w:r>
        <w:rPr>
          <w:rFonts w:hint="eastAsia" w:ascii="Times New Roman" w:hAnsi="Times New Roman" w:cs="Times New Roman"/>
          <w:bCs/>
          <w:sz w:val="32"/>
          <w:szCs w:val="32"/>
        </w:rPr>
        <w:t>怀化市城市管理局</w:t>
      </w:r>
      <w:r>
        <w:rPr>
          <w:rFonts w:ascii="Times New Roman" w:hAnsi="Times New Roman" w:cs="Times New Roman"/>
          <w:bCs/>
          <w:sz w:val="32"/>
          <w:szCs w:val="32"/>
        </w:rPr>
        <w:t>概况</w:t>
      </w:r>
    </w:p>
    <w:p w14:paraId="4C725259">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14:paraId="3CA76CBA">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二、机构设置及决算单位构成</w:t>
      </w:r>
    </w:p>
    <w:p w14:paraId="66F37C35">
      <w:pPr>
        <w:pStyle w:val="12"/>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第二部分 部门决算表</w:t>
      </w:r>
    </w:p>
    <w:p w14:paraId="5BFC4C3C">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14:paraId="46E112AF">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14:paraId="2D3F7AD3">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14:paraId="66DCD5D2">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14:paraId="268AFF15">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14:paraId="3971673C">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14:paraId="149C1337">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14:paraId="4BF22221">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14:paraId="0BCEE97F">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九、财政拨款“三公”经费支出决算表</w:t>
      </w:r>
    </w:p>
    <w:p w14:paraId="6F815498">
      <w:pPr>
        <w:pStyle w:val="12"/>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第三部分 部门决算情况说明</w:t>
      </w:r>
    </w:p>
    <w:p w14:paraId="4B459424">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14:paraId="78E83196">
      <w:pPr>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14:paraId="7060DDE4">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三、支出决算情况说明</w:t>
      </w:r>
    </w:p>
    <w:p w14:paraId="1EDBC133">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四、财政拨款收入支出决算总体情况说明</w:t>
      </w:r>
    </w:p>
    <w:p w14:paraId="49695DE7">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五、一般公共预算财政拨款支出决算情况说明</w:t>
      </w:r>
    </w:p>
    <w:p w14:paraId="7B50D07E">
      <w:pPr>
        <w:autoSpaceDE w:val="0"/>
        <w:autoSpaceDN w:val="0"/>
        <w:adjustRightInd w:val="0"/>
        <w:spacing w:line="600" w:lineRule="exact"/>
        <w:jc w:val="left"/>
        <w:rPr>
          <w:rFonts w:ascii="Times New Roman" w:hAnsi="Times New Roman" w:eastAsia="仿宋_GB2312" w:cs="Times New Roman"/>
          <w:color w:val="000000"/>
          <w:kern w:val="0"/>
          <w:sz w:val="32"/>
          <w:szCs w:val="32"/>
        </w:rPr>
        <w:sectPr>
          <w:footerReference r:id="rId4" w:type="default"/>
          <w:pgSz w:w="11906" w:h="16838"/>
          <w:pgMar w:top="1417" w:right="1588" w:bottom="1417" w:left="1588" w:header="851" w:footer="992" w:gutter="0"/>
          <w:pgNumType w:start="1"/>
          <w:cols w:space="425" w:num="1"/>
          <w:docGrid w:type="lines" w:linePitch="312" w:charSpace="0"/>
        </w:sectPr>
      </w:pPr>
    </w:p>
    <w:p w14:paraId="3ED49276">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六、一般公共预算财政拨款基本支出决算情况说明</w:t>
      </w:r>
    </w:p>
    <w:p w14:paraId="02E80934">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七、财政拨款“三公”经费支出决算情况说明</w:t>
      </w:r>
    </w:p>
    <w:p w14:paraId="095640EB">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八、政府性基金预算收入支出决算情况</w:t>
      </w:r>
    </w:p>
    <w:p w14:paraId="4C766C3C">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九、</w:t>
      </w:r>
      <w:r>
        <w:rPr>
          <w:rFonts w:hint="eastAsia" w:ascii="Times New Roman" w:hAnsi="Times New Roman" w:eastAsia="仿宋_GB2312" w:cs="Times New Roman"/>
          <w:color w:val="000000"/>
          <w:kern w:val="0"/>
          <w:sz w:val="32"/>
          <w:szCs w:val="32"/>
          <w:lang w:val="en-US" w:eastAsia="zh-CN"/>
        </w:rPr>
        <w:t>关于</w:t>
      </w:r>
      <w:r>
        <w:rPr>
          <w:rFonts w:ascii="Times New Roman" w:hAnsi="Times New Roman" w:eastAsia="仿宋_GB2312" w:cs="Times New Roman"/>
          <w:sz w:val="32"/>
          <w:szCs w:val="32"/>
        </w:rPr>
        <w:t>国有资本经营预算财政拨款支出</w:t>
      </w:r>
      <w:r>
        <w:rPr>
          <w:rFonts w:hint="eastAsia" w:ascii="Times New Roman" w:hAnsi="Times New Roman" w:eastAsia="仿宋_GB2312" w:cs="Times New Roman"/>
          <w:sz w:val="32"/>
          <w:szCs w:val="32"/>
          <w:lang w:val="en-US" w:eastAsia="zh-CN"/>
        </w:rPr>
        <w:t>决算情况说明</w:t>
      </w:r>
    </w:p>
    <w:p w14:paraId="66123498">
      <w:pPr>
        <w:autoSpaceDE w:val="0"/>
        <w:autoSpaceDN w:val="0"/>
        <w:adjustRightInd w:val="0"/>
        <w:spacing w:line="600" w:lineRule="exact"/>
        <w:jc w:val="left"/>
        <w:rPr>
          <w:rFonts w:hint="default" w:ascii="Times New Roman" w:hAnsi="Times New Roman" w:eastAsia="仿宋_GB2312" w:cs="Times New Roman"/>
          <w:color w:val="000000"/>
          <w:kern w:val="0"/>
          <w:sz w:val="32"/>
          <w:szCs w:val="32"/>
          <w:lang w:val="en-US" w:eastAsia="zh-CN"/>
        </w:rPr>
      </w:pPr>
      <w:r>
        <w:rPr>
          <w:rFonts w:hint="eastAsia" w:ascii="Times New Roman" w:hAnsi="Times New Roman" w:eastAsia="仿宋_GB2312" w:cs="Times New Roman"/>
          <w:color w:val="000000"/>
          <w:kern w:val="0"/>
          <w:sz w:val="32"/>
          <w:szCs w:val="32"/>
          <w:lang w:val="en-US" w:eastAsia="zh-CN"/>
        </w:rPr>
        <w:t>十、</w:t>
      </w:r>
      <w:r>
        <w:rPr>
          <w:rFonts w:ascii="Times New Roman" w:hAnsi="Times New Roman" w:eastAsia="仿宋_GB2312" w:cs="Times New Roman"/>
          <w:color w:val="000000"/>
          <w:kern w:val="0"/>
          <w:sz w:val="32"/>
          <w:szCs w:val="32"/>
        </w:rPr>
        <w:t>关于机关运行经费支出说明</w:t>
      </w:r>
    </w:p>
    <w:p w14:paraId="2D5ED494">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w:t>
      </w:r>
      <w:r>
        <w:rPr>
          <w:rFonts w:hint="eastAsia" w:ascii="Times New Roman" w:hAnsi="Times New Roman" w:eastAsia="仿宋_GB2312" w:cs="Times New Roman"/>
          <w:color w:val="000000"/>
          <w:kern w:val="0"/>
          <w:sz w:val="32"/>
          <w:szCs w:val="32"/>
          <w:lang w:val="en-US" w:eastAsia="zh-CN"/>
        </w:rPr>
        <w:t>一</w:t>
      </w:r>
      <w:r>
        <w:rPr>
          <w:rFonts w:ascii="Times New Roman" w:hAnsi="Times New Roman" w:eastAsia="仿宋_GB2312" w:cs="Times New Roman"/>
          <w:color w:val="000000"/>
          <w:kern w:val="0"/>
          <w:sz w:val="32"/>
          <w:szCs w:val="32"/>
        </w:rPr>
        <w:t>、一般性支出情况说明</w:t>
      </w:r>
    </w:p>
    <w:p w14:paraId="32E8A83F">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w:t>
      </w:r>
      <w:r>
        <w:rPr>
          <w:rFonts w:hint="eastAsia" w:ascii="Times New Roman" w:hAnsi="Times New Roman" w:eastAsia="仿宋_GB2312" w:cs="Times New Roman"/>
          <w:color w:val="000000"/>
          <w:kern w:val="0"/>
          <w:sz w:val="32"/>
          <w:szCs w:val="32"/>
          <w:lang w:val="en-US" w:eastAsia="zh-CN"/>
        </w:rPr>
        <w:t>二</w:t>
      </w:r>
      <w:r>
        <w:rPr>
          <w:rFonts w:ascii="Times New Roman" w:hAnsi="Times New Roman" w:eastAsia="仿宋_GB2312" w:cs="Times New Roman"/>
          <w:color w:val="000000"/>
          <w:kern w:val="0"/>
          <w:sz w:val="32"/>
          <w:szCs w:val="32"/>
        </w:rPr>
        <w:t>、关于政府采购支出说明</w:t>
      </w:r>
    </w:p>
    <w:p w14:paraId="4FE1DB28">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w:t>
      </w:r>
      <w:r>
        <w:rPr>
          <w:rFonts w:hint="eastAsia" w:ascii="Times New Roman" w:hAnsi="Times New Roman" w:eastAsia="仿宋_GB2312" w:cs="Times New Roman"/>
          <w:sz w:val="32"/>
          <w:szCs w:val="32"/>
          <w:lang w:val="en-US" w:eastAsia="zh-CN"/>
        </w:rPr>
        <w:t>三</w:t>
      </w:r>
      <w:r>
        <w:rPr>
          <w:rFonts w:ascii="Times New Roman" w:hAnsi="Times New Roman" w:eastAsia="仿宋_GB2312" w:cs="Times New Roman"/>
          <w:sz w:val="32"/>
          <w:szCs w:val="32"/>
        </w:rPr>
        <w:t>、关于国有资产占用情况说明</w:t>
      </w:r>
    </w:p>
    <w:p w14:paraId="48A882CD">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w:t>
      </w:r>
      <w:r>
        <w:rPr>
          <w:rFonts w:hint="eastAsia" w:ascii="Times New Roman" w:hAnsi="Times New Roman" w:eastAsia="仿宋_GB2312" w:cs="Times New Roman"/>
          <w:sz w:val="32"/>
          <w:szCs w:val="32"/>
          <w:lang w:val="en-US" w:eastAsia="zh-CN"/>
        </w:rPr>
        <w:t>四</w:t>
      </w:r>
      <w:r>
        <w:rPr>
          <w:rFonts w:ascii="Times New Roman" w:hAnsi="Times New Roman" w:eastAsia="仿宋_GB2312" w:cs="Times New Roman"/>
          <w:sz w:val="32"/>
          <w:szCs w:val="32"/>
        </w:rPr>
        <w:t>、关于202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年度预算绩效管理情况的说明</w:t>
      </w:r>
    </w:p>
    <w:p w14:paraId="6D94313E">
      <w:pPr>
        <w:pStyle w:val="12"/>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第四部分 名词解释</w:t>
      </w:r>
    </w:p>
    <w:p w14:paraId="5D3F580C">
      <w:pPr>
        <w:pStyle w:val="12"/>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第五部分 附件</w:t>
      </w:r>
    </w:p>
    <w:p w14:paraId="39A29A48">
      <w:pPr>
        <w:pStyle w:val="12"/>
        <w:spacing w:line="600" w:lineRule="exact"/>
        <w:rPr>
          <w:rFonts w:ascii="Times New Roman" w:hAnsi="Times New Roman" w:cs="Times New Roman"/>
          <w:bCs/>
          <w:sz w:val="28"/>
          <w:szCs w:val="28"/>
        </w:rPr>
      </w:pPr>
    </w:p>
    <w:p w14:paraId="31792A6A">
      <w:pPr>
        <w:jc w:val="center"/>
        <w:rPr>
          <w:rFonts w:ascii="Times New Roman" w:hAnsi="Times New Roman" w:cs="Times New Roman"/>
          <w:sz w:val="72"/>
          <w:szCs w:val="72"/>
        </w:rPr>
      </w:pPr>
    </w:p>
    <w:p w14:paraId="42DCEF8A">
      <w:pPr>
        <w:jc w:val="center"/>
        <w:rPr>
          <w:rFonts w:ascii="Times New Roman" w:hAnsi="Times New Roman" w:cs="Times New Roman"/>
          <w:sz w:val="72"/>
          <w:szCs w:val="72"/>
        </w:rPr>
      </w:pPr>
    </w:p>
    <w:p w14:paraId="059C379C">
      <w:pPr>
        <w:jc w:val="center"/>
        <w:rPr>
          <w:rFonts w:ascii="Times New Roman" w:hAnsi="Times New Roman" w:cs="Times New Roman"/>
          <w:sz w:val="72"/>
          <w:szCs w:val="72"/>
        </w:rPr>
      </w:pPr>
    </w:p>
    <w:p w14:paraId="12172A05">
      <w:pPr>
        <w:pStyle w:val="7"/>
        <w:rPr>
          <w:rFonts w:ascii="Times New Roman" w:hAnsi="Times New Roman" w:cs="Times New Roman"/>
        </w:rPr>
        <w:sectPr>
          <w:footerReference r:id="rId5" w:type="default"/>
          <w:pgSz w:w="11906" w:h="16838"/>
          <w:pgMar w:top="1417" w:right="1588" w:bottom="1417" w:left="1588" w:header="851" w:footer="992" w:gutter="0"/>
          <w:pgNumType w:start="1"/>
          <w:cols w:space="425" w:num="1"/>
          <w:docGrid w:type="lines" w:linePitch="312" w:charSpace="0"/>
        </w:sectPr>
      </w:pPr>
    </w:p>
    <w:p w14:paraId="42D42349">
      <w:pPr>
        <w:rPr>
          <w:rFonts w:ascii="Times New Roman" w:hAnsi="Times New Roman" w:eastAsia="方正小标宋_GBK" w:cs="Times New Roman"/>
          <w:sz w:val="72"/>
          <w:szCs w:val="72"/>
        </w:rPr>
      </w:pPr>
    </w:p>
    <w:p w14:paraId="24BBFA8A">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第一部分</w:t>
      </w:r>
    </w:p>
    <w:p w14:paraId="70D3218A">
      <w:pPr>
        <w:pStyle w:val="12"/>
        <w:spacing w:line="360" w:lineRule="auto"/>
        <w:jc w:val="center"/>
        <w:rPr>
          <w:rFonts w:ascii="Times New Roman" w:hAnsi="Times New Roman" w:eastAsia="方正小标宋_GBK" w:cs="Times New Roman"/>
          <w:sz w:val="52"/>
          <w:szCs w:val="52"/>
        </w:rPr>
      </w:pPr>
      <w:r>
        <w:rPr>
          <w:rFonts w:hint="eastAsia" w:ascii="Times New Roman" w:hAnsi="Times New Roman" w:eastAsia="方正小标宋_GBK" w:cs="Times New Roman"/>
          <w:sz w:val="52"/>
          <w:szCs w:val="52"/>
        </w:rPr>
        <w:t>怀化市城市管理局</w:t>
      </w:r>
      <w:r>
        <w:rPr>
          <w:rFonts w:ascii="Times New Roman" w:hAnsi="Times New Roman" w:eastAsia="方正小标宋_GBK" w:cs="Times New Roman"/>
          <w:sz w:val="52"/>
          <w:szCs w:val="52"/>
        </w:rPr>
        <w:t>概况</w:t>
      </w:r>
    </w:p>
    <w:p w14:paraId="0330CB47">
      <w:pPr>
        <w:pStyle w:val="3"/>
        <w:ind w:left="0" w:leftChars="0" w:firstLine="0" w:firstLineChars="0"/>
        <w:rPr>
          <w:rFonts w:ascii="Times New Roman" w:hAnsi="Times New Roman" w:cs="Times New Roman"/>
        </w:rPr>
      </w:pPr>
    </w:p>
    <w:p w14:paraId="45E6B54E">
      <w:pPr>
        <w:pStyle w:val="13"/>
        <w:numPr>
          <w:ilvl w:val="0"/>
          <w:numId w:val="1"/>
        </w:numPr>
        <w:spacing w:line="600" w:lineRule="exact"/>
        <w:ind w:firstLine="0" w:firstLineChars="0"/>
        <w:jc w:val="left"/>
        <w:rPr>
          <w:rFonts w:ascii="Times New Roman" w:hAnsi="Times New Roman" w:eastAsia="黑体" w:cs="Times New Roman"/>
          <w:sz w:val="32"/>
          <w:szCs w:val="32"/>
        </w:rPr>
      </w:pPr>
      <w:r>
        <w:rPr>
          <w:rFonts w:ascii="Times New Roman" w:hAnsi="Times New Roman" w:eastAsia="黑体" w:cs="Times New Roman"/>
          <w:sz w:val="32"/>
          <w:szCs w:val="32"/>
        </w:rPr>
        <w:t>部门职责</w:t>
      </w:r>
    </w:p>
    <w:p w14:paraId="6DC3AE8A">
      <w:pPr>
        <w:pStyle w:val="13"/>
        <w:numPr>
          <w:ilvl w:val="0"/>
          <w:numId w:val="0"/>
        </w:numPr>
        <w:spacing w:line="600" w:lineRule="exact"/>
        <w:ind w:firstLine="640" w:firstLineChars="200"/>
        <w:jc w:val="both"/>
        <w:rPr>
          <w:rFonts w:hint="eastAsia" w:ascii="仿宋" w:hAnsi="仿宋" w:eastAsia="仿宋" w:cs="仿宋"/>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一）</w:t>
      </w:r>
      <w:r>
        <w:rPr>
          <w:rFonts w:hint="eastAsia" w:ascii="仿宋" w:hAnsi="仿宋" w:eastAsia="仿宋" w:cs="仿宋"/>
          <w:sz w:val="32"/>
          <w:szCs w:val="32"/>
        </w:rPr>
        <w:t>负责贯彻执行国家、省、市有关城市管理的法律、法规和政策；研究制定和组织实施环境卫生、园林绿化、户外广告、公园、城市照明设施、城市垃圾集中处置、市政基础设施管理与维护等行业的中长期规划和年度工作计划。</w:t>
      </w:r>
    </w:p>
    <w:p w14:paraId="44965F82">
      <w:pPr>
        <w:pStyle w:val="13"/>
        <w:numPr>
          <w:ilvl w:val="0"/>
          <w:numId w:val="0"/>
        </w:numPr>
        <w:spacing w:line="600" w:lineRule="exact"/>
        <w:ind w:firstLine="640" w:firstLineChars="200"/>
        <w:jc w:val="both"/>
        <w:rPr>
          <w:rFonts w:hint="eastAsia" w:ascii="仿宋" w:hAnsi="仿宋" w:eastAsia="仿宋" w:cs="仿宋"/>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二）</w:t>
      </w:r>
      <w:r>
        <w:rPr>
          <w:rFonts w:hint="eastAsia" w:ascii="仿宋" w:hAnsi="仿宋" w:eastAsia="仿宋" w:cs="仿宋"/>
          <w:sz w:val="32"/>
          <w:szCs w:val="32"/>
        </w:rPr>
        <w:t>负责全市城市管理和综合行政执法的业务指导、组织协调、监督检查和考核评价工作；指导全市城管执法规范化建设和执法队伍建设；负责重大案件和跨区域执法的指导和协调等职责。</w:t>
      </w:r>
    </w:p>
    <w:p w14:paraId="29E9F2A0">
      <w:pPr>
        <w:widowControl/>
        <w:spacing w:line="600" w:lineRule="exact"/>
        <w:ind w:firstLine="640" w:firstLineChars="200"/>
        <w:jc w:val="both"/>
        <w:rPr>
          <w:rFonts w:hint="eastAsia" w:ascii="仿宋" w:hAnsi="仿宋" w:eastAsia="仿宋" w:cs="仿宋"/>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三）</w:t>
      </w:r>
      <w:r>
        <w:rPr>
          <w:rFonts w:hint="eastAsia" w:ascii="仿宋" w:hAnsi="仿宋" w:eastAsia="仿宋" w:cs="仿宋"/>
          <w:sz w:val="32"/>
          <w:szCs w:val="32"/>
        </w:rPr>
        <w:t>负责“智慧怀化”数字城管平台的建设和管理；负责指导县市区数字化城市管理工作。</w:t>
      </w:r>
    </w:p>
    <w:p w14:paraId="143513E1">
      <w:pPr>
        <w:widowControl/>
        <w:spacing w:line="600" w:lineRule="exact"/>
        <w:ind w:firstLine="640" w:firstLineChars="200"/>
        <w:jc w:val="both"/>
        <w:rPr>
          <w:rFonts w:hint="eastAsia" w:ascii="仿宋" w:hAnsi="仿宋" w:eastAsia="仿宋" w:cs="仿宋"/>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四）</w:t>
      </w:r>
      <w:r>
        <w:rPr>
          <w:rFonts w:hint="eastAsia" w:ascii="仿宋" w:hAnsi="仿宋" w:eastAsia="仿宋" w:cs="仿宋"/>
          <w:sz w:val="32"/>
          <w:szCs w:val="32"/>
        </w:rPr>
        <w:t>负责城区生活垃圾的集中处置和垃圾处理场的管理。</w:t>
      </w:r>
    </w:p>
    <w:p w14:paraId="4A640C6B">
      <w:pPr>
        <w:widowControl/>
        <w:spacing w:line="600" w:lineRule="exact"/>
        <w:ind w:firstLine="640" w:firstLineChars="200"/>
        <w:jc w:val="both"/>
        <w:rPr>
          <w:rFonts w:hint="eastAsia" w:ascii="仿宋" w:hAnsi="仿宋" w:eastAsia="仿宋" w:cs="仿宋"/>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五）</w:t>
      </w:r>
      <w:r>
        <w:rPr>
          <w:rFonts w:hint="eastAsia" w:ascii="仿宋" w:hAnsi="仿宋" w:eastAsia="仿宋" w:cs="仿宋"/>
          <w:sz w:val="32"/>
          <w:szCs w:val="32"/>
        </w:rPr>
        <w:t>负责移交给市本级的（不含鹤城区、怀化经开区管辖的范围）城市市政公用设施、市政道路、路灯、城市桥涵；负责市本级市政基础设施的一般性改造和扩建工作；负责城市主次干道（包括人行道）因实际和维护需要的临时占用、挖掘管理工作，负责城区地下管网设施的监管工作，参与编制城区市政工程设施规划、计划和市政工程竣工验收。</w:t>
      </w:r>
    </w:p>
    <w:p w14:paraId="054B5471">
      <w:pPr>
        <w:widowControl/>
        <w:spacing w:line="600" w:lineRule="exact"/>
        <w:ind w:firstLine="640" w:firstLineChars="200"/>
        <w:jc w:val="both"/>
        <w:rPr>
          <w:rFonts w:hint="eastAsia" w:ascii="仿宋" w:hAnsi="仿宋" w:eastAsia="仿宋" w:cs="仿宋"/>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六）</w:t>
      </w:r>
      <w:r>
        <w:rPr>
          <w:rFonts w:hint="eastAsia" w:ascii="仿宋" w:hAnsi="仿宋" w:eastAsia="仿宋" w:cs="仿宋"/>
          <w:sz w:val="32"/>
          <w:szCs w:val="32"/>
        </w:rPr>
        <w:t>负责移交给市本级管辖（不含鹤城区、怀化经开区管辖范围）的城市规划区园林、绿化、风景名胜区、公园的管理工作；负责城区城市雕塑的管理和维护工作；负责城区古树名木的保护和具体承办古树名木的移植审批工作；负责城市规划区内生物多样性保护工作；负责组织实施国家制定的城市园林绿化行业标准和行业规范。</w:t>
      </w:r>
    </w:p>
    <w:p w14:paraId="484DD40E">
      <w:pPr>
        <w:widowControl/>
        <w:spacing w:line="600" w:lineRule="exact"/>
        <w:ind w:firstLine="640" w:firstLineChars="200"/>
        <w:jc w:val="both"/>
        <w:rPr>
          <w:rFonts w:hint="eastAsia" w:ascii="仿宋" w:hAnsi="仿宋" w:eastAsia="仿宋" w:cs="仿宋"/>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七）</w:t>
      </w:r>
      <w:r>
        <w:rPr>
          <w:rFonts w:hint="eastAsia" w:ascii="仿宋" w:hAnsi="仿宋" w:eastAsia="仿宋" w:cs="仿宋"/>
          <w:sz w:val="32"/>
          <w:szCs w:val="32"/>
        </w:rPr>
        <w:t>负责城市规划区内城市供水（含二次供水）、计划用水、节约用水的管理工作；负责指导城区供水企业的水质监测。</w:t>
      </w:r>
    </w:p>
    <w:p w14:paraId="20920D2B">
      <w:pPr>
        <w:widowControl/>
        <w:spacing w:line="600" w:lineRule="exact"/>
        <w:ind w:firstLine="640" w:firstLineChars="200"/>
        <w:jc w:val="both"/>
        <w:rPr>
          <w:rFonts w:hint="eastAsia" w:ascii="仿宋" w:hAnsi="仿宋" w:eastAsia="仿宋" w:cs="仿宋"/>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八）</w:t>
      </w:r>
      <w:r>
        <w:rPr>
          <w:rFonts w:hint="eastAsia" w:ascii="仿宋" w:hAnsi="仿宋" w:eastAsia="仿宋" w:cs="仿宋"/>
          <w:sz w:val="32"/>
          <w:szCs w:val="32"/>
        </w:rPr>
        <w:t>负责市本级辖区内户外广告设置管理工作。</w:t>
      </w:r>
    </w:p>
    <w:p w14:paraId="13C5047C">
      <w:pPr>
        <w:widowControl/>
        <w:spacing w:line="600" w:lineRule="exact"/>
        <w:ind w:firstLine="640" w:firstLineChars="200"/>
        <w:jc w:val="both"/>
        <w:rPr>
          <w:rFonts w:hint="eastAsia" w:ascii="仿宋" w:hAnsi="仿宋" w:eastAsia="仿宋" w:cs="仿宋"/>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九）</w:t>
      </w:r>
      <w:r>
        <w:rPr>
          <w:rFonts w:hint="eastAsia" w:ascii="仿宋" w:hAnsi="仿宋" w:eastAsia="仿宋" w:cs="仿宋"/>
          <w:sz w:val="32"/>
          <w:szCs w:val="32"/>
        </w:rPr>
        <w:t>负责编制城市市政维护管理方面资金年度使用计划和申报工作。管理城市维护建设资金及其它专项资金，检查监督各项资金的使用情况，依据界定的职能和法律、法规、规章、政策，负责各项规费及有关专项资金的征收、管理、使用。</w:t>
      </w:r>
    </w:p>
    <w:p w14:paraId="6CB81B5F">
      <w:pPr>
        <w:widowControl/>
        <w:spacing w:line="600" w:lineRule="exact"/>
        <w:ind w:firstLine="640" w:firstLineChars="200"/>
        <w:jc w:val="both"/>
        <w:rPr>
          <w:rFonts w:hint="eastAsia" w:ascii="仿宋" w:hAnsi="仿宋" w:eastAsia="仿宋" w:cs="仿宋"/>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十）</w:t>
      </w:r>
      <w:r>
        <w:rPr>
          <w:rFonts w:hint="eastAsia" w:ascii="仿宋" w:hAnsi="仿宋" w:eastAsia="仿宋" w:cs="仿宋"/>
          <w:sz w:val="32"/>
          <w:szCs w:val="32"/>
        </w:rPr>
        <w:t>指导和组织实施全市城市管理行业的科技推广应用以及重大技术的引进、创新工作。</w:t>
      </w:r>
    </w:p>
    <w:p w14:paraId="66FA3706">
      <w:pPr>
        <w:widowControl/>
        <w:spacing w:line="600" w:lineRule="exact"/>
        <w:ind w:firstLine="640" w:firstLineChars="200"/>
        <w:jc w:val="both"/>
        <w:rPr>
          <w:rFonts w:hint="eastAsia" w:ascii="仿宋" w:hAnsi="仿宋" w:eastAsia="仿宋" w:cs="仿宋"/>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十一）</w:t>
      </w:r>
      <w:r>
        <w:rPr>
          <w:rFonts w:hint="eastAsia" w:ascii="仿宋" w:hAnsi="仿宋" w:eastAsia="仿宋" w:cs="仿宋"/>
          <w:sz w:val="32"/>
          <w:szCs w:val="32"/>
        </w:rPr>
        <w:t>承办市委、市人民政府交办的其他事项。</w:t>
      </w:r>
    </w:p>
    <w:p w14:paraId="7594C199">
      <w:pPr>
        <w:widowControl/>
        <w:spacing w:line="600" w:lineRule="exact"/>
        <w:jc w:val="both"/>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二、机构设置及决算单位构成</w:t>
      </w:r>
    </w:p>
    <w:p w14:paraId="06B44F00">
      <w:pPr>
        <w:widowControl/>
        <w:spacing w:line="600" w:lineRule="exact"/>
        <w:ind w:firstLine="640" w:firstLineChars="200"/>
        <w:jc w:val="both"/>
        <w:rPr>
          <w:rFonts w:hint="eastAsia" w:ascii="仿宋" w:hAnsi="仿宋" w:eastAsia="仿宋" w:cs="仿宋"/>
          <w:sz w:val="32"/>
          <w:szCs w:val="32"/>
        </w:rPr>
      </w:pPr>
      <w:r>
        <w:rPr>
          <w:rFonts w:ascii="Times New Roman" w:hAnsi="Times New Roman" w:eastAsia="仿宋_GB2312" w:cs="Times New Roman"/>
          <w:bCs/>
          <w:kern w:val="0"/>
          <w:sz w:val="32"/>
          <w:szCs w:val="32"/>
        </w:rPr>
        <w:t>（一）内设机构设置。</w:t>
      </w:r>
      <w:r>
        <w:rPr>
          <w:rFonts w:hint="eastAsia" w:ascii="仿宋" w:hAnsi="仿宋" w:eastAsia="仿宋" w:cs="仿宋"/>
          <w:sz w:val="32"/>
          <w:szCs w:val="32"/>
        </w:rPr>
        <w:t>怀化市城市管理局作为一级部门预算单位，内设科室为：办公室、公用事业管理科、市政设施管理科、园林绿化管理科、执法监督科（法制科）、行政审批服务科、督查考评科（安全监督管理科）、财务装备科、人事科。另设机关党委。</w:t>
      </w:r>
    </w:p>
    <w:p w14:paraId="46C05EB4">
      <w:pPr>
        <w:widowControl/>
        <w:spacing w:line="600" w:lineRule="exact"/>
        <w:ind w:firstLine="640" w:firstLineChars="200"/>
        <w:rPr>
          <w:rFonts w:hint="eastAsia" w:ascii="仿宋" w:hAnsi="仿宋" w:eastAsia="仿宋" w:cs="仿宋"/>
          <w:sz w:val="32"/>
          <w:szCs w:val="32"/>
        </w:rPr>
      </w:pPr>
      <w:r>
        <w:rPr>
          <w:rFonts w:ascii="Times New Roman" w:hAnsi="Times New Roman" w:eastAsia="仿宋_GB2312" w:cs="Times New Roman"/>
          <w:bCs/>
          <w:kern w:val="0"/>
          <w:sz w:val="32"/>
          <w:szCs w:val="32"/>
        </w:rPr>
        <w:t>（二）决算单位构成。</w:t>
      </w:r>
      <w:r>
        <w:rPr>
          <w:rFonts w:hint="eastAsia" w:ascii="仿宋" w:hAnsi="仿宋" w:eastAsia="仿宋" w:cs="仿宋"/>
          <w:sz w:val="32"/>
          <w:szCs w:val="32"/>
        </w:rPr>
        <w:t>怀化市城市管理局202</w:t>
      </w:r>
      <w:r>
        <w:rPr>
          <w:rFonts w:hint="eastAsia" w:ascii="仿宋" w:hAnsi="仿宋" w:eastAsia="仿宋" w:cs="仿宋"/>
          <w:sz w:val="32"/>
          <w:szCs w:val="32"/>
          <w:lang w:val="en-US" w:eastAsia="zh-CN"/>
        </w:rPr>
        <w:t>5</w:t>
      </w:r>
      <w:r>
        <w:rPr>
          <w:rFonts w:hint="eastAsia" w:ascii="仿宋" w:hAnsi="仿宋" w:eastAsia="仿宋" w:cs="仿宋"/>
          <w:sz w:val="32"/>
          <w:szCs w:val="32"/>
        </w:rPr>
        <w:t>年部门决算汇总公开单位构成包括：怀化市城市管理局本级（局本级及局属非独立核算二级机构怀化市城市管理指挥中心）。</w:t>
      </w:r>
    </w:p>
    <w:p w14:paraId="7CAF908D">
      <w:pPr>
        <w:widowControl/>
        <w:spacing w:line="600" w:lineRule="exact"/>
        <w:rPr>
          <w:rFonts w:ascii="Times New Roman" w:hAnsi="Times New Roman" w:eastAsia="仿宋_GB2312" w:cs="Times New Roman"/>
          <w:bCs/>
          <w:kern w:val="0"/>
          <w:sz w:val="32"/>
          <w:szCs w:val="32"/>
        </w:rPr>
      </w:pPr>
    </w:p>
    <w:p w14:paraId="1794006B">
      <w:pPr>
        <w:jc w:val="left"/>
        <w:rPr>
          <w:rFonts w:ascii="Times New Roman" w:hAnsi="Times New Roman" w:eastAsia="仿宋_GB2312" w:cs="Times New Roman"/>
          <w:sz w:val="28"/>
          <w:szCs w:val="32"/>
        </w:rPr>
      </w:pPr>
    </w:p>
    <w:p w14:paraId="4B0B47AA">
      <w:pPr>
        <w:jc w:val="center"/>
        <w:rPr>
          <w:rFonts w:ascii="Times New Roman" w:hAnsi="Times New Roman" w:eastAsia="黑体" w:cs="Times New Roman"/>
          <w:sz w:val="28"/>
          <w:szCs w:val="28"/>
        </w:rPr>
      </w:pPr>
    </w:p>
    <w:p w14:paraId="598A9213">
      <w:pPr>
        <w:jc w:val="center"/>
        <w:rPr>
          <w:rFonts w:ascii="Times New Roman" w:hAnsi="Times New Roman" w:eastAsia="黑体" w:cs="Times New Roman"/>
          <w:sz w:val="28"/>
          <w:szCs w:val="28"/>
        </w:rPr>
      </w:pPr>
    </w:p>
    <w:p w14:paraId="31C7FEE5">
      <w:pPr>
        <w:jc w:val="center"/>
        <w:rPr>
          <w:rFonts w:ascii="Times New Roman" w:hAnsi="Times New Roman" w:eastAsia="黑体" w:cs="Times New Roman"/>
          <w:sz w:val="28"/>
          <w:szCs w:val="28"/>
        </w:rPr>
      </w:pPr>
    </w:p>
    <w:p w14:paraId="44EB2A0B">
      <w:pPr>
        <w:jc w:val="center"/>
        <w:rPr>
          <w:rFonts w:ascii="Times New Roman" w:hAnsi="Times New Roman" w:eastAsia="黑体" w:cs="Times New Roman"/>
          <w:sz w:val="28"/>
          <w:szCs w:val="28"/>
        </w:rPr>
      </w:pPr>
    </w:p>
    <w:p w14:paraId="50B9B4CA">
      <w:pPr>
        <w:jc w:val="center"/>
        <w:rPr>
          <w:rFonts w:ascii="Times New Roman" w:hAnsi="Times New Roman" w:eastAsia="黑体" w:cs="Times New Roman"/>
          <w:sz w:val="28"/>
          <w:szCs w:val="28"/>
        </w:rPr>
      </w:pPr>
    </w:p>
    <w:p w14:paraId="56F6FF28">
      <w:pPr>
        <w:pStyle w:val="7"/>
        <w:rPr>
          <w:rFonts w:ascii="Times New Roman" w:hAnsi="Times New Roman" w:cs="Times New Roman"/>
        </w:rPr>
        <w:sectPr>
          <w:footerReference r:id="rId6" w:type="default"/>
          <w:pgSz w:w="11906" w:h="16838"/>
          <w:pgMar w:top="1417" w:right="1588" w:bottom="1417" w:left="1588" w:header="851" w:footer="992" w:gutter="0"/>
          <w:pgNumType w:start="1"/>
          <w:cols w:space="425" w:num="1"/>
          <w:docGrid w:type="lines" w:linePitch="312" w:charSpace="0"/>
        </w:sectPr>
      </w:pPr>
    </w:p>
    <w:p w14:paraId="03E11F51">
      <w:pPr>
        <w:pStyle w:val="12"/>
        <w:jc w:val="center"/>
        <w:rPr>
          <w:rFonts w:hint="eastAsia" w:ascii="宋体" w:hAnsi="宋体" w:eastAsia="宋体" w:cs="宋体"/>
          <w:sz w:val="52"/>
          <w:szCs w:val="52"/>
        </w:rPr>
      </w:pPr>
    </w:p>
    <w:p w14:paraId="1F6A6631">
      <w:pPr>
        <w:pStyle w:val="12"/>
        <w:jc w:val="center"/>
        <w:rPr>
          <w:rFonts w:hint="eastAsia" w:ascii="宋体" w:hAnsi="宋体" w:eastAsia="宋体" w:cs="宋体"/>
          <w:sz w:val="52"/>
          <w:szCs w:val="52"/>
        </w:rPr>
      </w:pPr>
    </w:p>
    <w:p w14:paraId="4896BBAC">
      <w:pPr>
        <w:pStyle w:val="12"/>
        <w:jc w:val="center"/>
        <w:rPr>
          <w:rFonts w:hint="eastAsia" w:ascii="宋体" w:hAnsi="宋体" w:eastAsia="宋体" w:cs="宋体"/>
          <w:sz w:val="52"/>
          <w:szCs w:val="52"/>
        </w:rPr>
      </w:pPr>
    </w:p>
    <w:p w14:paraId="79675BC8">
      <w:pPr>
        <w:pStyle w:val="12"/>
        <w:jc w:val="center"/>
        <w:rPr>
          <w:rFonts w:hint="eastAsia" w:ascii="宋体" w:hAnsi="宋体" w:eastAsia="宋体" w:cs="宋体"/>
          <w:sz w:val="52"/>
          <w:szCs w:val="52"/>
        </w:rPr>
      </w:pPr>
    </w:p>
    <w:p w14:paraId="0EC3DA26">
      <w:pPr>
        <w:pStyle w:val="12"/>
        <w:jc w:val="center"/>
        <w:rPr>
          <w:rFonts w:hint="eastAsia" w:ascii="宋体" w:hAnsi="宋体" w:eastAsia="宋体" w:cs="宋体"/>
          <w:sz w:val="52"/>
          <w:szCs w:val="52"/>
        </w:rPr>
      </w:pPr>
      <w:r>
        <w:rPr>
          <w:rFonts w:hint="eastAsia" w:ascii="宋体" w:hAnsi="宋体" w:eastAsia="宋体" w:cs="宋体"/>
          <w:sz w:val="52"/>
          <w:szCs w:val="52"/>
        </w:rPr>
        <w:t>第二部分    部门决算表</w:t>
      </w:r>
    </w:p>
    <w:p w14:paraId="7B6458DB">
      <w:pPr>
        <w:autoSpaceDE w:val="0"/>
        <w:autoSpaceDN w:val="0"/>
        <w:adjustRightInd w:val="0"/>
        <w:ind w:left="315" w:leftChars="150"/>
        <w:jc w:val="left"/>
        <w:rPr>
          <w:rFonts w:hint="eastAsia" w:ascii="宋体" w:hAnsi="宋体" w:eastAsia="宋体" w:cs="宋体"/>
          <w:kern w:val="0"/>
          <w:sz w:val="24"/>
          <w:szCs w:val="24"/>
        </w:rPr>
      </w:pPr>
    </w:p>
    <w:p w14:paraId="542A6451">
      <w:pPr>
        <w:pStyle w:val="12"/>
        <w:jc w:val="center"/>
        <w:rPr>
          <w:rFonts w:hint="eastAsia" w:ascii="宋体" w:hAnsi="宋体" w:eastAsia="宋体" w:cs="宋体"/>
          <w:sz w:val="72"/>
          <w:szCs w:val="72"/>
        </w:rPr>
        <w:sectPr>
          <w:pgSz w:w="16838" w:h="11906" w:orient="landscape"/>
          <w:pgMar w:top="1134" w:right="1417" w:bottom="1134" w:left="1417" w:header="851" w:footer="992" w:gutter="0"/>
          <w:cols w:space="425" w:num="1"/>
          <w:docGrid w:type="lines" w:linePitch="312" w:charSpace="0"/>
        </w:sectPr>
      </w:pPr>
      <w:r>
        <w:rPr>
          <w:rFonts w:hint="eastAsia" w:ascii="宋体" w:hAnsi="宋体" w:eastAsia="宋体" w:cs="宋体"/>
          <w:sz w:val="52"/>
          <w:szCs w:val="52"/>
          <w:lang w:eastAsia="zh-CN"/>
        </w:rPr>
        <w:t>（</w:t>
      </w:r>
      <w:r>
        <w:rPr>
          <w:rFonts w:hint="eastAsia" w:ascii="宋体" w:hAnsi="宋体" w:eastAsia="宋体" w:cs="宋体"/>
          <w:sz w:val="52"/>
          <w:szCs w:val="52"/>
          <w:lang w:val="en-US" w:eastAsia="zh-CN"/>
        </w:rPr>
        <w:t>见附件</w:t>
      </w:r>
      <w:r>
        <w:rPr>
          <w:rFonts w:hint="eastAsia" w:ascii="宋体" w:hAnsi="宋体" w:eastAsia="宋体" w:cs="宋体"/>
          <w:sz w:val="52"/>
          <w:szCs w:val="52"/>
          <w:lang w:eastAsia="zh-CN"/>
        </w:rPr>
        <w:t>）</w:t>
      </w:r>
      <w:r>
        <w:rPr>
          <w:rFonts w:hint="eastAsia" w:ascii="宋体" w:hAnsi="宋体" w:eastAsia="宋体" w:cs="宋体"/>
          <w:szCs w:val="21"/>
          <w:lang w:val="en-US" w:eastAsia="zh-CN"/>
        </w:rPr>
        <w:t xml:space="preserve">   </w:t>
      </w:r>
    </w:p>
    <w:p w14:paraId="75959034">
      <w:pPr>
        <w:pStyle w:val="12"/>
        <w:rPr>
          <w:rFonts w:ascii="Times New Roman" w:hAnsi="Times New Roman" w:cs="Times New Roman"/>
          <w:sz w:val="72"/>
          <w:szCs w:val="72"/>
        </w:rPr>
      </w:pPr>
    </w:p>
    <w:p w14:paraId="16587827">
      <w:pPr>
        <w:pStyle w:val="12"/>
        <w:rPr>
          <w:rFonts w:ascii="Times New Roman" w:hAnsi="Times New Roman" w:cs="Times New Roman"/>
          <w:sz w:val="72"/>
          <w:szCs w:val="72"/>
        </w:rPr>
      </w:pPr>
    </w:p>
    <w:p w14:paraId="06C9E74B">
      <w:pPr>
        <w:pStyle w:val="12"/>
        <w:rPr>
          <w:rFonts w:ascii="Times New Roman" w:hAnsi="Times New Roman" w:cs="Times New Roman"/>
          <w:sz w:val="72"/>
          <w:szCs w:val="72"/>
        </w:rPr>
      </w:pPr>
    </w:p>
    <w:p w14:paraId="7BC912B9">
      <w:pPr>
        <w:pStyle w:val="12"/>
        <w:jc w:val="center"/>
        <w:rPr>
          <w:rFonts w:ascii="Times New Roman" w:hAnsi="Times New Roman" w:cs="Times New Roman"/>
          <w:sz w:val="72"/>
          <w:szCs w:val="72"/>
        </w:rPr>
      </w:pPr>
    </w:p>
    <w:p w14:paraId="6E27CE78">
      <w:pPr>
        <w:pStyle w:val="12"/>
        <w:jc w:val="center"/>
        <w:rPr>
          <w:rFonts w:ascii="Times New Roman" w:hAnsi="Times New Roman" w:eastAsia="方正小标宋_GBK" w:cs="Times New Roman"/>
          <w:sz w:val="72"/>
          <w:szCs w:val="72"/>
        </w:rPr>
      </w:pPr>
    </w:p>
    <w:p w14:paraId="17CA9254">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第三部分</w:t>
      </w:r>
    </w:p>
    <w:p w14:paraId="14871987">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202</w:t>
      </w:r>
      <w:r>
        <w:rPr>
          <w:rFonts w:hint="eastAsia" w:ascii="Times New Roman" w:hAnsi="Times New Roman" w:eastAsia="方正小标宋_GBK" w:cs="Times New Roman"/>
          <w:sz w:val="52"/>
          <w:szCs w:val="52"/>
          <w:lang w:val="en-US" w:eastAsia="zh-CN"/>
        </w:rPr>
        <w:t>5</w:t>
      </w:r>
      <w:r>
        <w:rPr>
          <w:rFonts w:ascii="Times New Roman" w:hAnsi="Times New Roman" w:eastAsia="方正小标宋_GBK" w:cs="Times New Roman"/>
          <w:sz w:val="52"/>
          <w:szCs w:val="52"/>
        </w:rPr>
        <w:t>年度部门决算情况说明</w:t>
      </w:r>
    </w:p>
    <w:p w14:paraId="0C58AF38">
      <w:pPr>
        <w:widowControl/>
        <w:jc w:val="left"/>
        <w:rPr>
          <w:rFonts w:ascii="Times New Roman" w:hAnsi="Times New Roman" w:cs="Times New Roman"/>
          <w:sz w:val="32"/>
          <w:szCs w:val="32"/>
        </w:rPr>
      </w:pPr>
      <w:r>
        <w:rPr>
          <w:rFonts w:ascii="Times New Roman" w:hAnsi="Times New Roman" w:eastAsia="方正小标宋_GBK" w:cs="Times New Roman"/>
          <w:sz w:val="70"/>
          <w:szCs w:val="70"/>
        </w:rPr>
        <w:br w:type="page"/>
      </w:r>
    </w:p>
    <w:p w14:paraId="7EE9CDCC">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一、收入支出决算总体情况说明</w:t>
      </w:r>
    </w:p>
    <w:p w14:paraId="15F41882">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年度收、支总计</w:t>
      </w:r>
      <w:r>
        <w:rPr>
          <w:rFonts w:hint="eastAsia" w:ascii="Times New Roman" w:hAnsi="Times New Roman" w:eastAsia="仿宋_GB2312" w:cs="Times New Roman"/>
          <w:sz w:val="32"/>
          <w:szCs w:val="32"/>
        </w:rPr>
        <w:t>220609.97</w:t>
      </w:r>
      <w:r>
        <w:rPr>
          <w:rFonts w:ascii="Times New Roman" w:hAnsi="Times New Roman" w:eastAsia="仿宋_GB2312" w:cs="Times New Roman"/>
          <w:sz w:val="32"/>
          <w:szCs w:val="32"/>
        </w:rPr>
        <w:t>万元。与上年相比，增加</w:t>
      </w:r>
      <w:r>
        <w:rPr>
          <w:rFonts w:hint="eastAsia" w:ascii="Times New Roman" w:hAnsi="Times New Roman" w:eastAsia="仿宋_GB2312" w:cs="Times New Roman"/>
          <w:sz w:val="32"/>
          <w:szCs w:val="32"/>
          <w:lang w:val="en-US" w:eastAsia="zh-CN"/>
        </w:rPr>
        <w:t>204825.53</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rPr>
        <w:t>1297.6</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val="en-US" w:eastAsia="zh-CN"/>
        </w:rPr>
        <w:t>本年度项目资金增加，</w:t>
      </w:r>
      <w:r>
        <w:rPr>
          <w:rFonts w:hint="eastAsia" w:ascii="Times New Roman" w:hAnsi="Times New Roman" w:eastAsia="仿宋_GB2312" w:cs="Times New Roman"/>
          <w:sz w:val="32"/>
          <w:szCs w:val="32"/>
        </w:rPr>
        <w:t>按照财政下达资金及安排核算收入</w:t>
      </w:r>
      <w:r>
        <w:rPr>
          <w:rFonts w:hint="eastAsia" w:ascii="Times New Roman" w:hAnsi="Times New Roman" w:eastAsia="仿宋_GB2312" w:cs="Times New Roman"/>
          <w:sz w:val="32"/>
          <w:szCs w:val="32"/>
          <w:lang w:eastAsia="zh-CN"/>
        </w:rPr>
        <w:t>。</w:t>
      </w:r>
    </w:p>
    <w:p w14:paraId="5A130355">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贯彻落实党政机关习惯过紧日子有关要求，厉行节约办一切事业，严控一般性支出，进一步优化支出结构，持续压降“三公”经费、办公经费、会议培训等行政开支。同时坚持有保有压，优化支出结构，提高资金使用效率，合理保障</w:t>
      </w:r>
      <w:r>
        <w:rPr>
          <w:rFonts w:hint="eastAsia" w:ascii="Times New Roman" w:hAnsi="Times New Roman" w:eastAsia="仿宋_GB2312" w:cs="Times New Roman"/>
          <w:sz w:val="32"/>
          <w:szCs w:val="32"/>
          <w:lang w:val="en-US" w:eastAsia="zh-CN"/>
        </w:rPr>
        <w:t>市政设施运维</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市容环境保障</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园林绿化运维</w:t>
      </w:r>
      <w:r>
        <w:rPr>
          <w:rFonts w:hint="eastAsia" w:ascii="Times New Roman" w:hAnsi="Times New Roman" w:eastAsia="仿宋_GB2312" w:cs="Times New Roman"/>
          <w:sz w:val="32"/>
          <w:szCs w:val="32"/>
          <w:lang w:eastAsia="zh-CN"/>
        </w:rPr>
        <w:t>等重点支出，体现在有关支出科目中。</w:t>
      </w:r>
    </w:p>
    <w:p w14:paraId="6B218E9D">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二、收入决算情况说明</w:t>
      </w:r>
    </w:p>
    <w:p w14:paraId="7E63761D">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年度收入合计</w:t>
      </w:r>
      <w:r>
        <w:rPr>
          <w:rFonts w:hint="eastAsia" w:ascii="Times New Roman" w:hAnsi="Times New Roman" w:eastAsia="仿宋_GB2312" w:cs="Times New Roman"/>
          <w:sz w:val="32"/>
          <w:szCs w:val="32"/>
        </w:rPr>
        <w:t>220609.97</w:t>
      </w:r>
      <w:r>
        <w:rPr>
          <w:rFonts w:ascii="Times New Roman" w:hAnsi="Times New Roman" w:eastAsia="仿宋_GB2312" w:cs="Times New Roman"/>
          <w:sz w:val="32"/>
          <w:szCs w:val="32"/>
        </w:rPr>
        <w:t>万元，其中：财政拨款收入</w:t>
      </w:r>
      <w:r>
        <w:rPr>
          <w:rFonts w:hint="eastAsia" w:ascii="Times New Roman" w:hAnsi="Times New Roman" w:eastAsia="仿宋_GB2312" w:cs="Times New Roman"/>
          <w:sz w:val="32"/>
          <w:szCs w:val="32"/>
        </w:rPr>
        <w:t>220607.67</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99.999</w:t>
      </w:r>
      <w:r>
        <w:rPr>
          <w:rFonts w:ascii="Times New Roman" w:hAnsi="Times New Roman" w:eastAsia="仿宋_GB2312" w:cs="Times New Roman"/>
          <w:sz w:val="32"/>
          <w:szCs w:val="32"/>
        </w:rPr>
        <w:t>%；上级补助收入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%；事业收入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%；附属单位上缴收入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%；其他收入</w:t>
      </w:r>
      <w:r>
        <w:rPr>
          <w:rFonts w:hint="eastAsia" w:ascii="Times New Roman" w:hAnsi="Times New Roman" w:eastAsia="仿宋_GB2312" w:cs="Times New Roman"/>
          <w:sz w:val="32"/>
          <w:szCs w:val="32"/>
        </w:rPr>
        <w:t>2.3</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0.001</w:t>
      </w:r>
      <w:r>
        <w:rPr>
          <w:rFonts w:ascii="Times New Roman" w:hAnsi="Times New Roman" w:eastAsia="仿宋_GB2312" w:cs="Times New Roman"/>
          <w:sz w:val="32"/>
          <w:szCs w:val="32"/>
        </w:rPr>
        <w:t>%。</w:t>
      </w:r>
    </w:p>
    <w:p w14:paraId="1C9DC745">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三、支出决算情况说明</w:t>
      </w:r>
    </w:p>
    <w:p w14:paraId="27980DCD">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年度支出合计</w:t>
      </w:r>
      <w:r>
        <w:rPr>
          <w:rFonts w:hint="eastAsia" w:ascii="Times New Roman" w:hAnsi="Times New Roman" w:eastAsia="仿宋_GB2312" w:cs="Times New Roman"/>
          <w:sz w:val="32"/>
          <w:szCs w:val="32"/>
        </w:rPr>
        <w:t>220609.97</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rPr>
        <w:t>2237.99</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1.01</w:t>
      </w:r>
      <w:r>
        <w:rPr>
          <w:rFonts w:ascii="Times New Roman" w:hAnsi="Times New Roman" w:eastAsia="仿宋_GB2312" w:cs="Times New Roman"/>
          <w:sz w:val="32"/>
          <w:szCs w:val="32"/>
        </w:rPr>
        <w:t>%；项目支出</w:t>
      </w:r>
      <w:r>
        <w:rPr>
          <w:rFonts w:hint="eastAsia" w:ascii="Times New Roman" w:hAnsi="Times New Roman" w:eastAsia="仿宋_GB2312" w:cs="Times New Roman"/>
          <w:sz w:val="32"/>
          <w:szCs w:val="32"/>
        </w:rPr>
        <w:t>218371.98</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98.99</w:t>
      </w:r>
      <w:r>
        <w:rPr>
          <w:rFonts w:ascii="Times New Roman" w:hAnsi="Times New Roman" w:eastAsia="仿宋_GB2312" w:cs="Times New Roman"/>
          <w:sz w:val="32"/>
          <w:szCs w:val="32"/>
        </w:rPr>
        <w:t>%；上缴上级支出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%；对附属单位补助支出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14:paraId="759A47F3">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四、财政拨款收入支出决算总体情况说明</w:t>
      </w:r>
    </w:p>
    <w:p w14:paraId="04D494E1">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年度财政拨款收、支总计</w:t>
      </w:r>
      <w:r>
        <w:rPr>
          <w:rFonts w:hint="eastAsia" w:ascii="Times New Roman" w:hAnsi="Times New Roman" w:eastAsia="仿宋_GB2312" w:cs="Times New Roman"/>
          <w:sz w:val="32"/>
          <w:szCs w:val="32"/>
        </w:rPr>
        <w:t>220607.67</w:t>
      </w:r>
      <w:r>
        <w:rPr>
          <w:rFonts w:ascii="Times New Roman" w:hAnsi="Times New Roman" w:eastAsia="仿宋_GB2312" w:cs="Times New Roman"/>
          <w:sz w:val="32"/>
          <w:szCs w:val="32"/>
        </w:rPr>
        <w:t>万元，与上年相比，增加</w:t>
      </w:r>
      <w:r>
        <w:rPr>
          <w:rFonts w:hint="eastAsia" w:ascii="Times New Roman" w:hAnsi="Times New Roman" w:eastAsia="仿宋_GB2312" w:cs="Times New Roman"/>
          <w:sz w:val="32"/>
          <w:szCs w:val="32"/>
          <w:lang w:val="en-US" w:eastAsia="zh-CN"/>
        </w:rPr>
        <w:t>204823.22</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1297.63</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val="en-US" w:eastAsia="zh-CN"/>
        </w:rPr>
        <w:t>本年度项目资金增加，</w:t>
      </w:r>
      <w:r>
        <w:rPr>
          <w:rFonts w:hint="eastAsia" w:ascii="Times New Roman" w:hAnsi="Times New Roman" w:eastAsia="仿宋_GB2312" w:cs="Times New Roman"/>
          <w:sz w:val="32"/>
          <w:szCs w:val="32"/>
        </w:rPr>
        <w:t>按照财政下达资金及安排核算收入</w:t>
      </w:r>
      <w:r>
        <w:rPr>
          <w:rFonts w:hint="eastAsia" w:ascii="Times New Roman" w:hAnsi="Times New Roman" w:eastAsia="仿宋_GB2312" w:cs="Times New Roman"/>
          <w:sz w:val="32"/>
          <w:szCs w:val="32"/>
          <w:lang w:eastAsia="zh-CN"/>
        </w:rPr>
        <w:t>。</w:t>
      </w:r>
    </w:p>
    <w:p w14:paraId="1537DDB4">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五、一般公共预算财政拨款支出决算情况说明</w:t>
      </w:r>
    </w:p>
    <w:p w14:paraId="7DFACAEE">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（一）一般公共预算财政拨款支出决算总体情况</w:t>
      </w:r>
    </w:p>
    <w:p w14:paraId="1D576ABC">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w:t>
      </w:r>
      <w:r>
        <w:rPr>
          <w:rFonts w:hint="eastAsia" w:ascii="Times New Roman" w:hAnsi="Times New Roman" w:eastAsia="仿宋_GB2312" w:cs="Times New Roman"/>
          <w:sz w:val="32"/>
          <w:szCs w:val="32"/>
        </w:rPr>
        <w:t>7459.87</w:t>
      </w:r>
      <w:r>
        <w:rPr>
          <w:rFonts w:ascii="Times New Roman" w:hAnsi="Times New Roman" w:eastAsia="仿宋_GB2312" w:cs="Times New Roman"/>
          <w:sz w:val="32"/>
          <w:szCs w:val="32"/>
        </w:rPr>
        <w:t>万元，占本年支出合计的</w:t>
      </w:r>
      <w:r>
        <w:rPr>
          <w:rFonts w:hint="eastAsia" w:ascii="Times New Roman" w:hAnsi="Times New Roman" w:eastAsia="仿宋_GB2312" w:cs="Times New Roman"/>
          <w:sz w:val="32"/>
          <w:szCs w:val="32"/>
          <w:lang w:val="en-US" w:eastAsia="zh-CN"/>
        </w:rPr>
        <w:t>3.38</w:t>
      </w:r>
      <w:r>
        <w:rPr>
          <w:rFonts w:ascii="Times New Roman" w:hAnsi="Times New Roman" w:eastAsia="仿宋_GB2312" w:cs="Times New Roman"/>
          <w:sz w:val="32"/>
          <w:szCs w:val="32"/>
        </w:rPr>
        <w:t>%，与上年相比，财政拨款支出减少</w:t>
      </w:r>
      <w:r>
        <w:rPr>
          <w:rFonts w:hint="eastAsia" w:ascii="Times New Roman" w:hAnsi="Times New Roman" w:eastAsia="仿宋_GB2312" w:cs="Times New Roman"/>
          <w:sz w:val="32"/>
          <w:szCs w:val="32"/>
          <w:lang w:val="en-US" w:eastAsia="zh-CN"/>
        </w:rPr>
        <w:t>7862.97</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51.30</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val="en-US" w:eastAsia="zh-CN"/>
        </w:rPr>
        <w:t>本年度项目资金财政拨款减少，</w:t>
      </w:r>
      <w:r>
        <w:rPr>
          <w:rFonts w:hint="eastAsia" w:ascii="Times New Roman" w:hAnsi="Times New Roman" w:eastAsia="仿宋_GB2312" w:cs="Times New Roman"/>
          <w:sz w:val="32"/>
          <w:szCs w:val="32"/>
        </w:rPr>
        <w:t>按照财政下达资金及安排核算收入</w:t>
      </w:r>
      <w:r>
        <w:rPr>
          <w:rFonts w:hint="eastAsia" w:ascii="Times New Roman" w:hAnsi="Times New Roman" w:eastAsia="仿宋_GB2312" w:cs="Times New Roman"/>
          <w:sz w:val="32"/>
          <w:szCs w:val="32"/>
          <w:lang w:eastAsia="zh-CN"/>
        </w:rPr>
        <w:t>。</w:t>
      </w:r>
    </w:p>
    <w:p w14:paraId="79445303">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（二）一般公共预算财政拨款支出决算结构情况</w:t>
      </w:r>
    </w:p>
    <w:p w14:paraId="7259835C">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度财政拨款支出</w:t>
      </w:r>
      <w:r>
        <w:rPr>
          <w:rFonts w:hint="eastAsia" w:ascii="Times New Roman" w:hAnsi="Times New Roman" w:eastAsia="仿宋_GB2312" w:cs="Times New Roman"/>
          <w:sz w:val="32"/>
          <w:szCs w:val="32"/>
        </w:rPr>
        <w:t>7459.87</w:t>
      </w:r>
      <w:r>
        <w:rPr>
          <w:rFonts w:ascii="Times New Roman" w:hAnsi="Times New Roman" w:eastAsia="仿宋_GB2312" w:cs="Times New Roman"/>
          <w:sz w:val="32"/>
          <w:szCs w:val="32"/>
        </w:rPr>
        <w:t>万元，主要用于以下方面：一般公共服务（类）支出</w:t>
      </w:r>
      <w:r>
        <w:rPr>
          <w:rFonts w:hint="eastAsia" w:ascii="Times New Roman" w:hAnsi="Times New Roman" w:eastAsia="仿宋_GB2312" w:cs="Times New Roman"/>
          <w:sz w:val="32"/>
          <w:szCs w:val="32"/>
        </w:rPr>
        <w:t>360.93</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4.84</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文化旅游体育与传媒</w:t>
      </w:r>
      <w:r>
        <w:rPr>
          <w:rFonts w:ascii="Times New Roman" w:hAnsi="Times New Roman" w:eastAsia="仿宋_GB2312" w:cs="Times New Roman"/>
          <w:sz w:val="32"/>
          <w:szCs w:val="32"/>
        </w:rPr>
        <w:t>（类）支出</w:t>
      </w:r>
      <w:r>
        <w:rPr>
          <w:rFonts w:hint="eastAsia" w:ascii="Times New Roman" w:hAnsi="Times New Roman" w:eastAsia="仿宋_GB2312" w:cs="Times New Roman"/>
          <w:sz w:val="32"/>
          <w:szCs w:val="32"/>
          <w:lang w:val="en-US" w:eastAsia="zh-CN"/>
        </w:rPr>
        <w:t>44</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0.59</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社会保障和就业</w:t>
      </w:r>
      <w:r>
        <w:rPr>
          <w:rFonts w:ascii="Times New Roman" w:hAnsi="Times New Roman" w:eastAsia="仿宋_GB2312" w:cs="Times New Roman"/>
          <w:sz w:val="32"/>
          <w:szCs w:val="32"/>
        </w:rPr>
        <w:t>（类）支出</w:t>
      </w:r>
      <w:r>
        <w:rPr>
          <w:rFonts w:hint="eastAsia" w:ascii="Times New Roman" w:hAnsi="Times New Roman" w:eastAsia="仿宋_GB2312" w:cs="Times New Roman"/>
          <w:sz w:val="32"/>
          <w:szCs w:val="32"/>
        </w:rPr>
        <w:t>233.27</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3.13</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卫生健康</w:t>
      </w:r>
      <w:r>
        <w:rPr>
          <w:rFonts w:ascii="Times New Roman" w:hAnsi="Times New Roman" w:eastAsia="仿宋_GB2312" w:cs="Times New Roman"/>
          <w:sz w:val="32"/>
          <w:szCs w:val="32"/>
        </w:rPr>
        <w:t>（类）支出</w:t>
      </w:r>
      <w:r>
        <w:rPr>
          <w:rFonts w:hint="eastAsia" w:ascii="Times New Roman" w:hAnsi="Times New Roman" w:eastAsia="仿宋_GB2312" w:cs="Times New Roman"/>
          <w:sz w:val="32"/>
          <w:szCs w:val="32"/>
        </w:rPr>
        <w:t>65.59</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0.88</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城乡社区</w:t>
      </w:r>
      <w:r>
        <w:rPr>
          <w:rFonts w:ascii="Times New Roman" w:hAnsi="Times New Roman" w:eastAsia="仿宋_GB2312" w:cs="Times New Roman"/>
          <w:sz w:val="32"/>
          <w:szCs w:val="32"/>
        </w:rPr>
        <w:t>（类）支出</w:t>
      </w:r>
      <w:r>
        <w:rPr>
          <w:rFonts w:hint="eastAsia" w:ascii="Times New Roman" w:hAnsi="Times New Roman" w:eastAsia="仿宋_GB2312" w:cs="Times New Roman"/>
          <w:sz w:val="32"/>
          <w:szCs w:val="32"/>
        </w:rPr>
        <w:t>6602.97</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88.51</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住房保障</w:t>
      </w:r>
      <w:r>
        <w:rPr>
          <w:rFonts w:ascii="Times New Roman" w:hAnsi="Times New Roman" w:eastAsia="仿宋_GB2312" w:cs="Times New Roman"/>
          <w:sz w:val="32"/>
          <w:szCs w:val="32"/>
        </w:rPr>
        <w:t>（类）支出</w:t>
      </w:r>
      <w:r>
        <w:rPr>
          <w:rFonts w:hint="eastAsia" w:ascii="Times New Roman" w:hAnsi="Times New Roman" w:eastAsia="仿宋_GB2312" w:cs="Times New Roman"/>
          <w:sz w:val="32"/>
          <w:szCs w:val="32"/>
        </w:rPr>
        <w:t>153.11</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2.05</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p>
    <w:p w14:paraId="0D2E2434">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（三）一般公共预算财政拨款支出决算具体情况</w:t>
      </w:r>
    </w:p>
    <w:p w14:paraId="303ECAA3">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年度财政拨款支出年初预算数为</w:t>
      </w:r>
      <w:r>
        <w:rPr>
          <w:rFonts w:hint="eastAsia" w:ascii="Times New Roman" w:hAnsi="Times New Roman" w:eastAsia="仿宋_GB2312" w:cs="Times New Roman"/>
          <w:sz w:val="32"/>
          <w:szCs w:val="32"/>
          <w:lang w:val="en-US" w:eastAsia="zh-CN"/>
        </w:rPr>
        <w:t>4208.79</w:t>
      </w:r>
      <w:r>
        <w:rPr>
          <w:rFonts w:ascii="Times New Roman" w:hAnsi="Times New Roman" w:eastAsia="仿宋_GB2312" w:cs="Times New Roman"/>
          <w:sz w:val="32"/>
          <w:szCs w:val="32"/>
        </w:rPr>
        <w:t>万元，支出决算数为</w:t>
      </w:r>
      <w:r>
        <w:rPr>
          <w:rFonts w:hint="eastAsia" w:ascii="Times New Roman" w:hAnsi="Times New Roman" w:eastAsia="仿宋_GB2312" w:cs="Times New Roman"/>
          <w:sz w:val="32"/>
          <w:szCs w:val="32"/>
        </w:rPr>
        <w:t>7459.87</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177.25</w:t>
      </w:r>
      <w:r>
        <w:rPr>
          <w:rFonts w:ascii="Times New Roman" w:hAnsi="Times New Roman" w:eastAsia="仿宋_GB2312" w:cs="Times New Roman"/>
          <w:sz w:val="32"/>
          <w:szCs w:val="32"/>
        </w:rPr>
        <w:t>%，其中：</w:t>
      </w:r>
    </w:p>
    <w:p w14:paraId="500A4DFD">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1、一般公共服务（类）</w:t>
      </w:r>
      <w:r>
        <w:rPr>
          <w:rFonts w:hint="eastAsia" w:ascii="Times New Roman" w:hAnsi="Times New Roman" w:eastAsia="仿宋_GB2312" w:cs="Times New Roman"/>
          <w:sz w:val="32"/>
          <w:szCs w:val="32"/>
        </w:rPr>
        <w:t>其他一般公共服务支出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其他一般公共服务支出</w:t>
      </w:r>
      <w:r>
        <w:rPr>
          <w:rFonts w:ascii="Times New Roman" w:hAnsi="Times New Roman" w:eastAsia="仿宋_GB2312" w:cs="Times New Roman"/>
          <w:sz w:val="32"/>
          <w:szCs w:val="32"/>
        </w:rPr>
        <w:t>（项）。</w:t>
      </w:r>
    </w:p>
    <w:p w14:paraId="60255997">
      <w:pPr>
        <w:pStyle w:val="12"/>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rPr>
        <w:t>360.93</w:t>
      </w:r>
      <w:r>
        <w:rPr>
          <w:rFonts w:ascii="Times New Roman" w:hAnsi="Times New Roman" w:eastAsia="仿宋_GB2312" w:cs="Times New Roman"/>
          <w:sz w:val="32"/>
          <w:szCs w:val="32"/>
        </w:rPr>
        <w:t>万元，决算数大于年初预算数的主要原因是：</w:t>
      </w:r>
      <w:r>
        <w:rPr>
          <w:rFonts w:hint="eastAsia" w:ascii="Times New Roman" w:hAnsi="Times New Roman" w:eastAsia="仿宋_GB2312" w:cs="Times New Roman"/>
          <w:sz w:val="32"/>
          <w:szCs w:val="32"/>
          <w:lang w:val="en-US" w:eastAsia="zh-CN"/>
        </w:rPr>
        <w:t>年中追加2025年度考核奖以及工资，追加贺昭铭国家赔偿金。</w:t>
      </w:r>
    </w:p>
    <w:p w14:paraId="5A7CF958">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w:t>
      </w:r>
      <w:r>
        <w:rPr>
          <w:rFonts w:hint="eastAsia" w:ascii="Times New Roman" w:hAnsi="Times New Roman" w:eastAsia="仿宋_GB2312" w:cs="Times New Roman"/>
          <w:sz w:val="32"/>
          <w:szCs w:val="32"/>
        </w:rPr>
        <w:t>文化旅游体育与传媒支出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其他文化旅游体育与传媒支出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其他文化旅游体育与传媒支出</w:t>
      </w:r>
      <w:r>
        <w:rPr>
          <w:rFonts w:ascii="Times New Roman" w:hAnsi="Times New Roman" w:eastAsia="仿宋_GB2312" w:cs="Times New Roman"/>
          <w:sz w:val="32"/>
          <w:szCs w:val="32"/>
        </w:rPr>
        <w:t>（项）。</w:t>
      </w:r>
    </w:p>
    <w:p w14:paraId="20910C6B">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44</w:t>
      </w:r>
      <w:r>
        <w:rPr>
          <w:rFonts w:ascii="Times New Roman" w:hAnsi="Times New Roman" w:eastAsia="仿宋_GB2312" w:cs="Times New Roman"/>
          <w:sz w:val="32"/>
          <w:szCs w:val="32"/>
        </w:rPr>
        <w:t>万元，决算数大于年初预算数的主要原因是：</w:t>
      </w:r>
      <w:r>
        <w:rPr>
          <w:rFonts w:hint="eastAsia" w:ascii="Times New Roman" w:hAnsi="Times New Roman" w:eastAsia="仿宋_GB2312" w:cs="Times New Roman"/>
          <w:sz w:val="32"/>
          <w:szCs w:val="32"/>
          <w:lang w:val="en-US" w:eastAsia="zh-CN"/>
        </w:rPr>
        <w:t>年中追加</w:t>
      </w:r>
      <w:r>
        <w:rPr>
          <w:rFonts w:hint="eastAsia" w:ascii="Times New Roman" w:hAnsi="Times New Roman" w:eastAsia="仿宋_GB2312" w:cs="Times New Roman"/>
          <w:sz w:val="32"/>
          <w:szCs w:val="32"/>
        </w:rPr>
        <w:t>文化和旅游专项资金</w:t>
      </w:r>
      <w:r>
        <w:rPr>
          <w:rFonts w:hint="eastAsia" w:ascii="Times New Roman" w:hAnsi="Times New Roman" w:eastAsia="仿宋_GB2312" w:cs="Times New Roman"/>
          <w:sz w:val="32"/>
          <w:szCs w:val="32"/>
          <w:lang w:val="en-US" w:eastAsia="zh-CN"/>
        </w:rPr>
        <w:t>和社会综合发展专项（含乡村振兴）资金，未纳入年初预算。</w:t>
      </w:r>
    </w:p>
    <w:p w14:paraId="6CA768E4">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3</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社会保障和就业支出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行政事业单位养老支出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机关事业单位基本养老保险缴费支出</w:t>
      </w:r>
      <w:r>
        <w:rPr>
          <w:rFonts w:ascii="Times New Roman" w:hAnsi="Times New Roman" w:eastAsia="仿宋_GB2312" w:cs="Times New Roman"/>
          <w:sz w:val="32"/>
          <w:szCs w:val="32"/>
        </w:rPr>
        <w:t>（项）。</w:t>
      </w:r>
    </w:p>
    <w:p w14:paraId="4C820044">
      <w:pPr>
        <w:pStyle w:val="12"/>
        <w:overflowPunct w:val="0"/>
        <w:autoSpaceDE/>
        <w:autoSpaceDN/>
        <w:spacing w:line="600" w:lineRule="exact"/>
        <w:ind w:firstLine="640" w:firstLineChars="200"/>
        <w:jc w:val="both"/>
        <w:rPr>
          <w:rFonts w:hint="eastAsia" w:ascii="Times New Roman" w:hAnsi="Times New Roman" w:eastAsia="仿宋" w:cs="Times New Roman"/>
          <w:sz w:val="32"/>
          <w:szCs w:val="32"/>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162.41</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rPr>
        <w:t>161.93</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99.70</w:t>
      </w:r>
      <w:r>
        <w:rPr>
          <w:rFonts w:ascii="Times New Roman" w:hAnsi="Times New Roman" w:eastAsia="仿宋_GB2312" w:cs="Times New Roman"/>
          <w:sz w:val="32"/>
          <w:szCs w:val="32"/>
        </w:rPr>
        <w:t>%，决算数小于年初预算数的主要原因是：</w:t>
      </w:r>
      <w:r>
        <w:rPr>
          <w:rFonts w:hint="eastAsia" w:ascii="仿宋" w:hAnsi="仿宋" w:eastAsia="仿宋" w:cs="仿宋"/>
          <w:sz w:val="32"/>
          <w:szCs w:val="32"/>
        </w:rPr>
        <w:t>该笔资金为财政下拨用于202</w:t>
      </w:r>
      <w:r>
        <w:rPr>
          <w:rFonts w:hint="eastAsia" w:ascii="仿宋" w:hAnsi="仿宋" w:eastAsia="仿宋" w:cs="仿宋"/>
          <w:sz w:val="32"/>
          <w:szCs w:val="32"/>
          <w:lang w:val="en-US" w:eastAsia="zh-CN"/>
        </w:rPr>
        <w:t>5</w:t>
      </w:r>
      <w:r>
        <w:rPr>
          <w:rFonts w:hint="eastAsia" w:ascii="仿宋" w:hAnsi="仿宋" w:eastAsia="仿宋" w:cs="仿宋"/>
          <w:sz w:val="32"/>
          <w:szCs w:val="32"/>
        </w:rPr>
        <w:t>年基本养老保险，</w:t>
      </w:r>
      <w:r>
        <w:rPr>
          <w:rFonts w:hint="eastAsia" w:ascii="仿宋" w:hAnsi="仿宋" w:eastAsia="仿宋" w:cs="仿宋"/>
          <w:sz w:val="32"/>
          <w:szCs w:val="32"/>
          <w:lang w:val="en-US" w:eastAsia="zh-CN"/>
        </w:rPr>
        <w:t>按照实际情况开支，</w:t>
      </w:r>
      <w:r>
        <w:rPr>
          <w:rFonts w:hint="eastAsia" w:ascii="仿宋" w:hAnsi="仿宋" w:eastAsia="仿宋" w:cs="仿宋"/>
          <w:sz w:val="32"/>
          <w:szCs w:val="32"/>
        </w:rPr>
        <w:t>故预决算存在差异</w:t>
      </w:r>
      <w:r>
        <w:rPr>
          <w:rFonts w:hint="eastAsia" w:ascii="仿宋" w:hAnsi="仿宋" w:eastAsia="仿宋" w:cs="仿宋"/>
          <w:sz w:val="32"/>
          <w:szCs w:val="32"/>
          <w:lang w:eastAsia="zh-CN"/>
        </w:rPr>
        <w:t>。</w:t>
      </w:r>
    </w:p>
    <w:p w14:paraId="14ECEF32">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4</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社会保障和就业支出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行政事业单位养老支出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其他行政事业单位养老支出</w:t>
      </w:r>
      <w:r>
        <w:rPr>
          <w:rFonts w:ascii="Times New Roman" w:hAnsi="Times New Roman" w:eastAsia="仿宋_GB2312" w:cs="Times New Roman"/>
          <w:sz w:val="32"/>
          <w:szCs w:val="32"/>
        </w:rPr>
        <w:t>（项）。</w:t>
      </w:r>
    </w:p>
    <w:p w14:paraId="2E1232DD">
      <w:pPr>
        <w:pStyle w:val="12"/>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66</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rPr>
        <w:t>71.34</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108.09</w:t>
      </w:r>
      <w:r>
        <w:rPr>
          <w:rFonts w:ascii="Times New Roman" w:hAnsi="Times New Roman" w:eastAsia="仿宋_GB2312" w:cs="Times New Roman"/>
          <w:sz w:val="32"/>
          <w:szCs w:val="32"/>
        </w:rPr>
        <w:t>%，决算数大于年初预算数的主要原因是：</w:t>
      </w:r>
      <w:r>
        <w:rPr>
          <w:rFonts w:hint="eastAsia" w:ascii="Times New Roman" w:hAnsi="Times New Roman" w:eastAsia="仿宋_GB2312" w:cs="Times New Roman"/>
          <w:sz w:val="32"/>
          <w:szCs w:val="32"/>
          <w:lang w:val="en-US" w:eastAsia="zh-CN"/>
        </w:rPr>
        <w:t>2</w:t>
      </w:r>
      <w:r>
        <w:rPr>
          <w:rFonts w:hint="eastAsia" w:ascii="仿宋" w:hAnsi="仿宋" w:eastAsia="仿宋" w:cs="仿宋"/>
          <w:sz w:val="32"/>
          <w:szCs w:val="32"/>
          <w:lang w:val="en-US" w:eastAsia="zh-CN"/>
        </w:rPr>
        <w:t>025年退休人员增加的生活补助费。</w:t>
      </w:r>
    </w:p>
    <w:p w14:paraId="1A5FCAD5">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卫生健康支出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行政事业单位医疗</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行政单位医疗</w:t>
      </w:r>
      <w:r>
        <w:rPr>
          <w:rFonts w:ascii="Times New Roman" w:hAnsi="Times New Roman" w:eastAsia="仿宋_GB2312" w:cs="Times New Roman"/>
          <w:sz w:val="32"/>
          <w:szCs w:val="32"/>
        </w:rPr>
        <w:t>（项）。</w:t>
      </w:r>
    </w:p>
    <w:p w14:paraId="51170F15">
      <w:pPr>
        <w:pStyle w:val="12"/>
        <w:overflowPunct w:val="0"/>
        <w:autoSpaceDE/>
        <w:autoSpaceDN/>
        <w:spacing w:line="600" w:lineRule="exact"/>
        <w:ind w:firstLine="640" w:firstLineChars="200"/>
        <w:jc w:val="both"/>
        <w:rPr>
          <w:rFonts w:hint="eastAsia" w:ascii="Times New Roman" w:hAnsi="Times New Roman" w:eastAsia="仿宋" w:cs="Times New Roman"/>
          <w:sz w:val="44"/>
          <w:szCs w:val="44"/>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63.42</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rPr>
        <w:t>65.59</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103.42</w:t>
      </w:r>
      <w:r>
        <w:rPr>
          <w:rFonts w:ascii="Times New Roman" w:hAnsi="Times New Roman" w:eastAsia="仿宋_GB2312" w:cs="Times New Roman"/>
          <w:sz w:val="32"/>
          <w:szCs w:val="32"/>
        </w:rPr>
        <w:t>%，决算数大于年初预算数的主要原因是：</w:t>
      </w:r>
      <w:r>
        <w:rPr>
          <w:rFonts w:hint="eastAsia" w:ascii="仿宋" w:hAnsi="仿宋" w:eastAsia="仿宋" w:cs="仿宋"/>
          <w:sz w:val="32"/>
          <w:szCs w:val="32"/>
        </w:rPr>
        <w:t>该笔资金为财政下拨用于202</w:t>
      </w:r>
      <w:r>
        <w:rPr>
          <w:rFonts w:hint="eastAsia" w:ascii="仿宋" w:hAnsi="仿宋" w:eastAsia="仿宋" w:cs="仿宋"/>
          <w:sz w:val="32"/>
          <w:szCs w:val="32"/>
          <w:lang w:val="en-US" w:eastAsia="zh-CN"/>
        </w:rPr>
        <w:t>5</w:t>
      </w:r>
      <w:r>
        <w:rPr>
          <w:rFonts w:hint="eastAsia" w:ascii="仿宋" w:hAnsi="仿宋" w:eastAsia="仿宋" w:cs="仿宋"/>
          <w:sz w:val="32"/>
          <w:szCs w:val="32"/>
        </w:rPr>
        <w:t>年基本</w:t>
      </w:r>
      <w:r>
        <w:rPr>
          <w:rFonts w:hint="eastAsia" w:ascii="仿宋" w:hAnsi="仿宋" w:eastAsia="仿宋" w:cs="仿宋"/>
          <w:sz w:val="32"/>
          <w:szCs w:val="32"/>
          <w:lang w:val="en-US" w:eastAsia="zh-CN"/>
        </w:rPr>
        <w:t>医疗</w:t>
      </w:r>
      <w:r>
        <w:rPr>
          <w:rFonts w:hint="eastAsia" w:ascii="仿宋" w:hAnsi="仿宋" w:eastAsia="仿宋" w:cs="仿宋"/>
          <w:sz w:val="32"/>
          <w:szCs w:val="32"/>
        </w:rPr>
        <w:t>保险，</w:t>
      </w:r>
      <w:r>
        <w:rPr>
          <w:rFonts w:hint="eastAsia" w:ascii="仿宋" w:hAnsi="仿宋" w:eastAsia="仿宋" w:cs="仿宋"/>
          <w:sz w:val="32"/>
          <w:szCs w:val="32"/>
          <w:lang w:val="en-US" w:eastAsia="zh-CN"/>
        </w:rPr>
        <w:t>按照实际情况开支，</w:t>
      </w:r>
      <w:r>
        <w:rPr>
          <w:rFonts w:hint="eastAsia" w:ascii="仿宋" w:hAnsi="仿宋" w:eastAsia="仿宋" w:cs="仿宋"/>
          <w:sz w:val="32"/>
          <w:szCs w:val="32"/>
        </w:rPr>
        <w:t>故预决算存在差异</w:t>
      </w:r>
      <w:r>
        <w:rPr>
          <w:rFonts w:hint="eastAsia" w:ascii="仿宋" w:hAnsi="仿宋" w:eastAsia="仿宋" w:cs="仿宋"/>
          <w:sz w:val="32"/>
          <w:szCs w:val="32"/>
          <w:lang w:eastAsia="zh-CN"/>
        </w:rPr>
        <w:t>。</w:t>
      </w:r>
    </w:p>
    <w:p w14:paraId="09270F8E">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6</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城乡社区支出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城乡社区管理事务</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行政运行</w:t>
      </w:r>
      <w:r>
        <w:rPr>
          <w:rFonts w:ascii="Times New Roman" w:hAnsi="Times New Roman" w:eastAsia="仿宋_GB2312" w:cs="Times New Roman"/>
          <w:sz w:val="32"/>
          <w:szCs w:val="32"/>
        </w:rPr>
        <w:t>（项）。</w:t>
      </w:r>
    </w:p>
    <w:p w14:paraId="61B92F50">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1559.63</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rPr>
        <w:t>1622.79</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104.05</w:t>
      </w:r>
      <w:r>
        <w:rPr>
          <w:rFonts w:ascii="Times New Roman" w:hAnsi="Times New Roman" w:eastAsia="仿宋_GB2312" w:cs="Times New Roman"/>
          <w:sz w:val="32"/>
          <w:szCs w:val="32"/>
        </w:rPr>
        <w:t>%，决算数大于年初预算数的主要原因是：</w:t>
      </w:r>
      <w:r>
        <w:rPr>
          <w:rFonts w:hint="eastAsia" w:ascii="Times New Roman" w:hAnsi="Times New Roman" w:eastAsia="仿宋_GB2312" w:cs="Times New Roman"/>
          <w:sz w:val="32"/>
          <w:szCs w:val="32"/>
          <w:lang w:val="en-US" w:eastAsia="zh-CN"/>
        </w:rPr>
        <w:t>人员经费有所增加</w:t>
      </w:r>
      <w:r>
        <w:rPr>
          <w:rFonts w:hint="eastAsia" w:ascii="Times New Roman" w:hAnsi="Times New Roman" w:eastAsia="仿宋_GB2312" w:cs="Times New Roman"/>
          <w:sz w:val="32"/>
          <w:szCs w:val="32"/>
          <w:lang w:eastAsia="zh-CN"/>
        </w:rPr>
        <w:t>。</w:t>
      </w:r>
    </w:p>
    <w:p w14:paraId="42C325AC">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7</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城乡社区支出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城乡社区管理事务</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其他城乡社区管理事务支出</w:t>
      </w:r>
      <w:r>
        <w:rPr>
          <w:rFonts w:ascii="Times New Roman" w:hAnsi="Times New Roman" w:eastAsia="仿宋_GB2312" w:cs="Times New Roman"/>
          <w:sz w:val="32"/>
          <w:szCs w:val="32"/>
        </w:rPr>
        <w:t>（项）。</w:t>
      </w:r>
    </w:p>
    <w:p w14:paraId="73144E21">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1822.5</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rPr>
        <w:t>1382.85</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75.88</w:t>
      </w:r>
      <w:r>
        <w:rPr>
          <w:rFonts w:ascii="Times New Roman" w:hAnsi="Times New Roman" w:eastAsia="仿宋_GB2312" w:cs="Times New Roman"/>
          <w:sz w:val="32"/>
          <w:szCs w:val="32"/>
        </w:rPr>
        <w:t>%，决算数小于年初预算数的主要原因是：</w:t>
      </w:r>
      <w:r>
        <w:rPr>
          <w:rFonts w:hint="eastAsia" w:ascii="Times New Roman" w:hAnsi="Times New Roman" w:eastAsia="仿宋_GB2312" w:cs="Times New Roman"/>
          <w:sz w:val="32"/>
          <w:szCs w:val="32"/>
          <w:lang w:val="en-US" w:eastAsia="zh-CN"/>
        </w:rPr>
        <w:t>根据财政要求严格控制项目经费支出</w:t>
      </w:r>
      <w:r>
        <w:rPr>
          <w:rFonts w:hint="eastAsia" w:ascii="Times New Roman" w:hAnsi="Times New Roman" w:eastAsia="仿宋_GB2312" w:cs="Times New Roman"/>
          <w:sz w:val="32"/>
          <w:szCs w:val="32"/>
          <w:lang w:eastAsia="zh-CN"/>
        </w:rPr>
        <w:t>。</w:t>
      </w:r>
    </w:p>
    <w:p w14:paraId="35DDD4DE">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8</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城乡社区支出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城乡社区规划与管理</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城乡社区规划与管理</w:t>
      </w:r>
      <w:r>
        <w:rPr>
          <w:rFonts w:ascii="Times New Roman" w:hAnsi="Times New Roman" w:eastAsia="仿宋_GB2312" w:cs="Times New Roman"/>
          <w:sz w:val="32"/>
          <w:szCs w:val="32"/>
        </w:rPr>
        <w:t>（项）。</w:t>
      </w:r>
    </w:p>
    <w:p w14:paraId="481D9926">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14</w:t>
      </w:r>
      <w:r>
        <w:rPr>
          <w:rFonts w:ascii="Times New Roman" w:hAnsi="Times New Roman" w:eastAsia="仿宋_GB2312" w:cs="Times New Roman"/>
          <w:sz w:val="32"/>
          <w:szCs w:val="32"/>
        </w:rPr>
        <w:t>万元，决算数大于年初预算数的主要原因是：</w:t>
      </w:r>
      <w:r>
        <w:rPr>
          <w:rFonts w:hint="eastAsia" w:ascii="Times New Roman" w:hAnsi="Times New Roman" w:eastAsia="仿宋_GB2312" w:cs="Times New Roman"/>
          <w:sz w:val="32"/>
          <w:szCs w:val="32"/>
          <w:lang w:val="en-US" w:eastAsia="zh-CN"/>
        </w:rPr>
        <w:t>年中追加</w:t>
      </w:r>
      <w:r>
        <w:rPr>
          <w:rFonts w:hint="eastAsia" w:ascii="Times New Roman" w:hAnsi="Times New Roman" w:eastAsia="仿宋_GB2312" w:cs="Times New Roman"/>
          <w:sz w:val="32"/>
          <w:szCs w:val="32"/>
        </w:rPr>
        <w:t>沿河西路、本业大道、红星南路、正清路、锦溪南路防洪排涝项目可行性研究报告编制经费</w:t>
      </w:r>
      <w:r>
        <w:rPr>
          <w:rFonts w:hint="eastAsia" w:ascii="Times New Roman" w:hAnsi="Times New Roman" w:eastAsia="仿宋_GB2312" w:cs="Times New Roman"/>
          <w:sz w:val="32"/>
          <w:szCs w:val="32"/>
          <w:lang w:eastAsia="zh-CN"/>
        </w:rPr>
        <w:t>。</w:t>
      </w:r>
    </w:p>
    <w:p w14:paraId="186F6F65">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9</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城乡社区支出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城乡社区公共设施</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其他城乡社区公共设施支出</w:t>
      </w:r>
      <w:r>
        <w:rPr>
          <w:rFonts w:ascii="Times New Roman" w:hAnsi="Times New Roman" w:eastAsia="仿宋_GB2312" w:cs="Times New Roman"/>
          <w:sz w:val="32"/>
          <w:szCs w:val="32"/>
        </w:rPr>
        <w:t>（项）。</w:t>
      </w:r>
    </w:p>
    <w:p w14:paraId="38D1B203">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rPr>
        <w:t>839.21</w:t>
      </w:r>
      <w:r>
        <w:rPr>
          <w:rFonts w:ascii="Times New Roman" w:hAnsi="Times New Roman" w:eastAsia="仿宋_GB2312" w:cs="Times New Roman"/>
          <w:sz w:val="32"/>
          <w:szCs w:val="32"/>
        </w:rPr>
        <w:t>万元，决算数大于年初预算数的主要原因是：</w:t>
      </w:r>
      <w:r>
        <w:rPr>
          <w:rFonts w:hint="eastAsia" w:ascii="Times New Roman" w:hAnsi="Times New Roman" w:eastAsia="仿宋_GB2312" w:cs="Times New Roman"/>
          <w:sz w:val="32"/>
          <w:szCs w:val="32"/>
          <w:lang w:val="en-US" w:eastAsia="zh-CN"/>
        </w:rPr>
        <w:t>结转</w:t>
      </w:r>
      <w:r>
        <w:rPr>
          <w:rFonts w:hint="eastAsia" w:ascii="Times New Roman" w:hAnsi="Times New Roman" w:eastAsia="仿宋_GB2312" w:cs="Times New Roman"/>
          <w:sz w:val="32"/>
          <w:szCs w:val="32"/>
        </w:rPr>
        <w:t>2023年环城东路人大桥和顺天大桥改造项目</w:t>
      </w:r>
      <w:r>
        <w:rPr>
          <w:rFonts w:hint="eastAsia" w:ascii="Times New Roman" w:hAnsi="Times New Roman" w:eastAsia="仿宋_GB2312" w:cs="Times New Roman"/>
          <w:sz w:val="32"/>
          <w:szCs w:val="32"/>
          <w:lang w:eastAsia="zh-CN"/>
        </w:rPr>
        <w:t>、2023年环城东路人大桥和顺天大桥改造项目、2023年创文明路面建设城区道路改造工程、2023年环城东路人大桥和顺天大桥改造项目</w:t>
      </w:r>
      <w:r>
        <w:rPr>
          <w:rFonts w:hint="eastAsia" w:ascii="Times New Roman" w:hAnsi="Times New Roman" w:eastAsia="仿宋_GB2312" w:cs="Times New Roman"/>
          <w:sz w:val="32"/>
          <w:szCs w:val="32"/>
          <w:lang w:val="en-US" w:eastAsia="zh-CN"/>
        </w:rPr>
        <w:t>等资金</w:t>
      </w:r>
      <w:r>
        <w:rPr>
          <w:rFonts w:hint="eastAsia" w:ascii="Times New Roman" w:hAnsi="Times New Roman" w:eastAsia="仿宋_GB2312" w:cs="Times New Roman"/>
          <w:sz w:val="32"/>
          <w:szCs w:val="32"/>
          <w:lang w:eastAsia="zh-CN"/>
        </w:rPr>
        <w:t>。</w:t>
      </w:r>
    </w:p>
    <w:p w14:paraId="468A138C">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10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城乡社区支出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城乡社区环境卫生</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城乡社区环境卫生</w:t>
      </w:r>
      <w:r>
        <w:rPr>
          <w:rFonts w:ascii="Times New Roman" w:hAnsi="Times New Roman" w:eastAsia="仿宋_GB2312" w:cs="Times New Roman"/>
          <w:sz w:val="32"/>
          <w:szCs w:val="32"/>
        </w:rPr>
        <w:t>（项）。</w:t>
      </w:r>
    </w:p>
    <w:p w14:paraId="317C7554">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rPr>
        <w:t>36.72</w:t>
      </w:r>
      <w:r>
        <w:rPr>
          <w:rFonts w:ascii="Times New Roman" w:hAnsi="Times New Roman" w:eastAsia="仿宋_GB2312" w:cs="Times New Roman"/>
          <w:sz w:val="32"/>
          <w:szCs w:val="32"/>
        </w:rPr>
        <w:t>万元，决算数大于年初预算数的主要原因是：</w:t>
      </w:r>
      <w:r>
        <w:rPr>
          <w:rFonts w:hint="eastAsia" w:ascii="Times New Roman" w:hAnsi="Times New Roman" w:eastAsia="仿宋_GB2312" w:cs="Times New Roman"/>
          <w:sz w:val="32"/>
          <w:szCs w:val="32"/>
          <w:lang w:val="en-US" w:eastAsia="zh-CN"/>
        </w:rPr>
        <w:t>结转</w:t>
      </w:r>
      <w:r>
        <w:rPr>
          <w:rFonts w:hint="eastAsia" w:ascii="Times New Roman" w:hAnsi="Times New Roman" w:eastAsia="仿宋_GB2312" w:cs="Times New Roman"/>
          <w:sz w:val="32"/>
          <w:szCs w:val="32"/>
        </w:rPr>
        <w:t>主城区提质改造项目</w:t>
      </w:r>
      <w:r>
        <w:rPr>
          <w:rFonts w:hint="eastAsia" w:ascii="Times New Roman" w:hAnsi="Times New Roman" w:eastAsia="仿宋_GB2312" w:cs="Times New Roman"/>
          <w:sz w:val="32"/>
          <w:szCs w:val="32"/>
          <w:lang w:val="en-US" w:eastAsia="zh-CN"/>
        </w:rPr>
        <w:t>资金</w:t>
      </w:r>
      <w:r>
        <w:rPr>
          <w:rFonts w:hint="eastAsia" w:ascii="Times New Roman" w:hAnsi="Times New Roman" w:eastAsia="仿宋_GB2312" w:cs="Times New Roman"/>
          <w:sz w:val="32"/>
          <w:szCs w:val="32"/>
          <w:lang w:eastAsia="zh-CN"/>
        </w:rPr>
        <w:t>。</w:t>
      </w:r>
    </w:p>
    <w:p w14:paraId="7C0EBA3D">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11</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城乡社区支出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其他城乡社区支出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其他城乡社区支出</w:t>
      </w:r>
      <w:r>
        <w:rPr>
          <w:rFonts w:ascii="Times New Roman" w:hAnsi="Times New Roman" w:eastAsia="仿宋_GB2312" w:cs="Times New Roman"/>
          <w:sz w:val="32"/>
          <w:szCs w:val="32"/>
        </w:rPr>
        <w:t>（项）。</w:t>
      </w:r>
    </w:p>
    <w:p w14:paraId="1D2688E8">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rPr>
        <w:t>2707.4</w:t>
      </w:r>
      <w:r>
        <w:rPr>
          <w:rFonts w:ascii="Times New Roman" w:hAnsi="Times New Roman" w:eastAsia="仿宋_GB2312" w:cs="Times New Roman"/>
          <w:sz w:val="32"/>
          <w:szCs w:val="32"/>
        </w:rPr>
        <w:t>万元，决算数大于年初预算数的主要原因是：</w:t>
      </w:r>
      <w:r>
        <w:rPr>
          <w:rFonts w:hint="eastAsia" w:ascii="Times New Roman" w:hAnsi="Times New Roman" w:eastAsia="仿宋_GB2312" w:cs="Times New Roman"/>
          <w:sz w:val="32"/>
          <w:szCs w:val="32"/>
          <w:lang w:val="en-US" w:eastAsia="zh-CN"/>
        </w:rPr>
        <w:t>结转太平溪截污干管84#井周边片区雨污分流改造项目、2022年粟裕公园建设及绿化项目等资金</w:t>
      </w:r>
      <w:r>
        <w:rPr>
          <w:rFonts w:hint="eastAsia" w:ascii="Times New Roman" w:hAnsi="Times New Roman" w:eastAsia="仿宋_GB2312" w:cs="Times New Roman"/>
          <w:sz w:val="32"/>
          <w:szCs w:val="32"/>
          <w:lang w:eastAsia="zh-CN"/>
        </w:rPr>
        <w:t>。</w:t>
      </w:r>
    </w:p>
    <w:p w14:paraId="6F136F9C">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1</w:t>
      </w:r>
      <w:r>
        <w:rPr>
          <w:rFonts w:ascii="Times New Roman" w:hAnsi="Times New Roman" w:eastAsia="仿宋_GB2312" w:cs="Times New Roman"/>
          <w:sz w:val="32"/>
          <w:szCs w:val="32"/>
        </w:rPr>
        <w:t>2、</w:t>
      </w:r>
      <w:r>
        <w:rPr>
          <w:rFonts w:hint="eastAsia" w:ascii="Times New Roman" w:hAnsi="Times New Roman" w:eastAsia="仿宋_GB2312" w:cs="Times New Roman"/>
          <w:sz w:val="32"/>
          <w:szCs w:val="32"/>
        </w:rPr>
        <w:t>住房保障支出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住房改革支出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住房公积金</w:t>
      </w:r>
      <w:r>
        <w:rPr>
          <w:rFonts w:ascii="Times New Roman" w:hAnsi="Times New Roman" w:eastAsia="仿宋_GB2312" w:cs="Times New Roman"/>
          <w:sz w:val="32"/>
          <w:szCs w:val="32"/>
        </w:rPr>
        <w:t>（项）。</w:t>
      </w:r>
    </w:p>
    <w:p w14:paraId="1D887371">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134.83</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rPr>
        <w:t>153.11</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113.56</w:t>
      </w:r>
      <w:r>
        <w:rPr>
          <w:rFonts w:ascii="Times New Roman" w:hAnsi="Times New Roman" w:eastAsia="仿宋_GB2312" w:cs="Times New Roman"/>
          <w:sz w:val="32"/>
          <w:szCs w:val="32"/>
        </w:rPr>
        <w:t>%，决算数大于年初预算数的主要原因是：</w:t>
      </w:r>
      <w:r>
        <w:rPr>
          <w:rFonts w:hint="eastAsia" w:ascii="Times New Roman" w:hAnsi="Times New Roman" w:eastAsia="仿宋_GB2312" w:cs="Times New Roman"/>
          <w:sz w:val="32"/>
          <w:szCs w:val="32"/>
          <w:lang w:val="en-US" w:eastAsia="zh-CN"/>
        </w:rPr>
        <w:t>年中追加单位配套公积金。</w:t>
      </w:r>
    </w:p>
    <w:p w14:paraId="6A0A01CF">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rPr>
        <w:t>按照支出功能分类，城乡社区支出方面的支出规模较大（或占财政拨款支出总额的比重较高），主要是：</w:t>
      </w:r>
      <w:r>
        <w:rPr>
          <w:rFonts w:hint="eastAsia" w:ascii="Times New Roman" w:hAnsi="Times New Roman" w:eastAsia="仿宋_GB2312" w:cs="Times New Roman"/>
          <w:sz w:val="32"/>
          <w:szCs w:val="32"/>
          <w:lang w:val="en-US" w:eastAsia="zh-CN"/>
        </w:rPr>
        <w:t>行政运行</w:t>
      </w:r>
      <w:r>
        <w:rPr>
          <w:rFonts w:hint="eastAsia" w:ascii="Times New Roman" w:hAnsi="Times New Roman" w:eastAsia="仿宋_GB2312" w:cs="Times New Roman"/>
          <w:sz w:val="32"/>
          <w:szCs w:val="32"/>
        </w:rPr>
        <w:t>，2025年度决算数为1622.79万元，占财政拨款支出总额的</w:t>
      </w:r>
      <w:r>
        <w:rPr>
          <w:rFonts w:hint="eastAsia" w:ascii="Times New Roman" w:hAnsi="Times New Roman" w:eastAsia="仿宋_GB2312" w:cs="Times New Roman"/>
          <w:sz w:val="32"/>
          <w:szCs w:val="32"/>
          <w:lang w:val="en-US" w:eastAsia="zh-CN"/>
        </w:rPr>
        <w:t>0.74</w:t>
      </w:r>
      <w:r>
        <w:rPr>
          <w:rFonts w:hint="eastAsia" w:ascii="Times New Roman" w:hAnsi="Times New Roman" w:eastAsia="仿宋_GB2312" w:cs="Times New Roman"/>
          <w:sz w:val="32"/>
          <w:szCs w:val="32"/>
        </w:rPr>
        <w:t>%，主要用于</w:t>
      </w:r>
      <w:r>
        <w:rPr>
          <w:rFonts w:hint="eastAsia" w:ascii="Times New Roman" w:hAnsi="Times New Roman" w:eastAsia="仿宋_GB2312" w:cs="Times New Roman"/>
          <w:sz w:val="32"/>
          <w:szCs w:val="32"/>
          <w:lang w:val="en-US" w:eastAsia="zh-CN"/>
        </w:rPr>
        <w:t>人员经费和公用经费</w:t>
      </w:r>
      <w:r>
        <w:rPr>
          <w:rFonts w:hint="eastAsia" w:ascii="Times New Roman" w:hAnsi="Times New Roman" w:eastAsia="仿宋_GB2312" w:cs="Times New Roman"/>
          <w:sz w:val="32"/>
          <w:szCs w:val="32"/>
        </w:rPr>
        <w:t>等方面</w:t>
      </w:r>
      <w:r>
        <w:rPr>
          <w:rFonts w:hint="eastAsia" w:ascii="Times New Roman" w:hAnsi="Times New Roman" w:eastAsia="仿宋_GB2312" w:cs="Times New Roman"/>
          <w:sz w:val="32"/>
          <w:szCs w:val="32"/>
          <w:lang w:eastAsia="zh-CN"/>
        </w:rPr>
        <w:t>。</w:t>
      </w:r>
    </w:p>
    <w:p w14:paraId="01086147">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六、一般公共预算财政拨款基本支出决算情况说明</w:t>
      </w:r>
    </w:p>
    <w:p w14:paraId="00173905">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年度一般公共预算财政拨款基本支出</w:t>
      </w:r>
      <w:r>
        <w:rPr>
          <w:rFonts w:hint="eastAsia" w:ascii="Times New Roman" w:hAnsi="Times New Roman" w:eastAsia="仿宋_GB2312" w:cs="Times New Roman"/>
          <w:sz w:val="32"/>
          <w:szCs w:val="32"/>
        </w:rPr>
        <w:t>2235.69</w:t>
      </w:r>
      <w:r>
        <w:rPr>
          <w:rFonts w:ascii="Times New Roman" w:hAnsi="Times New Roman" w:eastAsia="仿宋_GB2312" w:cs="Times New Roman"/>
          <w:sz w:val="32"/>
          <w:szCs w:val="32"/>
        </w:rPr>
        <w:t>万元，其中：</w:t>
      </w:r>
    </w:p>
    <w:p w14:paraId="4F0B7BD5">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b/>
          <w:bCs/>
          <w:sz w:val="32"/>
          <w:szCs w:val="32"/>
        </w:rPr>
        <w:t>人员经费</w:t>
      </w:r>
      <w:r>
        <w:rPr>
          <w:rFonts w:hint="eastAsia" w:ascii="Times New Roman" w:hAnsi="Times New Roman" w:eastAsia="仿宋_GB2312" w:cs="Times New Roman"/>
          <w:sz w:val="32"/>
          <w:szCs w:val="32"/>
        </w:rPr>
        <w:t>2007.23</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89.78</w:t>
      </w:r>
      <w:r>
        <w:rPr>
          <w:rFonts w:ascii="Times New Roman" w:hAnsi="Times New Roman" w:eastAsia="仿宋_GB2312" w:cs="Times New Roman"/>
          <w:sz w:val="32"/>
          <w:szCs w:val="32"/>
        </w:rPr>
        <w:t>%,</w:t>
      </w:r>
      <w:r>
        <w:rPr>
          <w:rFonts w:hint="eastAsia" w:ascii="仿宋" w:hAnsi="仿宋" w:eastAsia="仿宋" w:cs="仿宋"/>
          <w:sz w:val="32"/>
          <w:szCs w:val="32"/>
        </w:rPr>
        <w:t>主要包括基本工资、津贴补贴、奖金、伙食补助费</w:t>
      </w:r>
      <w:r>
        <w:rPr>
          <w:rFonts w:hint="eastAsia" w:ascii="仿宋" w:hAnsi="仿宋" w:eastAsia="仿宋" w:cs="仿宋"/>
          <w:sz w:val="32"/>
          <w:szCs w:val="32"/>
          <w:lang w:eastAsia="zh-CN"/>
        </w:rPr>
        <w:t>、</w:t>
      </w:r>
      <w:r>
        <w:rPr>
          <w:rFonts w:hint="eastAsia" w:ascii="仿宋" w:hAnsi="仿宋" w:eastAsia="仿宋" w:cs="仿宋"/>
          <w:sz w:val="32"/>
          <w:szCs w:val="32"/>
        </w:rPr>
        <w:t>机关事业单位基本养老保险缴费</w:t>
      </w:r>
      <w:r>
        <w:rPr>
          <w:rFonts w:hint="eastAsia" w:ascii="仿宋" w:hAnsi="仿宋" w:eastAsia="仿宋" w:cs="仿宋"/>
          <w:sz w:val="32"/>
          <w:szCs w:val="32"/>
          <w:lang w:eastAsia="zh-CN"/>
        </w:rPr>
        <w:t>、职工基本医疗保险缴费、其他社会保障缴费、住房公积金、对个人和家庭的补助、抚恤金、生活补助、奖励金、其他对个人和家庭的补助</w:t>
      </w:r>
      <w:r>
        <w:rPr>
          <w:rFonts w:ascii="Times New Roman" w:hAnsi="Times New Roman" w:eastAsia="仿宋_GB2312" w:cs="Times New Roman"/>
          <w:sz w:val="32"/>
          <w:szCs w:val="32"/>
        </w:rPr>
        <w:t>。</w:t>
      </w:r>
    </w:p>
    <w:p w14:paraId="43CDDB4F">
      <w:pPr>
        <w:pStyle w:val="12"/>
        <w:overflowPunct w:val="0"/>
        <w:autoSpaceDE/>
        <w:autoSpaceDN/>
        <w:spacing w:line="600" w:lineRule="exact"/>
        <w:ind w:firstLine="640" w:firstLineChars="200"/>
        <w:jc w:val="both"/>
        <w:rPr>
          <w:rFonts w:hint="eastAsia" w:ascii="仿宋" w:hAnsi="仿宋" w:eastAsia="仿宋" w:cs="仿宋"/>
          <w:sz w:val="32"/>
          <w:szCs w:val="32"/>
        </w:rPr>
      </w:pPr>
      <w:r>
        <w:rPr>
          <w:rFonts w:ascii="Times New Roman" w:hAnsi="Times New Roman" w:eastAsia="仿宋_GB2312" w:cs="Times New Roman"/>
          <w:b/>
          <w:bCs/>
          <w:sz w:val="32"/>
          <w:szCs w:val="32"/>
        </w:rPr>
        <w:t>公用经费</w:t>
      </w:r>
      <w:r>
        <w:rPr>
          <w:rFonts w:hint="eastAsia" w:ascii="Times New Roman" w:hAnsi="Times New Roman" w:eastAsia="仿宋_GB2312" w:cs="Times New Roman"/>
          <w:sz w:val="32"/>
          <w:szCs w:val="32"/>
        </w:rPr>
        <w:t>228.46</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10.22</w:t>
      </w:r>
      <w:r>
        <w:rPr>
          <w:rFonts w:ascii="Times New Roman" w:hAnsi="Times New Roman" w:eastAsia="仿宋_GB2312" w:cs="Times New Roman"/>
          <w:sz w:val="32"/>
          <w:szCs w:val="32"/>
        </w:rPr>
        <w:t>%，</w:t>
      </w:r>
      <w:r>
        <w:rPr>
          <w:rFonts w:hint="eastAsia" w:ascii="仿宋" w:hAnsi="仿宋" w:eastAsia="仿宋" w:cs="仿宋"/>
          <w:sz w:val="32"/>
          <w:szCs w:val="32"/>
        </w:rPr>
        <w:t>主要包括办公费、印刷费、邮电费</w:t>
      </w:r>
      <w:r>
        <w:rPr>
          <w:rFonts w:hint="eastAsia" w:ascii="仿宋" w:hAnsi="仿宋" w:eastAsia="仿宋" w:cs="仿宋"/>
          <w:sz w:val="32"/>
          <w:szCs w:val="32"/>
          <w:lang w:eastAsia="zh-CN"/>
        </w:rPr>
        <w:t>、差旅费、维修（护）费、会议费、</w:t>
      </w:r>
      <w:r>
        <w:rPr>
          <w:rFonts w:hint="eastAsia" w:ascii="仿宋" w:hAnsi="仿宋" w:eastAsia="仿宋" w:cs="仿宋"/>
          <w:sz w:val="32"/>
          <w:szCs w:val="32"/>
          <w:lang w:val="en-US" w:eastAsia="zh-CN"/>
        </w:rPr>
        <w:t>培训费、公务接待费、劳务费、委托业务费、工会经费、福利费、 公务用车运行维护费、其他交通费用、其他商品服务支出、办公设备购置</w:t>
      </w:r>
      <w:r>
        <w:rPr>
          <w:rFonts w:hint="eastAsia" w:ascii="仿宋" w:hAnsi="仿宋" w:eastAsia="仿宋" w:cs="仿宋"/>
          <w:sz w:val="32"/>
          <w:szCs w:val="32"/>
        </w:rPr>
        <w:t>。</w:t>
      </w:r>
    </w:p>
    <w:p w14:paraId="041838C2">
      <w:pPr>
        <w:pStyle w:val="12"/>
        <w:overflowPunct w:val="0"/>
        <w:autoSpaceDE/>
        <w:autoSpaceDN/>
        <w:spacing w:line="600" w:lineRule="exact"/>
        <w:ind w:firstLine="640" w:firstLineChars="200"/>
        <w:jc w:val="both"/>
        <w:rPr>
          <w:rFonts w:ascii="Times New Roman" w:hAnsi="Times New Roman" w:eastAsia="仿宋_GB2312" w:cs="Times New Roman"/>
          <w:b/>
          <w:sz w:val="32"/>
          <w:szCs w:val="32"/>
        </w:rPr>
      </w:pPr>
      <w:r>
        <w:rPr>
          <w:rFonts w:ascii="Times New Roman" w:hAnsi="Times New Roman" w:cs="Times New Roman"/>
          <w:bCs/>
          <w:sz w:val="32"/>
          <w:szCs w:val="32"/>
        </w:rPr>
        <w:t>七、财政拨款“三公”经费支出决算情况说明</w:t>
      </w:r>
      <w:r>
        <w:rPr>
          <w:rFonts w:ascii="Times New Roman" w:hAnsi="Times New Roman" w:eastAsia="楷体_GB2312" w:cs="Times New Roman"/>
          <w:b/>
          <w:bCs/>
          <w:i/>
          <w:color w:val="auto"/>
          <w:sz w:val="32"/>
          <w:szCs w:val="32"/>
        </w:rPr>
        <w:t>（注意：“三公”经费不再是一般公共预算财政拨款口径，而是财政拨款口径）</w:t>
      </w:r>
    </w:p>
    <w:p w14:paraId="686719A4">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（一）“三公”经费财政拨款支出决算总体情况说明</w:t>
      </w:r>
    </w:p>
    <w:p w14:paraId="6356EBBE">
      <w:pPr>
        <w:pStyle w:val="12"/>
        <w:overflowPunct w:val="0"/>
        <w:autoSpaceDE/>
        <w:autoSpaceDN/>
        <w:spacing w:line="600" w:lineRule="exact"/>
        <w:ind w:firstLine="640" w:firstLineChars="200"/>
        <w:jc w:val="both"/>
        <w:rPr>
          <w:rFonts w:ascii="Times New Roman" w:hAnsi="Times New Roman" w:eastAsia="仿宋_GB2312" w:cs="Times New Roman"/>
          <w:sz w:val="32"/>
          <w:szCs w:val="32"/>
          <w:highlight w:val="yellow"/>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年度“三公”经费财政拨款支出预算为</w:t>
      </w:r>
      <w:r>
        <w:rPr>
          <w:rFonts w:hint="eastAsia" w:ascii="Times New Roman" w:hAnsi="Times New Roman" w:eastAsia="仿宋_GB2312" w:cs="Times New Roman"/>
          <w:sz w:val="32"/>
          <w:szCs w:val="32"/>
          <w:lang w:val="en-US" w:eastAsia="zh-CN"/>
        </w:rPr>
        <w:t>9.6</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6.7</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69.79</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8.60</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56.20</w:t>
      </w:r>
      <w:r>
        <w:rPr>
          <w:rFonts w:ascii="Times New Roman" w:hAnsi="Times New Roman" w:eastAsia="仿宋_GB2312" w:cs="Times New Roman"/>
          <w:sz w:val="32"/>
          <w:szCs w:val="32"/>
        </w:rPr>
        <w:t>%。决算数小于预算数的主要原因是</w:t>
      </w:r>
      <w:r>
        <w:rPr>
          <w:rFonts w:hint="eastAsia" w:ascii="Times New Roman" w:hAnsi="Times New Roman" w:eastAsia="仿宋_GB2312" w:cs="Times New Roman"/>
          <w:sz w:val="32"/>
          <w:szCs w:val="32"/>
        </w:rPr>
        <w:t>严格执行紧财政政策，控制三公经费开支</w:t>
      </w:r>
      <w:r>
        <w:rPr>
          <w:rFonts w:ascii="Times New Roman" w:hAnsi="Times New Roman" w:eastAsia="仿宋_GB2312" w:cs="Times New Roman"/>
          <w:sz w:val="32"/>
          <w:szCs w:val="32"/>
        </w:rPr>
        <w:t>。决算数小于上年数的主要原因是</w:t>
      </w:r>
      <w:r>
        <w:rPr>
          <w:rFonts w:hint="eastAsia" w:ascii="Times New Roman" w:hAnsi="Times New Roman" w:eastAsia="仿宋_GB2312" w:cs="Times New Roman"/>
          <w:sz w:val="32"/>
          <w:szCs w:val="32"/>
        </w:rPr>
        <w:t>严格执行紧财政政策，控制三公经费开支</w:t>
      </w:r>
      <w:r>
        <w:rPr>
          <w:rFonts w:ascii="Times New Roman" w:hAnsi="Times New Roman" w:eastAsia="仿宋_GB2312" w:cs="Times New Roman"/>
          <w:sz w:val="32"/>
          <w:szCs w:val="32"/>
        </w:rPr>
        <w:t>。</w:t>
      </w:r>
    </w:p>
    <w:p w14:paraId="032A3E79">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（二）“三公”经费财政拨款支出决算具体情况说明</w:t>
      </w:r>
    </w:p>
    <w:p w14:paraId="49DB196A">
      <w:pPr>
        <w:pStyle w:val="12"/>
        <w:overflowPunct w:val="0"/>
        <w:autoSpaceDE/>
        <w:autoSpaceDN/>
        <w:spacing w:line="60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rPr>
        <w:t>1.因公出国（境）费支出预算为</w:t>
      </w:r>
      <w:r>
        <w:rPr>
          <w:rFonts w:hint="eastAsia" w:ascii="仿宋" w:hAnsi="仿宋" w:eastAsia="仿宋" w:cs="仿宋"/>
          <w:sz w:val="32"/>
          <w:szCs w:val="32"/>
          <w:lang w:val="en-US" w:eastAsia="zh-CN"/>
        </w:rPr>
        <w:t>0</w:t>
      </w:r>
      <w:r>
        <w:rPr>
          <w:rFonts w:hint="eastAsia" w:ascii="仿宋" w:hAnsi="仿宋" w:eastAsia="仿宋" w:cs="仿宋"/>
          <w:sz w:val="32"/>
          <w:szCs w:val="32"/>
        </w:rPr>
        <w:t>万元，支出决算为</w:t>
      </w:r>
      <w:r>
        <w:rPr>
          <w:rFonts w:hint="eastAsia" w:ascii="仿宋" w:hAnsi="仿宋" w:eastAsia="仿宋" w:cs="仿宋"/>
          <w:sz w:val="32"/>
          <w:szCs w:val="32"/>
          <w:lang w:val="en-US" w:eastAsia="zh-CN"/>
        </w:rPr>
        <w:t>0</w:t>
      </w:r>
      <w:r>
        <w:rPr>
          <w:rFonts w:hint="eastAsia" w:ascii="仿宋" w:hAnsi="仿宋" w:eastAsia="仿宋" w:cs="仿宋"/>
          <w:sz w:val="32"/>
          <w:szCs w:val="32"/>
        </w:rPr>
        <w:t>万元，完成预算的</w:t>
      </w:r>
      <w:r>
        <w:rPr>
          <w:rFonts w:hint="eastAsia" w:ascii="仿宋" w:hAnsi="仿宋" w:eastAsia="仿宋" w:cs="仿宋"/>
          <w:sz w:val="32"/>
          <w:szCs w:val="32"/>
          <w:lang w:val="en-US" w:eastAsia="zh-CN"/>
        </w:rPr>
        <w:t>0</w:t>
      </w:r>
      <w:r>
        <w:rPr>
          <w:rFonts w:hint="eastAsia" w:ascii="仿宋" w:hAnsi="仿宋" w:eastAsia="仿宋" w:cs="仿宋"/>
          <w:sz w:val="32"/>
          <w:szCs w:val="32"/>
        </w:rPr>
        <w:t>%；与上年相比增加（减少）</w:t>
      </w:r>
      <w:r>
        <w:rPr>
          <w:rFonts w:hint="eastAsia" w:ascii="仿宋" w:hAnsi="仿宋" w:eastAsia="仿宋" w:cs="仿宋"/>
          <w:sz w:val="32"/>
          <w:szCs w:val="32"/>
          <w:lang w:val="en-US" w:eastAsia="zh-CN"/>
        </w:rPr>
        <w:t>0</w:t>
      </w:r>
      <w:r>
        <w:rPr>
          <w:rFonts w:hint="eastAsia" w:ascii="仿宋" w:hAnsi="仿宋" w:eastAsia="仿宋" w:cs="仿宋"/>
          <w:sz w:val="32"/>
          <w:szCs w:val="32"/>
        </w:rPr>
        <w:t>万元，无法计算完成比例，决算数等于预算数的主要原因是预算数为“三公”经费全年预算数。202</w:t>
      </w:r>
      <w:r>
        <w:rPr>
          <w:rFonts w:hint="eastAsia" w:ascii="仿宋" w:hAnsi="仿宋" w:eastAsia="仿宋" w:cs="仿宋"/>
          <w:sz w:val="32"/>
          <w:szCs w:val="32"/>
          <w:lang w:val="en-US" w:eastAsia="zh-CN"/>
        </w:rPr>
        <w:t>5</w:t>
      </w:r>
      <w:r>
        <w:rPr>
          <w:rFonts w:hint="eastAsia" w:ascii="仿宋" w:hAnsi="仿宋" w:eastAsia="仿宋" w:cs="仿宋"/>
          <w:sz w:val="32"/>
          <w:szCs w:val="32"/>
        </w:rPr>
        <w:t>年度安排因公出国（境）团组</w:t>
      </w:r>
      <w:r>
        <w:rPr>
          <w:rFonts w:hint="eastAsia" w:ascii="仿宋" w:hAnsi="仿宋" w:eastAsia="仿宋" w:cs="仿宋"/>
          <w:sz w:val="32"/>
          <w:szCs w:val="32"/>
          <w:lang w:val="en-US" w:eastAsia="zh-CN"/>
        </w:rPr>
        <w:t>0</w:t>
      </w:r>
      <w:r>
        <w:rPr>
          <w:rFonts w:hint="eastAsia" w:ascii="仿宋" w:hAnsi="仿宋" w:eastAsia="仿宋" w:cs="仿宋"/>
          <w:sz w:val="32"/>
          <w:szCs w:val="32"/>
        </w:rPr>
        <w:t>个，累计</w:t>
      </w:r>
      <w:r>
        <w:rPr>
          <w:rFonts w:hint="eastAsia" w:ascii="仿宋" w:hAnsi="仿宋" w:eastAsia="仿宋" w:cs="仿宋"/>
          <w:sz w:val="32"/>
          <w:szCs w:val="32"/>
          <w:lang w:val="en-US" w:eastAsia="zh-CN"/>
        </w:rPr>
        <w:t>0</w:t>
      </w:r>
      <w:r>
        <w:rPr>
          <w:rFonts w:hint="eastAsia" w:ascii="仿宋" w:hAnsi="仿宋" w:eastAsia="仿宋" w:cs="仿宋"/>
          <w:sz w:val="32"/>
          <w:szCs w:val="32"/>
        </w:rPr>
        <w:t>人次</w:t>
      </w:r>
      <w:r>
        <w:rPr>
          <w:rFonts w:hint="eastAsia" w:ascii="仿宋" w:hAnsi="仿宋" w:eastAsia="仿宋" w:cs="仿宋"/>
          <w:sz w:val="32"/>
          <w:szCs w:val="32"/>
          <w:lang w:eastAsia="zh-CN"/>
        </w:rPr>
        <w:t>。</w:t>
      </w:r>
    </w:p>
    <w:p w14:paraId="630C4AD8">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2.公务用车购置费及运行维护费支出预算为</w:t>
      </w:r>
      <w:r>
        <w:rPr>
          <w:rFonts w:hint="eastAsia" w:ascii="Times New Roman" w:hAnsi="Times New Roman" w:eastAsia="仿宋_GB2312" w:cs="Times New Roman"/>
          <w:sz w:val="32"/>
          <w:szCs w:val="32"/>
          <w:lang w:val="en-US" w:eastAsia="zh-CN"/>
        </w:rPr>
        <w:t>6.4</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6.4</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7.03</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52.40</w:t>
      </w:r>
      <w:r>
        <w:rPr>
          <w:rFonts w:ascii="Times New Roman" w:hAnsi="Times New Roman" w:eastAsia="仿宋_GB2312" w:cs="Times New Roman"/>
          <w:sz w:val="32"/>
          <w:szCs w:val="32"/>
        </w:rPr>
        <w:t>%。其中：</w:t>
      </w:r>
    </w:p>
    <w:p w14:paraId="230AEF6D">
      <w:pPr>
        <w:pStyle w:val="12"/>
        <w:overflowPunct w:val="0"/>
        <w:autoSpaceDE/>
        <w:autoSpaceDN/>
        <w:spacing w:line="600" w:lineRule="exact"/>
        <w:ind w:firstLine="640" w:firstLineChars="200"/>
        <w:jc w:val="both"/>
        <w:rPr>
          <w:rFonts w:hint="eastAsia" w:ascii="仿宋" w:hAnsi="仿宋" w:eastAsia="仿宋" w:cs="仿宋"/>
          <w:sz w:val="32"/>
          <w:szCs w:val="32"/>
        </w:rPr>
      </w:pPr>
      <w:r>
        <w:rPr>
          <w:rFonts w:hint="eastAsia" w:ascii="仿宋" w:hAnsi="仿宋" w:eastAsia="仿宋" w:cs="仿宋"/>
          <w:sz w:val="32"/>
          <w:szCs w:val="32"/>
        </w:rPr>
        <w:t>公务用车购置费支出预算为</w:t>
      </w:r>
      <w:r>
        <w:rPr>
          <w:rFonts w:hint="eastAsia" w:ascii="仿宋" w:hAnsi="仿宋" w:eastAsia="仿宋" w:cs="仿宋"/>
          <w:sz w:val="32"/>
          <w:szCs w:val="32"/>
          <w:lang w:val="en-US" w:eastAsia="zh-CN"/>
        </w:rPr>
        <w:t>0</w:t>
      </w:r>
      <w:r>
        <w:rPr>
          <w:rFonts w:hint="eastAsia" w:ascii="仿宋" w:hAnsi="仿宋" w:eastAsia="仿宋" w:cs="仿宋"/>
          <w:sz w:val="32"/>
          <w:szCs w:val="32"/>
        </w:rPr>
        <w:t>万元，支出决算为</w:t>
      </w:r>
      <w:r>
        <w:rPr>
          <w:rFonts w:hint="eastAsia" w:ascii="仿宋" w:hAnsi="仿宋" w:eastAsia="仿宋" w:cs="仿宋"/>
          <w:sz w:val="32"/>
          <w:szCs w:val="32"/>
          <w:lang w:val="en-US" w:eastAsia="zh-CN"/>
        </w:rPr>
        <w:t>0</w:t>
      </w:r>
      <w:r>
        <w:rPr>
          <w:rFonts w:hint="eastAsia" w:ascii="仿宋" w:hAnsi="仿宋" w:eastAsia="仿宋" w:cs="仿宋"/>
          <w:sz w:val="32"/>
          <w:szCs w:val="32"/>
        </w:rPr>
        <w:t>万元，完成预算的</w:t>
      </w:r>
      <w:r>
        <w:rPr>
          <w:rFonts w:hint="eastAsia" w:ascii="仿宋" w:hAnsi="仿宋" w:eastAsia="仿宋" w:cs="仿宋"/>
          <w:sz w:val="32"/>
          <w:szCs w:val="32"/>
          <w:lang w:val="en-US" w:eastAsia="zh-CN"/>
        </w:rPr>
        <w:t>0</w:t>
      </w:r>
      <w:r>
        <w:rPr>
          <w:rFonts w:hint="eastAsia" w:ascii="仿宋" w:hAnsi="仿宋" w:eastAsia="仿宋" w:cs="仿宋"/>
          <w:sz w:val="32"/>
          <w:szCs w:val="32"/>
        </w:rPr>
        <w:t>%；与上年相比增加（减少）</w:t>
      </w:r>
      <w:r>
        <w:rPr>
          <w:rFonts w:hint="eastAsia" w:ascii="仿宋" w:hAnsi="仿宋" w:eastAsia="仿宋" w:cs="仿宋"/>
          <w:sz w:val="32"/>
          <w:szCs w:val="32"/>
          <w:lang w:val="en-US" w:eastAsia="zh-CN"/>
        </w:rPr>
        <w:t>0</w:t>
      </w:r>
      <w:r>
        <w:rPr>
          <w:rFonts w:hint="eastAsia" w:ascii="仿宋" w:hAnsi="仿宋" w:eastAsia="仿宋" w:cs="仿宋"/>
          <w:sz w:val="32"/>
          <w:szCs w:val="32"/>
        </w:rPr>
        <w:t>万元，增长（降低）</w:t>
      </w:r>
      <w:r>
        <w:rPr>
          <w:rFonts w:hint="eastAsia" w:ascii="仿宋" w:hAnsi="仿宋" w:eastAsia="仿宋" w:cs="仿宋"/>
          <w:sz w:val="32"/>
          <w:szCs w:val="32"/>
          <w:lang w:val="en-US" w:eastAsia="zh-CN"/>
        </w:rPr>
        <w:t>0</w:t>
      </w:r>
      <w:r>
        <w:rPr>
          <w:rFonts w:hint="eastAsia" w:ascii="仿宋" w:hAnsi="仿宋" w:eastAsia="仿宋" w:cs="仿宋"/>
          <w:sz w:val="32"/>
          <w:szCs w:val="32"/>
        </w:rPr>
        <w:t>%。决算数</w:t>
      </w:r>
      <w:r>
        <w:rPr>
          <w:rFonts w:hint="eastAsia" w:ascii="仿宋" w:hAnsi="仿宋" w:eastAsia="仿宋" w:cs="仿宋"/>
          <w:sz w:val="32"/>
          <w:szCs w:val="32"/>
          <w:lang w:val="en-US" w:eastAsia="zh-CN"/>
        </w:rPr>
        <w:t>等于</w:t>
      </w:r>
      <w:r>
        <w:rPr>
          <w:rFonts w:hint="eastAsia" w:ascii="仿宋" w:hAnsi="仿宋" w:eastAsia="仿宋" w:cs="仿宋"/>
          <w:sz w:val="32"/>
          <w:szCs w:val="32"/>
        </w:rPr>
        <w:t>预算数的主要原因是预算数为“三公”经费全年预算数，反映按规定程序调整后的预算数；与上年相比无变动，主要原因是单位本年度未发生公务用车购置费支出。</w:t>
      </w:r>
    </w:p>
    <w:p w14:paraId="3DCE9DC6">
      <w:pPr>
        <w:pStyle w:val="12"/>
        <w:overflowPunct w:val="0"/>
        <w:autoSpaceDE/>
        <w:autoSpaceDN/>
        <w:spacing w:line="600" w:lineRule="exact"/>
        <w:ind w:firstLine="640" w:firstLineChars="200"/>
        <w:jc w:val="both"/>
        <w:rPr>
          <w:rFonts w:ascii="Times New Roman" w:hAnsi="Times New Roman" w:eastAsia="楷体" w:cs="Times New Roman"/>
          <w:b/>
          <w:bCs/>
          <w:i/>
          <w:sz w:val="32"/>
          <w:szCs w:val="32"/>
        </w:rPr>
      </w:pPr>
      <w:r>
        <w:rPr>
          <w:rFonts w:ascii="Times New Roman" w:hAnsi="Times New Roman" w:eastAsia="仿宋_GB2312" w:cs="Times New Roman"/>
          <w:sz w:val="32"/>
          <w:szCs w:val="32"/>
        </w:rPr>
        <w:t>公务用车运行维护费支出预算为</w:t>
      </w:r>
      <w:r>
        <w:rPr>
          <w:rFonts w:hint="eastAsia" w:ascii="Times New Roman" w:hAnsi="Times New Roman" w:eastAsia="仿宋_GB2312" w:cs="Times New Roman"/>
          <w:sz w:val="32"/>
          <w:szCs w:val="32"/>
          <w:lang w:val="en-US" w:eastAsia="zh-CN"/>
        </w:rPr>
        <w:t>6.4</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6.4</w:t>
      </w:r>
      <w:r>
        <w:rPr>
          <w:rFonts w:ascii="Times New Roman" w:hAnsi="Times New Roman" w:eastAsia="仿宋_GB2312" w:cs="Times New Roman"/>
          <w:sz w:val="32"/>
          <w:szCs w:val="32"/>
        </w:rPr>
        <w:t>万元，主要是</w:t>
      </w:r>
      <w:r>
        <w:rPr>
          <w:rFonts w:hint="eastAsia" w:ascii="仿宋" w:hAnsi="仿宋" w:eastAsia="仿宋" w:cs="仿宋"/>
          <w:sz w:val="32"/>
          <w:szCs w:val="32"/>
          <w:lang w:val="en-US" w:eastAsia="zh-CN"/>
        </w:rPr>
        <w:t>油料费、维修费、过路费和保险费等</w:t>
      </w:r>
      <w:r>
        <w:rPr>
          <w:rFonts w:ascii="Times New Roman" w:hAnsi="Times New Roman" w:eastAsia="仿宋_GB2312" w:cs="Times New Roman"/>
          <w:sz w:val="32"/>
          <w:szCs w:val="32"/>
        </w:rPr>
        <w:t>支出，完成预算的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7.03</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52.40</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val="en-US" w:eastAsia="zh-CN"/>
        </w:rPr>
        <w:t>等于</w:t>
      </w:r>
      <w:r>
        <w:rPr>
          <w:rFonts w:ascii="Times New Roman" w:hAnsi="Times New Roman" w:eastAsia="仿宋_GB2312" w:cs="Times New Roman"/>
          <w:sz w:val="32"/>
          <w:szCs w:val="32"/>
        </w:rPr>
        <w:t>预算数的主要原因是</w:t>
      </w:r>
      <w:r>
        <w:rPr>
          <w:rFonts w:hint="eastAsia" w:ascii="Times New Roman" w:hAnsi="Times New Roman" w:eastAsia="仿宋_GB2312" w:cs="Times New Roman"/>
          <w:sz w:val="32"/>
          <w:szCs w:val="32"/>
        </w:rPr>
        <w:t>严格执行紧财政政策，控制三公经费开支</w:t>
      </w:r>
      <w:r>
        <w:rPr>
          <w:rFonts w:ascii="Times New Roman" w:hAnsi="Times New Roman" w:eastAsia="仿宋_GB2312" w:cs="Times New Roman"/>
          <w:sz w:val="32"/>
          <w:szCs w:val="32"/>
        </w:rPr>
        <w:t>。决算数小于上年数的主要原因是</w:t>
      </w:r>
      <w:r>
        <w:rPr>
          <w:rFonts w:hint="eastAsia" w:ascii="Times New Roman" w:hAnsi="Times New Roman" w:eastAsia="仿宋_GB2312" w:cs="Times New Roman"/>
          <w:sz w:val="32"/>
          <w:szCs w:val="32"/>
        </w:rPr>
        <w:t>严格执行紧财政政策，控制三公经费开支</w:t>
      </w:r>
      <w:r>
        <w:rPr>
          <w:rFonts w:ascii="Times New Roman" w:hAnsi="Times New Roman" w:eastAsia="仿宋_GB2312" w:cs="Times New Roman"/>
          <w:sz w:val="32"/>
          <w:szCs w:val="32"/>
        </w:rPr>
        <w:t>。截</w:t>
      </w:r>
      <w:r>
        <w:rPr>
          <w:rFonts w:hint="eastAsia" w:ascii="Times New Roman" w:hAnsi="Times New Roman" w:eastAsia="仿宋_GB2312" w:cs="Times New Roman"/>
          <w:sz w:val="32"/>
          <w:szCs w:val="32"/>
          <w:lang w:eastAsia="zh-CN"/>
        </w:rPr>
        <w:t>至</w:t>
      </w: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年12月31日，我单位开支财政拨款的公务用车保有量为</w:t>
      </w:r>
      <w:r>
        <w:rPr>
          <w:rFonts w:hint="eastAsia" w:ascii="Times New Roman" w:hAnsi="Times New Roman" w:eastAsia="仿宋_GB2312" w:cs="Times New Roman"/>
          <w:sz w:val="32"/>
          <w:szCs w:val="32"/>
          <w:lang w:val="en-US" w:eastAsia="zh-CN"/>
        </w:rPr>
        <w:t>6</w:t>
      </w:r>
      <w:r>
        <w:rPr>
          <w:rFonts w:ascii="Times New Roman" w:hAnsi="Times New Roman" w:eastAsia="仿宋_GB2312" w:cs="Times New Roman"/>
          <w:sz w:val="32"/>
          <w:szCs w:val="32"/>
        </w:rPr>
        <w:t>辆。</w:t>
      </w:r>
    </w:p>
    <w:p w14:paraId="7C0DA091">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3.公务接待费支出预算为</w:t>
      </w:r>
      <w:r>
        <w:rPr>
          <w:rFonts w:hint="eastAsia" w:ascii="Times New Roman" w:hAnsi="Times New Roman" w:eastAsia="仿宋_GB2312" w:cs="Times New Roman"/>
          <w:sz w:val="32"/>
          <w:szCs w:val="32"/>
          <w:lang w:val="en-US" w:eastAsia="zh-CN"/>
        </w:rPr>
        <w:t>3.2</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0.31</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9.69</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1.57</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83.70</w:t>
      </w:r>
      <w:r>
        <w:rPr>
          <w:rFonts w:ascii="Times New Roman" w:hAnsi="Times New Roman" w:eastAsia="仿宋_GB2312" w:cs="Times New Roman"/>
          <w:sz w:val="32"/>
          <w:szCs w:val="32"/>
        </w:rPr>
        <w:t>%。决算数小于预算数的主要原因是</w:t>
      </w:r>
      <w:r>
        <w:rPr>
          <w:rFonts w:hint="eastAsia" w:ascii="Times New Roman" w:hAnsi="Times New Roman" w:eastAsia="仿宋_GB2312" w:cs="Times New Roman"/>
          <w:sz w:val="32"/>
          <w:szCs w:val="32"/>
        </w:rPr>
        <w:t>严格执行紧财政政策，控制三公经费开支</w:t>
      </w:r>
      <w:r>
        <w:rPr>
          <w:rFonts w:ascii="Times New Roman" w:hAnsi="Times New Roman" w:eastAsia="仿宋_GB2312" w:cs="Times New Roman"/>
          <w:sz w:val="32"/>
          <w:szCs w:val="32"/>
        </w:rPr>
        <w:t>。决算数小于上年数的主要原因是</w:t>
      </w:r>
      <w:r>
        <w:rPr>
          <w:rFonts w:hint="eastAsia" w:ascii="Times New Roman" w:hAnsi="Times New Roman" w:eastAsia="仿宋_GB2312" w:cs="Times New Roman"/>
          <w:sz w:val="32"/>
          <w:szCs w:val="32"/>
          <w:lang w:val="en-US" w:eastAsia="zh-CN"/>
        </w:rPr>
        <w:t>本年度公务接待批次减少</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度共接待来访团组</w:t>
      </w:r>
      <w:r>
        <w:rPr>
          <w:rFonts w:hint="eastAsia" w:ascii="Times New Roman" w:hAnsi="Times New Roman" w:eastAsia="仿宋_GB2312" w:cs="Times New Roman"/>
          <w:sz w:val="32"/>
          <w:szCs w:val="32"/>
          <w:lang w:val="en-US" w:eastAsia="zh-CN"/>
        </w:rPr>
        <w:t>3</w:t>
      </w:r>
      <w:r>
        <w:rPr>
          <w:rFonts w:ascii="Times New Roman" w:hAnsi="Times New Roman" w:eastAsia="仿宋_GB2312" w:cs="Times New Roman"/>
          <w:sz w:val="32"/>
          <w:szCs w:val="32"/>
        </w:rPr>
        <w:t>个、来宾</w:t>
      </w:r>
      <w:r>
        <w:rPr>
          <w:rFonts w:hint="eastAsia" w:ascii="Times New Roman" w:hAnsi="Times New Roman" w:eastAsia="仿宋_GB2312" w:cs="Times New Roman"/>
          <w:sz w:val="32"/>
          <w:szCs w:val="32"/>
          <w:lang w:val="en-US" w:eastAsia="zh-CN"/>
        </w:rPr>
        <w:t>43</w:t>
      </w:r>
      <w:r>
        <w:rPr>
          <w:rFonts w:ascii="Times New Roman" w:hAnsi="Times New Roman" w:eastAsia="仿宋_GB2312" w:cs="Times New Roman"/>
          <w:sz w:val="32"/>
          <w:szCs w:val="32"/>
        </w:rPr>
        <w:t>人次，主要是</w:t>
      </w:r>
      <w:r>
        <w:rPr>
          <w:rFonts w:hint="eastAsia" w:ascii="Times New Roman" w:hAnsi="Times New Roman" w:eastAsia="仿宋_GB2312" w:cs="Times New Roman"/>
          <w:sz w:val="32"/>
          <w:szCs w:val="32"/>
        </w:rPr>
        <w:t>省住建厅</w:t>
      </w:r>
      <w:r>
        <w:rPr>
          <w:rFonts w:hint="eastAsia" w:ascii="仿宋" w:hAnsi="仿宋" w:eastAsia="仿宋" w:cs="仿宋"/>
          <w:sz w:val="32"/>
          <w:szCs w:val="32"/>
        </w:rPr>
        <w:t>对接业务工作</w:t>
      </w:r>
      <w:r>
        <w:rPr>
          <w:rFonts w:ascii="Times New Roman" w:hAnsi="Times New Roman" w:eastAsia="仿宋_GB2312" w:cs="Times New Roman"/>
          <w:sz w:val="32"/>
          <w:szCs w:val="32"/>
        </w:rPr>
        <w:t>发生的接待支出。</w:t>
      </w:r>
    </w:p>
    <w:p w14:paraId="4A0042F5">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八、政府性基金预算收入支出决算情况</w:t>
      </w:r>
    </w:p>
    <w:p w14:paraId="3F57E36B">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年度政府性基金预算财政拨款收入</w:t>
      </w:r>
      <w:r>
        <w:rPr>
          <w:rFonts w:hint="eastAsia" w:ascii="Times New Roman" w:hAnsi="Times New Roman" w:eastAsia="仿宋_GB2312" w:cs="Times New Roman"/>
          <w:sz w:val="32"/>
          <w:szCs w:val="32"/>
        </w:rPr>
        <w:t>213147.8</w:t>
      </w:r>
      <w:r>
        <w:rPr>
          <w:rFonts w:ascii="Times New Roman" w:hAnsi="Times New Roman" w:eastAsia="仿宋_GB2312" w:cs="Times New Roman"/>
          <w:sz w:val="32"/>
          <w:szCs w:val="32"/>
        </w:rPr>
        <w:t>万元；年初结转和结余</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w:t>
      </w:r>
      <w:r>
        <w:rPr>
          <w:rFonts w:hint="eastAsia" w:ascii="Times New Roman" w:hAnsi="Times New Roman" w:eastAsia="仿宋_GB2312" w:cs="Times New Roman"/>
          <w:sz w:val="32"/>
          <w:szCs w:val="32"/>
        </w:rPr>
        <w:t>213147.8</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万元，项目支出</w:t>
      </w:r>
      <w:r>
        <w:rPr>
          <w:rFonts w:hint="eastAsia" w:ascii="Times New Roman" w:hAnsi="Times New Roman" w:eastAsia="仿宋_GB2312" w:cs="Times New Roman"/>
          <w:sz w:val="32"/>
          <w:szCs w:val="32"/>
        </w:rPr>
        <w:t>213147.8</w:t>
      </w:r>
      <w:r>
        <w:rPr>
          <w:rFonts w:ascii="Times New Roman" w:hAnsi="Times New Roman" w:eastAsia="仿宋_GB2312" w:cs="Times New Roman"/>
          <w:sz w:val="32"/>
          <w:szCs w:val="32"/>
        </w:rPr>
        <w:t>万元；年末结转和结余</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万元。具体情况如下：</w:t>
      </w:r>
    </w:p>
    <w:p w14:paraId="3FB5A50B">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1、</w:t>
      </w:r>
      <w:r>
        <w:rPr>
          <w:rFonts w:hint="eastAsia" w:ascii="Times New Roman" w:hAnsi="Times New Roman" w:eastAsia="仿宋_GB2312" w:cs="Times New Roman"/>
          <w:sz w:val="32"/>
          <w:szCs w:val="32"/>
        </w:rPr>
        <w:t>城乡社区支出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国有土地使用权出让收入安排的支出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城市建设支出</w:t>
      </w:r>
      <w:r>
        <w:rPr>
          <w:rFonts w:ascii="Times New Roman" w:hAnsi="Times New Roman" w:eastAsia="仿宋_GB2312" w:cs="Times New Roman"/>
          <w:sz w:val="32"/>
          <w:szCs w:val="32"/>
        </w:rPr>
        <w:t>（项）。</w:t>
      </w:r>
    </w:p>
    <w:p w14:paraId="28558EC8">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rPr>
        <w:t>212999.92</w:t>
      </w:r>
      <w:r>
        <w:rPr>
          <w:rFonts w:ascii="Times New Roman" w:hAnsi="Times New Roman" w:eastAsia="仿宋_GB2312" w:cs="Times New Roman"/>
          <w:sz w:val="32"/>
          <w:szCs w:val="32"/>
        </w:rPr>
        <w:t>万元，决算数大于年初预算数的主要原因是：</w:t>
      </w:r>
      <w:r>
        <w:rPr>
          <w:rFonts w:hint="eastAsia" w:ascii="Times New Roman" w:hAnsi="Times New Roman" w:eastAsia="仿宋_GB2312" w:cs="Times New Roman"/>
          <w:sz w:val="32"/>
          <w:szCs w:val="32"/>
          <w:lang w:val="en-US" w:eastAsia="zh-CN"/>
        </w:rPr>
        <w:t>该笔资金主要是城市建设支出，年初未纳入预算。</w:t>
      </w:r>
    </w:p>
    <w:p w14:paraId="634001E3">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2</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城乡社区支出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城市基础设施配套费安排的支出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其他城市基础设施配套费安排的支出</w:t>
      </w:r>
      <w:r>
        <w:rPr>
          <w:rFonts w:ascii="Times New Roman" w:hAnsi="Times New Roman" w:eastAsia="仿宋_GB2312" w:cs="Times New Roman"/>
          <w:sz w:val="32"/>
          <w:szCs w:val="32"/>
        </w:rPr>
        <w:t>（项）。</w:t>
      </w:r>
    </w:p>
    <w:p w14:paraId="4934C0B3">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rPr>
        <w:t>147.88</w:t>
      </w:r>
      <w:r>
        <w:rPr>
          <w:rFonts w:ascii="Times New Roman" w:hAnsi="Times New Roman" w:eastAsia="仿宋_GB2312" w:cs="Times New Roman"/>
          <w:sz w:val="32"/>
          <w:szCs w:val="32"/>
        </w:rPr>
        <w:t>万元，决算数大于年初预算数的主要原因是：</w:t>
      </w:r>
      <w:r>
        <w:rPr>
          <w:rFonts w:hint="eastAsia" w:ascii="Times New Roman" w:hAnsi="Times New Roman" w:eastAsia="仿宋_GB2312" w:cs="Times New Roman"/>
          <w:sz w:val="32"/>
          <w:szCs w:val="32"/>
          <w:lang w:val="en-US" w:eastAsia="zh-CN"/>
        </w:rPr>
        <w:t>结转城市生态和景观修复资金、地下市政基础设施普查资金</w:t>
      </w:r>
      <w:r>
        <w:rPr>
          <w:rFonts w:hint="eastAsia" w:ascii="Times New Roman" w:hAnsi="Times New Roman" w:eastAsia="仿宋_GB2312" w:cs="Times New Roman"/>
          <w:sz w:val="32"/>
          <w:szCs w:val="32"/>
          <w:lang w:eastAsia="zh-CN"/>
        </w:rPr>
        <w:t>。</w:t>
      </w:r>
    </w:p>
    <w:p w14:paraId="039BAE82">
      <w:pPr>
        <w:autoSpaceDE w:val="0"/>
        <w:autoSpaceDN w:val="0"/>
        <w:adjustRightInd w:val="0"/>
        <w:spacing w:line="600" w:lineRule="exact"/>
        <w:ind w:firstLine="640" w:firstLineChars="200"/>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b/>
          <w:bCs/>
          <w:color w:val="000000"/>
          <w:kern w:val="0"/>
          <w:sz w:val="32"/>
          <w:szCs w:val="32"/>
        </w:rPr>
        <w:t>九、</w:t>
      </w:r>
      <w:r>
        <w:rPr>
          <w:rFonts w:hint="eastAsia" w:ascii="Times New Roman" w:hAnsi="Times New Roman" w:eastAsia="仿宋_GB2312" w:cs="Times New Roman"/>
          <w:b/>
          <w:bCs/>
          <w:color w:val="000000"/>
          <w:kern w:val="0"/>
          <w:sz w:val="32"/>
          <w:szCs w:val="32"/>
          <w:lang w:val="en-US" w:eastAsia="zh-CN"/>
        </w:rPr>
        <w:t>关于</w:t>
      </w:r>
      <w:r>
        <w:rPr>
          <w:rFonts w:ascii="Times New Roman" w:hAnsi="Times New Roman" w:eastAsia="仿宋_GB2312" w:cs="Times New Roman"/>
          <w:b/>
          <w:bCs/>
          <w:sz w:val="32"/>
          <w:szCs w:val="32"/>
        </w:rPr>
        <w:t>国有资本经营预算财政拨款支出</w:t>
      </w:r>
      <w:r>
        <w:rPr>
          <w:rFonts w:hint="eastAsia" w:ascii="Times New Roman" w:hAnsi="Times New Roman" w:eastAsia="仿宋_GB2312" w:cs="Times New Roman"/>
          <w:b/>
          <w:bCs/>
          <w:sz w:val="32"/>
          <w:szCs w:val="32"/>
          <w:lang w:val="en-US" w:eastAsia="zh-CN"/>
        </w:rPr>
        <w:t>决算情况说明</w:t>
      </w:r>
    </w:p>
    <w:p w14:paraId="1E658313">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w:t>
      </w:r>
      <w:r>
        <w:rPr>
          <w:rFonts w:ascii="Times New Roman" w:hAnsi="Times New Roman" w:eastAsia="仿宋_GB2312" w:cs="Times New Roman"/>
          <w:b w:val="0"/>
          <w:bCs w:val="0"/>
          <w:sz w:val="32"/>
          <w:szCs w:val="32"/>
        </w:rPr>
        <w:t>国有资本经营</w:t>
      </w:r>
      <w:r>
        <w:rPr>
          <w:rFonts w:ascii="Times New Roman" w:hAnsi="Times New Roman" w:eastAsia="仿宋_GB2312" w:cs="Times New Roman"/>
          <w:sz w:val="32"/>
          <w:szCs w:val="32"/>
        </w:rPr>
        <w:t>预算财政拨款收入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万元；年初结转和结余</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万元，项目支出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万元；年末结转和结余</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万元。具体情况如下：</w:t>
      </w:r>
      <w:r>
        <w:rPr>
          <w:rFonts w:hint="eastAsia" w:ascii="Times New Roman" w:hAnsi="Times New Roman" w:eastAsia="仿宋_GB2312"/>
          <w:sz w:val="32"/>
          <w:szCs w:val="32"/>
          <w:lang w:eastAsia="zh-CN"/>
        </w:rPr>
        <w:t>本年度单位无</w:t>
      </w:r>
      <w:r>
        <w:rPr>
          <w:rFonts w:ascii="Times New Roman" w:hAnsi="Times New Roman" w:eastAsia="仿宋_GB2312" w:cs="Times New Roman"/>
          <w:b w:val="0"/>
          <w:bCs w:val="0"/>
          <w:sz w:val="32"/>
          <w:szCs w:val="32"/>
        </w:rPr>
        <w:t>国有资本经营</w:t>
      </w:r>
      <w:r>
        <w:rPr>
          <w:rFonts w:hint="eastAsia" w:ascii="Times New Roman" w:hAnsi="Times New Roman" w:eastAsia="仿宋_GB2312"/>
          <w:sz w:val="32"/>
          <w:szCs w:val="32"/>
          <w:lang w:eastAsia="zh-CN"/>
        </w:rPr>
        <w:t>收支。</w:t>
      </w:r>
    </w:p>
    <w:p w14:paraId="33791305">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hint="eastAsia" w:ascii="Times New Roman" w:hAnsi="Times New Roman" w:cs="Times New Roman"/>
          <w:bCs/>
          <w:sz w:val="32"/>
          <w:szCs w:val="32"/>
          <w:lang w:val="en-US" w:eastAsia="zh-CN"/>
        </w:rPr>
        <w:t>十</w:t>
      </w:r>
      <w:r>
        <w:rPr>
          <w:rFonts w:ascii="Times New Roman" w:hAnsi="Times New Roman" w:cs="Times New Roman"/>
          <w:bCs/>
          <w:sz w:val="32"/>
          <w:szCs w:val="32"/>
        </w:rPr>
        <w:t>、关于机关运行经费支出说明</w:t>
      </w:r>
    </w:p>
    <w:p w14:paraId="190AED14">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年度机关运行经费支出</w:t>
      </w:r>
      <w:r>
        <w:rPr>
          <w:rFonts w:hint="eastAsia" w:ascii="Times New Roman" w:hAnsi="Times New Roman" w:eastAsia="仿宋_GB2312" w:cs="Times New Roman"/>
          <w:sz w:val="32"/>
          <w:szCs w:val="32"/>
          <w:lang w:val="en-US" w:eastAsia="zh-CN"/>
        </w:rPr>
        <w:t>228.46</w:t>
      </w:r>
      <w:r>
        <w:rPr>
          <w:rFonts w:ascii="Times New Roman" w:hAnsi="Times New Roman" w:eastAsia="仿宋_GB2312" w:cs="Times New Roman"/>
          <w:sz w:val="32"/>
          <w:szCs w:val="32"/>
        </w:rPr>
        <w:t>万元</w:t>
      </w:r>
      <w:r>
        <w:rPr>
          <w:rFonts w:ascii="Times New Roman" w:hAnsi="Times New Roman" w:eastAsia="楷体_GB2312" w:cs="Times New Roman"/>
          <w:b/>
          <w:bCs/>
          <w:i/>
          <w:color w:val="auto"/>
          <w:sz w:val="32"/>
          <w:szCs w:val="32"/>
        </w:rPr>
        <w:t>（与部门决算中行政单位和参照公务员法管理事业单位财政拨款基本支出中公用经费之和一致）</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教</w:t>
      </w:r>
      <w:bookmarkStart w:id="1" w:name="_GoBack"/>
      <w:bookmarkEnd w:id="1"/>
      <w:r>
        <w:rPr>
          <w:rFonts w:ascii="Times New Roman" w:hAnsi="Times New Roman" w:eastAsia="仿宋_GB2312" w:cs="Times New Roman"/>
          <w:sz w:val="32"/>
          <w:szCs w:val="32"/>
        </w:rPr>
        <w:t>上年决算数减少</w:t>
      </w:r>
      <w:r>
        <w:rPr>
          <w:rFonts w:hint="eastAsia" w:ascii="Times New Roman" w:hAnsi="Times New Roman" w:eastAsia="仿宋_GB2312" w:cs="Times New Roman"/>
          <w:sz w:val="32"/>
          <w:szCs w:val="32"/>
          <w:lang w:val="en-US" w:eastAsia="zh-CN"/>
        </w:rPr>
        <w:t>50.96</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18.20</w:t>
      </w:r>
      <w:r>
        <w:rPr>
          <w:rFonts w:ascii="Times New Roman" w:hAnsi="Times New Roman" w:eastAsia="仿宋_GB2312" w:cs="Times New Roman"/>
          <w:sz w:val="32"/>
          <w:szCs w:val="32"/>
        </w:rPr>
        <w:t>%。主要原因是：</w:t>
      </w:r>
      <w:r>
        <w:rPr>
          <w:rFonts w:hint="eastAsia" w:ascii="Times New Roman" w:hAnsi="Times New Roman" w:eastAsia="仿宋_GB2312" w:cs="Times New Roman"/>
          <w:sz w:val="32"/>
          <w:szCs w:val="32"/>
        </w:rPr>
        <w:t>落实过紧日子要求压减</w:t>
      </w:r>
      <w:r>
        <w:rPr>
          <w:rFonts w:hint="eastAsia" w:ascii="Times New Roman" w:hAnsi="Times New Roman" w:eastAsia="仿宋_GB2312" w:cs="Times New Roman"/>
          <w:sz w:val="32"/>
          <w:szCs w:val="32"/>
          <w:lang w:val="en-US" w:eastAsia="zh-CN"/>
        </w:rPr>
        <w:t>公用经费</w:t>
      </w:r>
      <w:r>
        <w:rPr>
          <w:rFonts w:hint="eastAsia" w:ascii="Times New Roman" w:hAnsi="Times New Roman" w:eastAsia="仿宋_GB2312" w:cs="Times New Roman"/>
          <w:sz w:val="32"/>
          <w:szCs w:val="32"/>
        </w:rPr>
        <w:t>支出</w:t>
      </w:r>
      <w:r>
        <w:rPr>
          <w:rFonts w:ascii="Times New Roman" w:hAnsi="Times New Roman" w:eastAsia="仿宋_GB2312" w:cs="Times New Roman"/>
          <w:sz w:val="32"/>
          <w:szCs w:val="32"/>
        </w:rPr>
        <w:t>。</w:t>
      </w:r>
    </w:p>
    <w:p w14:paraId="1ABA1423">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w:t>
      </w:r>
      <w:r>
        <w:rPr>
          <w:rFonts w:hint="eastAsia" w:ascii="Times New Roman" w:hAnsi="Times New Roman" w:cs="Times New Roman"/>
          <w:bCs/>
          <w:sz w:val="32"/>
          <w:szCs w:val="32"/>
          <w:lang w:val="en-US" w:eastAsia="zh-CN"/>
        </w:rPr>
        <w:t>一</w:t>
      </w:r>
      <w:r>
        <w:rPr>
          <w:rFonts w:ascii="Times New Roman" w:hAnsi="Times New Roman" w:cs="Times New Roman"/>
          <w:bCs/>
          <w:sz w:val="32"/>
          <w:szCs w:val="32"/>
        </w:rPr>
        <w:t>、一般性支出情况说明</w:t>
      </w:r>
    </w:p>
    <w:p w14:paraId="751B9D73">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年本部门开支会议费</w:t>
      </w:r>
      <w:r>
        <w:rPr>
          <w:rFonts w:hint="eastAsia" w:ascii="Times New Roman" w:hAnsi="Times New Roman" w:eastAsia="仿宋_GB2312" w:cs="Times New Roman"/>
          <w:sz w:val="32"/>
          <w:szCs w:val="32"/>
          <w:lang w:val="en-US" w:eastAsia="zh-CN"/>
        </w:rPr>
        <w:t>0.16</w:t>
      </w:r>
      <w:r>
        <w:rPr>
          <w:rFonts w:ascii="Times New Roman" w:hAnsi="Times New Roman" w:eastAsia="仿宋_GB2312" w:cs="Times New Roman"/>
          <w:sz w:val="32"/>
          <w:szCs w:val="32"/>
        </w:rPr>
        <w:t>万元，用于召开</w:t>
      </w:r>
      <w:r>
        <w:rPr>
          <w:rFonts w:hint="eastAsia" w:ascii="Times New Roman" w:hAnsi="Times New Roman" w:eastAsia="仿宋_GB2312" w:cs="Times New Roman"/>
          <w:sz w:val="32"/>
          <w:szCs w:val="32"/>
        </w:rPr>
        <w:t>全市领域生态环境工作调度会</w:t>
      </w:r>
      <w:r>
        <w:rPr>
          <w:rFonts w:ascii="Times New Roman" w:hAnsi="Times New Roman" w:eastAsia="仿宋_GB2312" w:cs="Times New Roman"/>
          <w:sz w:val="32"/>
          <w:szCs w:val="32"/>
        </w:rPr>
        <w:t>会议，人数</w:t>
      </w:r>
      <w:r>
        <w:rPr>
          <w:rFonts w:hint="eastAsia" w:ascii="Times New Roman" w:hAnsi="Times New Roman" w:eastAsia="仿宋_GB2312" w:cs="Times New Roman"/>
          <w:sz w:val="32"/>
          <w:szCs w:val="32"/>
          <w:lang w:val="en-US" w:eastAsia="zh-CN"/>
        </w:rPr>
        <w:t>42</w:t>
      </w:r>
      <w:r>
        <w:rPr>
          <w:rFonts w:ascii="Times New Roman" w:hAnsi="Times New Roman" w:eastAsia="仿宋_GB2312" w:cs="Times New Roman"/>
          <w:sz w:val="32"/>
          <w:szCs w:val="32"/>
        </w:rPr>
        <w:t>人，内容为召开</w:t>
      </w:r>
      <w:r>
        <w:rPr>
          <w:rFonts w:hint="eastAsia" w:ascii="Times New Roman" w:hAnsi="Times New Roman" w:eastAsia="仿宋_GB2312" w:cs="Times New Roman"/>
          <w:sz w:val="32"/>
          <w:szCs w:val="32"/>
        </w:rPr>
        <w:t>全市领域生态环境工作调度会</w:t>
      </w:r>
      <w:r>
        <w:rPr>
          <w:rFonts w:ascii="Times New Roman" w:hAnsi="Times New Roman" w:eastAsia="仿宋_GB2312" w:cs="Times New Roman"/>
          <w:sz w:val="32"/>
          <w:szCs w:val="32"/>
        </w:rPr>
        <w:t>会议；</w:t>
      </w:r>
    </w:p>
    <w:p w14:paraId="0FE79C4F">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开支培训费</w:t>
      </w:r>
      <w:r>
        <w:rPr>
          <w:rFonts w:hint="eastAsia" w:ascii="Times New Roman" w:hAnsi="Times New Roman" w:eastAsia="仿宋_GB2312" w:cs="Times New Roman"/>
          <w:sz w:val="32"/>
          <w:szCs w:val="32"/>
          <w:lang w:val="en-US" w:eastAsia="zh-CN"/>
        </w:rPr>
        <w:t>1.61</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其中：</w:t>
      </w:r>
      <w:r>
        <w:rPr>
          <w:rFonts w:ascii="Times New Roman" w:hAnsi="Times New Roman" w:eastAsia="仿宋_GB2312" w:cs="Times New Roman"/>
          <w:sz w:val="32"/>
          <w:szCs w:val="32"/>
        </w:rPr>
        <w:t>开支培训费</w:t>
      </w:r>
      <w:r>
        <w:rPr>
          <w:rFonts w:hint="eastAsia" w:ascii="Times New Roman" w:hAnsi="Times New Roman" w:eastAsia="仿宋_GB2312" w:cs="Times New Roman"/>
          <w:sz w:val="32"/>
          <w:szCs w:val="32"/>
          <w:lang w:val="en-US" w:eastAsia="zh-CN"/>
        </w:rPr>
        <w:t>1.60</w:t>
      </w:r>
      <w:r>
        <w:rPr>
          <w:rFonts w:ascii="Times New Roman" w:hAnsi="Times New Roman" w:eastAsia="仿宋_GB2312" w:cs="Times New Roman"/>
          <w:sz w:val="32"/>
          <w:szCs w:val="32"/>
        </w:rPr>
        <w:t>万元，用于开展</w:t>
      </w:r>
      <w:r>
        <w:rPr>
          <w:rFonts w:hint="eastAsia" w:ascii="Times New Roman" w:hAnsi="Times New Roman" w:eastAsia="仿宋_GB2312" w:cs="Times New Roman"/>
          <w:sz w:val="32"/>
          <w:szCs w:val="32"/>
        </w:rPr>
        <w:t>事业人员</w:t>
      </w:r>
      <w:r>
        <w:rPr>
          <w:rFonts w:ascii="Times New Roman" w:hAnsi="Times New Roman" w:eastAsia="仿宋_GB2312" w:cs="Times New Roman"/>
          <w:sz w:val="32"/>
          <w:szCs w:val="32"/>
        </w:rPr>
        <w:t>培训，人数</w:t>
      </w:r>
      <w:r>
        <w:rPr>
          <w:rFonts w:hint="eastAsia" w:ascii="Times New Roman" w:hAnsi="Times New Roman" w:eastAsia="仿宋_GB2312" w:cs="Times New Roman"/>
          <w:sz w:val="32"/>
          <w:szCs w:val="32"/>
          <w:lang w:val="en-US" w:eastAsia="zh-CN"/>
        </w:rPr>
        <w:t>38</w:t>
      </w:r>
      <w:r>
        <w:rPr>
          <w:rFonts w:ascii="Times New Roman" w:hAnsi="Times New Roman" w:eastAsia="仿宋_GB2312" w:cs="Times New Roman"/>
          <w:sz w:val="32"/>
          <w:szCs w:val="32"/>
        </w:rPr>
        <w:t>人，内容为开展</w:t>
      </w:r>
      <w:r>
        <w:rPr>
          <w:rFonts w:hint="eastAsia" w:ascii="Times New Roman" w:hAnsi="Times New Roman" w:eastAsia="仿宋_GB2312" w:cs="Times New Roman"/>
          <w:sz w:val="32"/>
          <w:szCs w:val="32"/>
        </w:rPr>
        <w:t>事业人员</w:t>
      </w:r>
      <w:r>
        <w:rPr>
          <w:rFonts w:ascii="Times New Roman" w:hAnsi="Times New Roman" w:eastAsia="仿宋_GB2312" w:cs="Times New Roman"/>
          <w:sz w:val="32"/>
          <w:szCs w:val="32"/>
        </w:rPr>
        <w:t>培训；开支培训费</w:t>
      </w:r>
      <w:r>
        <w:rPr>
          <w:rFonts w:hint="eastAsia" w:ascii="Times New Roman" w:hAnsi="Times New Roman" w:eastAsia="仿宋_GB2312" w:cs="Times New Roman"/>
          <w:sz w:val="32"/>
          <w:szCs w:val="32"/>
          <w:lang w:val="en-US" w:eastAsia="zh-CN"/>
        </w:rPr>
        <w:t>0.1万元，</w:t>
      </w:r>
      <w:r>
        <w:rPr>
          <w:rFonts w:ascii="Times New Roman" w:hAnsi="Times New Roman" w:eastAsia="仿宋_GB2312" w:cs="Times New Roman"/>
          <w:sz w:val="32"/>
          <w:szCs w:val="32"/>
        </w:rPr>
        <w:t>用于开展</w:t>
      </w:r>
      <w:r>
        <w:rPr>
          <w:rFonts w:hint="eastAsia" w:ascii="Times New Roman" w:hAnsi="Times New Roman" w:eastAsia="仿宋_GB2312" w:cs="Times New Roman"/>
          <w:sz w:val="32"/>
          <w:szCs w:val="32"/>
        </w:rPr>
        <w:t>环卫领域项目申报培训</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人数1人，</w:t>
      </w:r>
      <w:r>
        <w:rPr>
          <w:rFonts w:ascii="Times New Roman" w:hAnsi="Times New Roman" w:eastAsia="仿宋_GB2312" w:cs="Times New Roman"/>
          <w:sz w:val="32"/>
          <w:szCs w:val="32"/>
        </w:rPr>
        <w:t>内容为开展</w:t>
      </w:r>
      <w:r>
        <w:rPr>
          <w:rFonts w:hint="eastAsia" w:ascii="Times New Roman" w:hAnsi="Times New Roman" w:eastAsia="仿宋_GB2312" w:cs="Times New Roman"/>
          <w:sz w:val="32"/>
          <w:szCs w:val="32"/>
        </w:rPr>
        <w:t>环卫领域项目申报培训</w:t>
      </w:r>
      <w:r>
        <w:rPr>
          <w:rFonts w:hint="eastAsia" w:ascii="Times New Roman" w:hAnsi="Times New Roman" w:eastAsia="仿宋_GB2312" w:cs="Times New Roman"/>
          <w:sz w:val="32"/>
          <w:szCs w:val="32"/>
          <w:lang w:eastAsia="zh-CN"/>
        </w:rPr>
        <w:t>。</w:t>
      </w:r>
    </w:p>
    <w:p w14:paraId="13280492">
      <w:pPr>
        <w:pStyle w:val="12"/>
        <w:overflowPunct w:val="0"/>
        <w:autoSpaceDE/>
        <w:autoSpaceDN/>
        <w:spacing w:line="600" w:lineRule="exact"/>
        <w:ind w:firstLine="640" w:firstLineChars="200"/>
        <w:jc w:val="both"/>
        <w:rPr>
          <w:rFonts w:ascii="Times New Roman" w:hAnsi="Times New Roman" w:eastAsia="楷体" w:cs="Times New Roman"/>
          <w:b/>
          <w:bCs/>
          <w:i/>
          <w:color w:val="auto"/>
          <w:sz w:val="32"/>
          <w:szCs w:val="32"/>
        </w:rPr>
      </w:pPr>
      <w:r>
        <w:rPr>
          <w:rFonts w:hint="eastAsia" w:ascii="Times New Roman" w:hAnsi="Times New Roman" w:eastAsia="仿宋_GB2312" w:cs="Times New Roman"/>
          <w:sz w:val="32"/>
          <w:szCs w:val="32"/>
          <w:lang w:val="en-US" w:eastAsia="zh-CN"/>
        </w:rPr>
        <w:t>2025年度未</w:t>
      </w:r>
      <w:r>
        <w:rPr>
          <w:rFonts w:ascii="Times New Roman" w:hAnsi="Times New Roman" w:eastAsia="仿宋_GB2312" w:cs="Times New Roman"/>
          <w:sz w:val="32"/>
          <w:szCs w:val="32"/>
        </w:rPr>
        <w:t>举办节庆、晚会、论坛、赛事活动。</w:t>
      </w:r>
    </w:p>
    <w:p w14:paraId="46444DDD">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w:t>
      </w:r>
      <w:r>
        <w:rPr>
          <w:rFonts w:hint="eastAsia" w:ascii="Times New Roman" w:hAnsi="Times New Roman" w:cs="Times New Roman"/>
          <w:bCs/>
          <w:sz w:val="32"/>
          <w:szCs w:val="32"/>
          <w:lang w:val="en-US" w:eastAsia="zh-CN"/>
        </w:rPr>
        <w:t>二</w:t>
      </w:r>
      <w:r>
        <w:rPr>
          <w:rFonts w:ascii="Times New Roman" w:hAnsi="Times New Roman" w:cs="Times New Roman"/>
          <w:bCs/>
          <w:sz w:val="32"/>
          <w:szCs w:val="32"/>
        </w:rPr>
        <w:t>、关于政府采购支出说明</w:t>
      </w:r>
    </w:p>
    <w:p w14:paraId="533DD305">
      <w:pPr>
        <w:pStyle w:val="12"/>
        <w:overflowPunct w:val="0"/>
        <w:autoSpaceDE/>
        <w:autoSpaceDN/>
        <w:spacing w:line="600" w:lineRule="exact"/>
        <w:ind w:firstLine="640" w:firstLineChars="200"/>
        <w:jc w:val="both"/>
        <w:rPr>
          <w:rFonts w:ascii="Times New Roman" w:hAnsi="Times New Roman" w:eastAsia="楷体" w:cs="Times New Roman"/>
          <w:b/>
          <w:bCs/>
          <w:i/>
          <w:color w:val="auto"/>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年度政府采购支出总额</w:t>
      </w:r>
      <w:r>
        <w:rPr>
          <w:rFonts w:hint="eastAsia" w:ascii="Times New Roman" w:hAnsi="Times New Roman" w:eastAsia="仿宋_GB2312" w:cs="Times New Roman"/>
          <w:sz w:val="32"/>
          <w:szCs w:val="32"/>
          <w:lang w:val="en-US" w:eastAsia="zh-CN"/>
        </w:rPr>
        <w:t>5380</w:t>
      </w:r>
      <w:r>
        <w:rPr>
          <w:rFonts w:ascii="Times New Roman" w:hAnsi="Times New Roman" w:eastAsia="仿宋_GB2312" w:cs="Times New Roman"/>
          <w:sz w:val="32"/>
          <w:szCs w:val="32"/>
        </w:rPr>
        <w:t>万元，其中：政府采购货物支出</w:t>
      </w:r>
      <w:r>
        <w:rPr>
          <w:rFonts w:hint="eastAsia" w:ascii="Times New Roman" w:hAnsi="Times New Roman" w:eastAsia="仿宋_GB2312" w:cs="Times New Roman"/>
          <w:sz w:val="32"/>
          <w:szCs w:val="32"/>
          <w:lang w:val="en-US" w:eastAsia="zh-CN"/>
        </w:rPr>
        <w:t>210</w:t>
      </w:r>
      <w:r>
        <w:rPr>
          <w:rFonts w:ascii="Times New Roman" w:hAnsi="Times New Roman" w:eastAsia="仿宋_GB2312" w:cs="Times New Roman"/>
          <w:sz w:val="32"/>
          <w:szCs w:val="32"/>
        </w:rPr>
        <w:t xml:space="preserve"> 万元、政府采购工程支出</w:t>
      </w:r>
      <w:r>
        <w:rPr>
          <w:rFonts w:hint="eastAsia" w:ascii="Times New Roman" w:hAnsi="Times New Roman" w:eastAsia="仿宋_GB2312" w:cs="Times New Roman"/>
          <w:sz w:val="32"/>
          <w:szCs w:val="32"/>
          <w:lang w:val="en-US" w:eastAsia="zh-CN"/>
        </w:rPr>
        <w:t>4460</w:t>
      </w:r>
      <w:r>
        <w:rPr>
          <w:rFonts w:ascii="Times New Roman" w:hAnsi="Times New Roman" w:eastAsia="仿宋_GB2312" w:cs="Times New Roman"/>
          <w:sz w:val="32"/>
          <w:szCs w:val="32"/>
        </w:rPr>
        <w:t>万元、政府采购服务支出</w:t>
      </w:r>
      <w:r>
        <w:rPr>
          <w:rFonts w:hint="eastAsia" w:ascii="Times New Roman" w:hAnsi="Times New Roman" w:eastAsia="仿宋_GB2312" w:cs="Times New Roman"/>
          <w:sz w:val="32"/>
          <w:szCs w:val="32"/>
          <w:lang w:val="en-US" w:eastAsia="zh-CN"/>
        </w:rPr>
        <w:t>710</w:t>
      </w:r>
      <w:r>
        <w:rPr>
          <w:rFonts w:ascii="Times New Roman" w:hAnsi="Times New Roman" w:eastAsia="仿宋_GB2312" w:cs="Times New Roman"/>
          <w:sz w:val="32"/>
          <w:szCs w:val="32"/>
        </w:rPr>
        <w:t>万元。授予中小企业合同金额</w:t>
      </w:r>
      <w:r>
        <w:rPr>
          <w:rFonts w:hint="eastAsia" w:ascii="Times New Roman" w:hAnsi="Times New Roman" w:eastAsia="仿宋_GB2312" w:cs="Times New Roman"/>
          <w:sz w:val="32"/>
          <w:szCs w:val="32"/>
          <w:lang w:val="en-US" w:eastAsia="zh-CN"/>
        </w:rPr>
        <w:t>920</w:t>
      </w:r>
      <w:r>
        <w:rPr>
          <w:rFonts w:ascii="Times New Roman" w:hAnsi="Times New Roman" w:eastAsia="仿宋_GB2312" w:cs="Times New Roman"/>
          <w:sz w:val="32"/>
          <w:szCs w:val="32"/>
        </w:rPr>
        <w:t>万元，占政府采购支出总额的</w:t>
      </w:r>
      <w:r>
        <w:rPr>
          <w:rFonts w:hint="eastAsia" w:ascii="Times New Roman" w:hAnsi="Times New Roman" w:eastAsia="仿宋_GB2312" w:cs="Times New Roman"/>
          <w:sz w:val="32"/>
          <w:szCs w:val="32"/>
          <w:lang w:val="en-US" w:eastAsia="zh-CN"/>
        </w:rPr>
        <w:t>17.10</w:t>
      </w:r>
      <w:r>
        <w:rPr>
          <w:rFonts w:ascii="Times New Roman" w:hAnsi="Times New Roman" w:eastAsia="仿宋_GB2312" w:cs="Times New Roman"/>
          <w:sz w:val="32"/>
          <w:szCs w:val="32"/>
        </w:rPr>
        <w:t>%，其中：授予小微企业合同金额</w:t>
      </w:r>
      <w:r>
        <w:rPr>
          <w:rFonts w:hint="eastAsia" w:ascii="Times New Roman" w:hAnsi="Times New Roman" w:eastAsia="仿宋_GB2312" w:cs="Times New Roman"/>
          <w:sz w:val="32"/>
          <w:szCs w:val="32"/>
          <w:lang w:val="en-US" w:eastAsia="zh-CN"/>
        </w:rPr>
        <w:t>920</w:t>
      </w:r>
      <w:r>
        <w:rPr>
          <w:rFonts w:ascii="Times New Roman" w:hAnsi="Times New Roman" w:eastAsia="仿宋_GB2312" w:cs="Times New Roman"/>
          <w:sz w:val="32"/>
          <w:szCs w:val="32"/>
        </w:rPr>
        <w:t>万元，</w:t>
      </w:r>
      <w:r>
        <w:rPr>
          <w:rFonts w:ascii="Times New Roman" w:hAnsi="Times New Roman" w:eastAsia="仿宋_GB2312" w:cs="Times New Roman"/>
          <w:color w:val="auto"/>
          <w:sz w:val="32"/>
          <w:szCs w:val="32"/>
        </w:rPr>
        <w:t>占授予中小企业合同金额的</w:t>
      </w:r>
      <w:r>
        <w:rPr>
          <w:rFonts w:hint="eastAsia" w:ascii="Times New Roman" w:hAnsi="Times New Roman" w:eastAsia="仿宋_GB2312" w:cs="Times New Roman"/>
          <w:color w:val="auto"/>
          <w:sz w:val="32"/>
          <w:szCs w:val="32"/>
          <w:lang w:val="en-US" w:eastAsia="zh-CN"/>
        </w:rPr>
        <w:t>100</w:t>
      </w:r>
      <w:r>
        <w:rPr>
          <w:rFonts w:ascii="Times New Roman" w:hAnsi="Times New Roman" w:eastAsia="仿宋_GB2312" w:cs="Times New Roman"/>
          <w:color w:val="auto"/>
          <w:sz w:val="32"/>
          <w:szCs w:val="32"/>
        </w:rPr>
        <w:t>%。货物采购授予中小企业合同金额占货物支出金额的</w:t>
      </w:r>
      <w:r>
        <w:rPr>
          <w:rFonts w:hint="eastAsia" w:ascii="Times New Roman" w:hAnsi="Times New Roman" w:eastAsia="仿宋_GB2312" w:cs="Times New Roman"/>
          <w:color w:val="auto"/>
          <w:sz w:val="32"/>
          <w:szCs w:val="32"/>
          <w:lang w:val="en-US" w:eastAsia="zh-CN"/>
        </w:rPr>
        <w:t>3.90</w:t>
      </w:r>
      <w:r>
        <w:rPr>
          <w:rFonts w:ascii="Times New Roman" w:hAnsi="Times New Roman" w:eastAsia="仿宋_GB2312" w:cs="Times New Roman"/>
          <w:color w:val="auto"/>
          <w:sz w:val="32"/>
          <w:szCs w:val="32"/>
        </w:rPr>
        <w:t>%，工程采购授予中小企业合同金额占工程支出金额的</w:t>
      </w:r>
      <w:r>
        <w:rPr>
          <w:rFonts w:hint="eastAsia" w:ascii="Times New Roman" w:hAnsi="Times New Roman" w:eastAsia="仿宋_GB2312" w:cs="Times New Roman"/>
          <w:color w:val="auto"/>
          <w:sz w:val="32"/>
          <w:szCs w:val="32"/>
          <w:lang w:val="en-US" w:eastAsia="zh-CN"/>
        </w:rPr>
        <w:t>82.90</w:t>
      </w:r>
      <w:r>
        <w:rPr>
          <w:rFonts w:ascii="Times New Roman" w:hAnsi="Times New Roman" w:eastAsia="仿宋_GB2312" w:cs="Times New Roman"/>
          <w:color w:val="auto"/>
          <w:sz w:val="32"/>
          <w:szCs w:val="32"/>
        </w:rPr>
        <w:t>%，服务采购授予中小企业合同金额占服务支出金额的</w:t>
      </w:r>
      <w:r>
        <w:rPr>
          <w:rFonts w:hint="eastAsia" w:ascii="Times New Roman" w:hAnsi="Times New Roman" w:eastAsia="仿宋_GB2312" w:cs="Times New Roman"/>
          <w:color w:val="auto"/>
          <w:sz w:val="32"/>
          <w:szCs w:val="32"/>
          <w:lang w:val="en-US" w:eastAsia="zh-CN"/>
        </w:rPr>
        <w:t>13.20</w:t>
      </w:r>
      <w:r>
        <w:rPr>
          <w:rFonts w:ascii="Times New Roman" w:hAnsi="Times New Roman" w:eastAsia="仿宋_GB2312" w:cs="Times New Roman"/>
          <w:color w:val="auto"/>
          <w:sz w:val="32"/>
          <w:szCs w:val="32"/>
        </w:rPr>
        <w:t>%。</w:t>
      </w:r>
    </w:p>
    <w:p w14:paraId="7EB97A83">
      <w:pPr>
        <w:pStyle w:val="12"/>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w:t>
      </w:r>
      <w:r>
        <w:rPr>
          <w:rFonts w:hint="eastAsia" w:ascii="Times New Roman" w:hAnsi="Times New Roman" w:cs="Times New Roman"/>
          <w:bCs/>
          <w:color w:val="auto"/>
          <w:sz w:val="32"/>
          <w:szCs w:val="32"/>
          <w:lang w:val="en-US" w:eastAsia="zh-CN"/>
        </w:rPr>
        <w:t>三</w:t>
      </w:r>
      <w:r>
        <w:rPr>
          <w:rFonts w:ascii="Times New Roman" w:hAnsi="Times New Roman" w:cs="Times New Roman"/>
          <w:bCs/>
          <w:color w:val="auto"/>
          <w:sz w:val="32"/>
          <w:szCs w:val="32"/>
        </w:rPr>
        <w:t>、关于国有资产占用情况说明</w:t>
      </w:r>
    </w:p>
    <w:p w14:paraId="00312AE0">
      <w:pPr>
        <w:pStyle w:val="12"/>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截至202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年12月31日，部门（单位）共有车辆</w:t>
      </w:r>
      <w:r>
        <w:rPr>
          <w:rFonts w:hint="eastAsia" w:ascii="Times New Roman" w:hAnsi="Times New Roman" w:eastAsia="仿宋_GB2312" w:cs="Times New Roman"/>
          <w:color w:val="auto"/>
          <w:sz w:val="32"/>
          <w:szCs w:val="32"/>
          <w:lang w:val="en-US" w:eastAsia="zh-CN"/>
        </w:rPr>
        <w:t>6</w:t>
      </w:r>
      <w:r>
        <w:rPr>
          <w:rFonts w:ascii="Times New Roman" w:hAnsi="Times New Roman" w:eastAsia="仿宋_GB2312" w:cs="Times New Roman"/>
          <w:color w:val="auto"/>
          <w:sz w:val="32"/>
          <w:szCs w:val="32"/>
        </w:rPr>
        <w:t>辆，其中，副部（省）级及以上领导用车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辆、主要负责人用车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辆、机要通信用车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辆、应急保障用车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辆、执法执勤用车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辆、特种专业技术用车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辆、离退休干部服务用车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辆、其他用车</w:t>
      </w:r>
      <w:r>
        <w:rPr>
          <w:rFonts w:hint="eastAsia" w:ascii="Times New Roman" w:hAnsi="Times New Roman" w:eastAsia="仿宋_GB2312" w:cs="Times New Roman"/>
          <w:color w:val="auto"/>
          <w:sz w:val="32"/>
          <w:szCs w:val="32"/>
          <w:lang w:val="en-US" w:eastAsia="zh-CN"/>
        </w:rPr>
        <w:t>6</w:t>
      </w:r>
      <w:r>
        <w:rPr>
          <w:rFonts w:ascii="Times New Roman" w:hAnsi="Times New Roman" w:eastAsia="仿宋_GB2312" w:cs="Times New Roman"/>
          <w:color w:val="auto"/>
          <w:sz w:val="32"/>
          <w:szCs w:val="32"/>
        </w:rPr>
        <w:t>辆，其他用车主要是</w:t>
      </w:r>
      <w:r>
        <w:rPr>
          <w:rFonts w:hint="eastAsia" w:ascii="仿宋" w:hAnsi="仿宋" w:eastAsia="仿宋" w:cs="仿宋"/>
          <w:sz w:val="32"/>
          <w:szCs w:val="32"/>
        </w:rPr>
        <w:t>单位业务工作用车</w:t>
      </w:r>
      <w:r>
        <w:rPr>
          <w:rFonts w:ascii="Times New Roman" w:hAnsi="Times New Roman" w:eastAsia="仿宋_GB2312" w:cs="Times New Roman"/>
          <w:color w:val="auto"/>
          <w:sz w:val="32"/>
          <w:szCs w:val="32"/>
        </w:rPr>
        <w:t>；单位价值100万元以上设备（不含车辆）</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台（套）。</w:t>
      </w:r>
    </w:p>
    <w:p w14:paraId="46C0934B">
      <w:pPr>
        <w:pStyle w:val="12"/>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w:t>
      </w:r>
      <w:r>
        <w:rPr>
          <w:rFonts w:hint="eastAsia" w:ascii="Times New Roman" w:hAnsi="Times New Roman" w:cs="Times New Roman"/>
          <w:bCs/>
          <w:color w:val="auto"/>
          <w:sz w:val="32"/>
          <w:szCs w:val="32"/>
          <w:lang w:val="en-US" w:eastAsia="zh-CN"/>
        </w:rPr>
        <w:t>四</w:t>
      </w:r>
      <w:r>
        <w:rPr>
          <w:rFonts w:ascii="Times New Roman" w:hAnsi="Times New Roman" w:cs="Times New Roman"/>
          <w:bCs/>
          <w:color w:val="auto"/>
          <w:sz w:val="32"/>
          <w:szCs w:val="32"/>
        </w:rPr>
        <w:t>、关于</w:t>
      </w: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lang w:val="en-US" w:eastAsia="zh-CN"/>
        </w:rPr>
        <w:t>5</w:t>
      </w:r>
      <w:r>
        <w:rPr>
          <w:rFonts w:ascii="Times New Roman" w:hAnsi="Times New Roman" w:cs="Times New Roman"/>
          <w:bCs/>
          <w:color w:val="auto"/>
          <w:sz w:val="32"/>
          <w:szCs w:val="32"/>
        </w:rPr>
        <w:t>年度预算绩效情况的说明</w:t>
      </w:r>
    </w:p>
    <w:p w14:paraId="42629187">
      <w:pPr>
        <w:overflowPunct w:val="0"/>
        <w:spacing w:line="600" w:lineRule="exact"/>
        <w:ind w:firstLine="640" w:firstLineChars="200"/>
        <w:rPr>
          <w:rFonts w:ascii="Times New Roman" w:hAnsi="Times New Roman" w:eastAsia="楷体" w:cs="Times New Roman"/>
          <w:b/>
          <w:bCs/>
          <w:sz w:val="32"/>
          <w:szCs w:val="32"/>
          <w:highlight w:val="none"/>
        </w:rPr>
      </w:pPr>
      <w:r>
        <w:rPr>
          <w:rFonts w:ascii="Times New Roman" w:hAnsi="Times New Roman" w:eastAsia="楷体_GB2312" w:cs="Times New Roman"/>
          <w:b/>
          <w:bCs/>
          <w:sz w:val="32"/>
          <w:szCs w:val="32"/>
        </w:rPr>
        <w:t>（一）绩效评价工作开展情况。</w:t>
      </w:r>
      <w:r>
        <w:rPr>
          <w:rFonts w:ascii="Times New Roman" w:hAnsi="Times New Roman" w:eastAsia="仿宋_GB2312" w:cs="Times New Roman"/>
          <w:b/>
          <w:bCs/>
          <w:kern w:val="0"/>
          <w:sz w:val="32"/>
          <w:szCs w:val="32"/>
        </w:rPr>
        <w:t>一是绩效自评开展情况。</w:t>
      </w:r>
      <w:r>
        <w:rPr>
          <w:rFonts w:ascii="Times New Roman" w:hAnsi="Times New Roman" w:eastAsia="仿宋_GB2312" w:cs="Times New Roman"/>
          <w:kern w:val="0"/>
          <w:sz w:val="32"/>
          <w:szCs w:val="32"/>
        </w:rPr>
        <w:t>组织对202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年度本部门（单位）整体支出开展绩效自评，涉及项目</w:t>
      </w:r>
      <w:r>
        <w:rPr>
          <w:rFonts w:hint="eastAsia" w:ascii="Times New Roman" w:hAnsi="Times New Roman" w:eastAsia="仿宋_GB2312" w:cs="Times New Roman"/>
          <w:kern w:val="0"/>
          <w:sz w:val="32"/>
          <w:szCs w:val="32"/>
          <w:lang w:val="en-US" w:eastAsia="zh-CN"/>
        </w:rPr>
        <w:t>24</w:t>
      </w:r>
      <w:r>
        <w:rPr>
          <w:rFonts w:ascii="Times New Roman" w:hAnsi="Times New Roman" w:eastAsia="仿宋_GB2312" w:cs="Times New Roman"/>
          <w:kern w:val="0"/>
          <w:sz w:val="32"/>
          <w:szCs w:val="32"/>
        </w:rPr>
        <w:t xml:space="preserve"> 个，共涉及资金</w:t>
      </w:r>
      <w:r>
        <w:rPr>
          <w:rFonts w:hint="eastAsia" w:ascii="Times New Roman" w:hAnsi="Times New Roman" w:eastAsia="仿宋_GB2312" w:cs="Times New Roman"/>
          <w:kern w:val="0"/>
          <w:sz w:val="32"/>
          <w:szCs w:val="32"/>
          <w:lang w:val="en-US" w:eastAsia="zh-CN"/>
        </w:rPr>
        <w:t>218371.98</w:t>
      </w:r>
      <w:r>
        <w:rPr>
          <w:rFonts w:ascii="Times New Roman" w:hAnsi="Times New Roman" w:eastAsia="仿宋_GB2312" w:cs="Times New Roman"/>
          <w:kern w:val="0"/>
          <w:sz w:val="32"/>
          <w:szCs w:val="32"/>
        </w:rPr>
        <w:t>万元。其中，一般公共预算项目</w:t>
      </w:r>
      <w:r>
        <w:rPr>
          <w:rFonts w:hint="eastAsia" w:ascii="Times New Roman" w:hAnsi="Times New Roman" w:eastAsia="仿宋_GB2312" w:cs="Times New Roman"/>
          <w:kern w:val="0"/>
          <w:sz w:val="32"/>
          <w:szCs w:val="32"/>
          <w:lang w:val="en-US" w:eastAsia="zh-CN"/>
        </w:rPr>
        <w:t>21</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5224.18</w:t>
      </w:r>
      <w:r>
        <w:rPr>
          <w:rFonts w:ascii="Times New Roman" w:hAnsi="Times New Roman" w:eastAsia="仿宋_GB2312" w:cs="Times New Roman"/>
          <w:kern w:val="0"/>
          <w:sz w:val="32"/>
          <w:szCs w:val="32"/>
        </w:rPr>
        <w:t xml:space="preserve"> 万元，占一般公共预算支出总额的</w:t>
      </w:r>
      <w:r>
        <w:rPr>
          <w:rFonts w:hint="eastAsia" w:ascii="Times New Roman" w:hAnsi="Times New Roman" w:eastAsia="仿宋_GB2312" w:cs="Times New Roman"/>
          <w:kern w:val="0"/>
          <w:sz w:val="32"/>
          <w:szCs w:val="32"/>
          <w:lang w:val="en-US" w:eastAsia="zh-CN"/>
        </w:rPr>
        <w:t>70.03</w:t>
      </w:r>
      <w:r>
        <w:rPr>
          <w:rFonts w:ascii="Times New Roman" w:hAnsi="Times New Roman" w:eastAsia="仿宋_GB2312" w:cs="Times New Roman"/>
          <w:kern w:val="0"/>
          <w:sz w:val="32"/>
          <w:szCs w:val="32"/>
        </w:rPr>
        <w:t>%；政府性基金预算项目</w:t>
      </w:r>
      <w:r>
        <w:rPr>
          <w:rFonts w:hint="eastAsia" w:ascii="Times New Roman" w:hAnsi="Times New Roman" w:eastAsia="仿宋_GB2312" w:cs="Times New Roman"/>
          <w:kern w:val="0"/>
          <w:sz w:val="32"/>
          <w:szCs w:val="32"/>
          <w:lang w:val="en-US" w:eastAsia="zh-CN"/>
        </w:rPr>
        <w:t>3</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213147.80</w:t>
      </w:r>
      <w:r>
        <w:rPr>
          <w:rFonts w:ascii="Times New Roman" w:hAnsi="Times New Roman" w:eastAsia="仿宋_GB2312" w:cs="Times New Roman"/>
          <w:kern w:val="0"/>
          <w:sz w:val="32"/>
          <w:szCs w:val="32"/>
        </w:rPr>
        <w:t xml:space="preserve"> 万元，占政府性基金预算支出总额的</w:t>
      </w:r>
      <w:r>
        <w:rPr>
          <w:rFonts w:hint="eastAsia" w:ascii="Times New Roman" w:hAnsi="Times New Roman" w:eastAsia="仿宋_GB2312" w:cs="Times New Roman"/>
          <w:kern w:val="0"/>
          <w:sz w:val="32"/>
          <w:szCs w:val="32"/>
          <w:lang w:val="en-US" w:eastAsia="zh-CN"/>
        </w:rPr>
        <w:t>100</w:t>
      </w:r>
      <w:r>
        <w:rPr>
          <w:rFonts w:ascii="Times New Roman" w:hAnsi="Times New Roman" w:eastAsia="仿宋_GB2312" w:cs="Times New Roman"/>
          <w:kern w:val="0"/>
          <w:sz w:val="32"/>
          <w:szCs w:val="32"/>
        </w:rPr>
        <w:t>%；国有资本经营预算项目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万元，占国有资本经营预算支出总额的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%；社会保险基金预算项目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万元，占社会保险基金预算支出总额的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w:t>
      </w:r>
      <w:r>
        <w:rPr>
          <w:rFonts w:ascii="Times New Roman" w:hAnsi="Times New Roman" w:eastAsia="仿宋_GB2312" w:cs="Times New Roman"/>
          <w:b/>
          <w:bCs/>
          <w:kern w:val="0"/>
          <w:sz w:val="32"/>
          <w:szCs w:val="32"/>
        </w:rPr>
        <w:t>二是部门评价开展情况。</w:t>
      </w:r>
      <w:r>
        <w:rPr>
          <w:rFonts w:ascii="Times New Roman" w:hAnsi="Times New Roman" w:eastAsia="仿宋_GB2312" w:cs="Times New Roman"/>
          <w:kern w:val="0"/>
          <w:sz w:val="32"/>
          <w:szCs w:val="32"/>
        </w:rPr>
        <w:t>组织对所属单位202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w:t>
      </w:r>
      <w:r>
        <w:rPr>
          <w:rFonts w:hint="eastAsia" w:ascii="Times New Roman" w:hAnsi="Times New Roman" w:eastAsia="仿宋_GB2312" w:cs="Times New Roman"/>
          <w:kern w:val="0"/>
          <w:sz w:val="32"/>
          <w:szCs w:val="32"/>
        </w:rPr>
        <w:t>创文明路面建设城区道路改造</w:t>
      </w:r>
      <w:r>
        <w:rPr>
          <w:rFonts w:ascii="Times New Roman" w:hAnsi="Times New Roman" w:eastAsia="仿宋_GB2312" w:cs="Times New Roman"/>
          <w:kern w:val="0"/>
          <w:sz w:val="32"/>
          <w:szCs w:val="32"/>
        </w:rPr>
        <w:t>”“</w:t>
      </w:r>
      <w:r>
        <w:rPr>
          <w:rFonts w:hint="eastAsia" w:ascii="Times New Roman" w:hAnsi="Times New Roman" w:eastAsia="仿宋_GB2312" w:cs="Times New Roman"/>
          <w:kern w:val="0"/>
          <w:sz w:val="32"/>
          <w:szCs w:val="32"/>
        </w:rPr>
        <w:t>地下市政基础设施普查</w:t>
      </w:r>
      <w:r>
        <w:rPr>
          <w:rFonts w:ascii="Times New Roman" w:hAnsi="Times New Roman" w:eastAsia="仿宋_GB2312" w:cs="Times New Roman"/>
          <w:kern w:val="0"/>
          <w:sz w:val="32"/>
          <w:szCs w:val="32"/>
        </w:rPr>
        <w:t>”</w:t>
      </w:r>
      <w:r>
        <w:rPr>
          <w:rFonts w:hint="eastAsia" w:ascii="Times New Roman" w:hAnsi="Times New Roman" w:eastAsia="仿宋_GB2312" w:cs="Times New Roman"/>
          <w:kern w:val="0"/>
          <w:sz w:val="32"/>
          <w:szCs w:val="32"/>
          <w:lang w:eastAsia="zh-CN"/>
        </w:rPr>
        <w:t>“</w:t>
      </w:r>
      <w:r>
        <w:rPr>
          <w:rFonts w:hint="eastAsia" w:ascii="Times New Roman" w:hAnsi="Times New Roman" w:eastAsia="仿宋_GB2312" w:cs="Times New Roman"/>
          <w:kern w:val="0"/>
          <w:sz w:val="32"/>
          <w:szCs w:val="32"/>
        </w:rPr>
        <w:t>城市建设支出项目　</w:t>
      </w:r>
      <w:r>
        <w:rPr>
          <w:rFonts w:hint="eastAsia" w:ascii="Times New Roman" w:hAnsi="Times New Roman" w:eastAsia="仿宋_GB2312" w:cs="Times New Roman"/>
          <w:kern w:val="0"/>
          <w:sz w:val="32"/>
          <w:szCs w:val="32"/>
          <w:lang w:eastAsia="zh-CN"/>
        </w:rPr>
        <w:t>”“</w:t>
      </w:r>
      <w:bookmarkStart w:id="0" w:name="OLE_LINK2"/>
      <w:r>
        <w:rPr>
          <w:rFonts w:hint="eastAsia" w:ascii="Times New Roman" w:hAnsi="Times New Roman" w:eastAsia="仿宋_GB2312" w:cs="Times New Roman"/>
          <w:kern w:val="0"/>
          <w:sz w:val="32"/>
          <w:szCs w:val="32"/>
        </w:rPr>
        <w:t>主城区城市基础设施改造</w:t>
      </w:r>
      <w:bookmarkEnd w:id="0"/>
      <w:r>
        <w:rPr>
          <w:rFonts w:hint="eastAsia" w:ascii="Times New Roman" w:hAnsi="Times New Roman" w:eastAsia="仿宋_GB2312" w:cs="Times New Roman"/>
          <w:kern w:val="0"/>
          <w:sz w:val="32"/>
          <w:szCs w:val="32"/>
        </w:rPr>
        <w:t>　</w:t>
      </w:r>
      <w:r>
        <w:rPr>
          <w:rFonts w:hint="eastAsia" w:ascii="Times New Roman" w:hAnsi="Times New Roman" w:eastAsia="仿宋_GB2312" w:cs="Times New Roman"/>
          <w:kern w:val="0"/>
          <w:sz w:val="32"/>
          <w:szCs w:val="32"/>
          <w:lang w:eastAsia="zh-CN"/>
        </w:rPr>
        <w:t>”“</w:t>
      </w:r>
      <w:r>
        <w:rPr>
          <w:rFonts w:hint="eastAsia" w:ascii="Times New Roman" w:hAnsi="Times New Roman" w:eastAsia="仿宋_GB2312" w:cs="Times New Roman"/>
          <w:kern w:val="0"/>
          <w:sz w:val="32"/>
          <w:szCs w:val="32"/>
        </w:rPr>
        <w:t>太平溪截污干管84#井周边片区雨污分流改造项目</w:t>
      </w:r>
      <w:r>
        <w:rPr>
          <w:rFonts w:hint="eastAsia"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等</w:t>
      </w:r>
      <w:r>
        <w:rPr>
          <w:rFonts w:hint="eastAsia" w:ascii="Times New Roman" w:hAnsi="Times New Roman" w:eastAsia="仿宋_GB2312" w:cs="Times New Roman"/>
          <w:kern w:val="0"/>
          <w:sz w:val="32"/>
          <w:szCs w:val="32"/>
          <w:lang w:eastAsia="zh-CN"/>
        </w:rPr>
        <w:t>“</w:t>
      </w:r>
      <w:r>
        <w:rPr>
          <w:rFonts w:hint="eastAsia" w:ascii="Times New Roman" w:hAnsi="Times New Roman" w:eastAsia="仿宋_GB2312" w:cs="Times New Roman"/>
          <w:kern w:val="0"/>
          <w:sz w:val="32"/>
          <w:szCs w:val="32"/>
          <w:lang w:val="en-US" w:eastAsia="zh-CN"/>
        </w:rPr>
        <w:t>24</w:t>
      </w:r>
      <w:r>
        <w:rPr>
          <w:rFonts w:ascii="Times New Roman" w:hAnsi="Times New Roman" w:eastAsia="仿宋_GB2312" w:cs="Times New Roman"/>
          <w:kern w:val="0"/>
          <w:sz w:val="32"/>
          <w:szCs w:val="32"/>
        </w:rPr>
        <w:t>个项目开展了部门评价，涉及一般公共预算支出</w:t>
      </w:r>
      <w:r>
        <w:rPr>
          <w:rFonts w:hint="eastAsia" w:ascii="Times New Roman" w:hAnsi="Times New Roman" w:eastAsia="仿宋_GB2312" w:cs="Times New Roman"/>
          <w:kern w:val="0"/>
          <w:sz w:val="32"/>
          <w:szCs w:val="32"/>
          <w:lang w:val="en-US" w:eastAsia="zh-CN"/>
        </w:rPr>
        <w:t>5224.18</w:t>
      </w:r>
      <w:r>
        <w:rPr>
          <w:rFonts w:ascii="Times New Roman" w:hAnsi="Times New Roman" w:eastAsia="仿宋_GB2312" w:cs="Times New Roman"/>
          <w:kern w:val="0"/>
          <w:sz w:val="32"/>
          <w:szCs w:val="32"/>
        </w:rPr>
        <w:t xml:space="preserve"> 万元，政府性基金预算支出</w:t>
      </w:r>
      <w:r>
        <w:rPr>
          <w:rFonts w:hint="eastAsia" w:ascii="Times New Roman" w:hAnsi="Times New Roman" w:eastAsia="仿宋_GB2312" w:cs="Times New Roman"/>
          <w:kern w:val="0"/>
          <w:sz w:val="32"/>
          <w:szCs w:val="32"/>
          <w:lang w:val="en-US" w:eastAsia="zh-CN"/>
        </w:rPr>
        <w:t>213147.80</w:t>
      </w:r>
      <w:r>
        <w:rPr>
          <w:rFonts w:ascii="Times New Roman" w:hAnsi="Times New Roman" w:eastAsia="仿宋_GB2312" w:cs="Times New Roman"/>
          <w:kern w:val="0"/>
          <w:sz w:val="32"/>
          <w:szCs w:val="32"/>
        </w:rPr>
        <w:t xml:space="preserve"> 万元，国有资本经营预算支出</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万元，社会保险基金预算支出</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万元。三是事前绩效评估开展情况</w:t>
      </w:r>
      <w:r>
        <w:rPr>
          <w:rFonts w:ascii="Times New Roman" w:hAnsi="Times New Roman" w:eastAsia="仿宋_GB2312" w:cs="Times New Roman"/>
          <w:b/>
          <w:bCs/>
          <w:kern w:val="0"/>
          <w:sz w:val="32"/>
          <w:szCs w:val="32"/>
        </w:rPr>
        <w:t>。</w:t>
      </w:r>
      <w:r>
        <w:rPr>
          <w:rFonts w:ascii="Times New Roman" w:hAnsi="Times New Roman" w:eastAsia="仿宋_GB2312" w:cs="Times New Roman"/>
          <w:kern w:val="0"/>
          <w:sz w:val="32"/>
          <w:szCs w:val="32"/>
        </w:rPr>
        <w:t>组织对202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highlight w:val="none"/>
        </w:rPr>
        <w:t>年度</w:t>
      </w:r>
      <w:r>
        <w:rPr>
          <w:rFonts w:hint="eastAsia" w:ascii="Times New Roman" w:hAnsi="Times New Roman" w:eastAsia="仿宋_GB2312" w:cs="Times New Roman"/>
          <w:sz w:val="32"/>
          <w:szCs w:val="32"/>
          <w:highlight w:val="none"/>
          <w:lang w:val="en-US" w:eastAsia="zh-CN"/>
        </w:rPr>
        <w:t>0</w:t>
      </w:r>
      <w:r>
        <w:rPr>
          <w:rFonts w:ascii="Times New Roman" w:hAnsi="Times New Roman" w:eastAsia="仿宋_GB2312" w:cs="Times New Roman"/>
          <w:kern w:val="0"/>
          <w:sz w:val="32"/>
          <w:szCs w:val="32"/>
          <w:highlight w:val="none"/>
        </w:rPr>
        <w:t>个新增重大政策和</w:t>
      </w:r>
      <w:r>
        <w:rPr>
          <w:rFonts w:hint="eastAsia" w:ascii="Times New Roman" w:hAnsi="Times New Roman" w:eastAsia="仿宋_GB2312" w:cs="Times New Roman"/>
          <w:kern w:val="0"/>
          <w:sz w:val="32"/>
          <w:szCs w:val="32"/>
          <w:highlight w:val="none"/>
          <w:lang w:val="en-US" w:eastAsia="zh-CN"/>
        </w:rPr>
        <w:t>5</w:t>
      </w:r>
      <w:r>
        <w:rPr>
          <w:rFonts w:ascii="Times New Roman" w:hAnsi="Times New Roman" w:eastAsia="仿宋_GB2312" w:cs="Times New Roman"/>
          <w:kern w:val="0"/>
          <w:sz w:val="32"/>
          <w:szCs w:val="32"/>
          <w:highlight w:val="none"/>
        </w:rPr>
        <w:t>个重大项目开展事前绩效评估，共涉及资金</w:t>
      </w:r>
      <w:r>
        <w:rPr>
          <w:rFonts w:hint="eastAsia" w:ascii="Times New Roman" w:hAnsi="Times New Roman" w:eastAsia="仿宋_GB2312" w:cs="Times New Roman"/>
          <w:kern w:val="0"/>
          <w:sz w:val="32"/>
          <w:szCs w:val="32"/>
          <w:highlight w:val="none"/>
          <w:lang w:val="en-US" w:eastAsia="zh-CN"/>
        </w:rPr>
        <w:t>13287</w:t>
      </w:r>
      <w:r>
        <w:rPr>
          <w:rFonts w:ascii="Times New Roman" w:hAnsi="Times New Roman" w:eastAsia="仿宋_GB2312" w:cs="Times New Roman"/>
          <w:kern w:val="0"/>
          <w:sz w:val="32"/>
          <w:szCs w:val="32"/>
          <w:highlight w:val="none"/>
        </w:rPr>
        <w:t>万元。</w:t>
      </w:r>
    </w:p>
    <w:p w14:paraId="2C6FA494">
      <w:pPr>
        <w:keepNext w:val="0"/>
        <w:keepLines w:val="0"/>
        <w:pageBreakBefore w:val="0"/>
        <w:widowControl w:val="0"/>
        <w:kinsoku/>
        <w:wordWrap/>
        <w:overflowPunct/>
        <w:topLinePunct w:val="0"/>
        <w:autoSpaceDE/>
        <w:autoSpaceDN/>
        <w:bidi w:val="0"/>
        <w:adjustRightInd/>
        <w:snapToGrid w:val="0"/>
        <w:spacing w:line="580" w:lineRule="exact"/>
        <w:ind w:firstLine="640" w:firstLineChars="200"/>
        <w:jc w:val="both"/>
        <w:textAlignment w:val="auto"/>
        <w:rPr>
          <w:rFonts w:hint="eastAsia" w:ascii="仿宋" w:hAnsi="仿宋" w:eastAsia="仿宋" w:cstheme="minorBidi"/>
          <w:color w:val="000000"/>
          <w:kern w:val="0"/>
          <w:sz w:val="32"/>
          <w:szCs w:val="24"/>
          <w:shd w:val="clear" w:color="auto" w:fill="FFFFFF"/>
          <w:lang w:val="en-US" w:eastAsia="zh-CN" w:bidi="ar-SA"/>
        </w:rPr>
      </w:pPr>
      <w:r>
        <w:rPr>
          <w:rFonts w:ascii="Times New Roman" w:hAnsi="Times New Roman" w:eastAsia="楷体_GB2312" w:cs="Times New Roman"/>
          <w:b/>
          <w:bCs/>
          <w:sz w:val="32"/>
          <w:szCs w:val="32"/>
        </w:rPr>
        <w:t>（二）绩效评价结果。</w:t>
      </w:r>
      <w:r>
        <w:rPr>
          <w:rFonts w:ascii="Times New Roman" w:hAnsi="Times New Roman" w:eastAsia="仿宋_GB2312" w:cs="Times New Roman"/>
          <w:b/>
          <w:bCs/>
          <w:kern w:val="0"/>
          <w:sz w:val="32"/>
          <w:szCs w:val="32"/>
        </w:rPr>
        <w:t>一是绩效自评结果。</w:t>
      </w:r>
      <w:r>
        <w:rPr>
          <w:rFonts w:ascii="Times New Roman" w:hAnsi="Times New Roman" w:eastAsia="仿宋_GB2312" w:cs="Times New Roman"/>
          <w:kern w:val="0"/>
          <w:sz w:val="32"/>
          <w:szCs w:val="32"/>
        </w:rPr>
        <w:t>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年度本部门（单位）整体支出全年预算数</w:t>
      </w:r>
      <w:r>
        <w:rPr>
          <w:rFonts w:hint="eastAsia" w:ascii="Times New Roman" w:hAnsi="Times New Roman" w:eastAsia="仿宋_GB2312" w:cs="Times New Roman"/>
          <w:kern w:val="0"/>
          <w:sz w:val="32"/>
          <w:szCs w:val="32"/>
        </w:rPr>
        <w:t>231813.79</w:t>
      </w:r>
      <w:r>
        <w:rPr>
          <w:rFonts w:ascii="Times New Roman" w:hAnsi="Times New Roman" w:eastAsia="仿宋_GB2312" w:cs="Times New Roman"/>
          <w:kern w:val="0"/>
          <w:sz w:val="32"/>
          <w:szCs w:val="32"/>
        </w:rPr>
        <w:t>万元，执行数</w:t>
      </w:r>
      <w:r>
        <w:rPr>
          <w:rFonts w:hint="eastAsia" w:ascii="Times New Roman" w:hAnsi="Times New Roman" w:eastAsia="仿宋_GB2312" w:cs="Times New Roman"/>
          <w:kern w:val="0"/>
          <w:sz w:val="32"/>
          <w:szCs w:val="32"/>
        </w:rPr>
        <w:t>220609.97</w:t>
      </w:r>
      <w:r>
        <w:rPr>
          <w:rFonts w:ascii="Times New Roman" w:hAnsi="Times New Roman" w:eastAsia="仿宋_GB2312" w:cs="Times New Roman"/>
          <w:kern w:val="0"/>
          <w:sz w:val="32"/>
          <w:szCs w:val="32"/>
        </w:rPr>
        <w:t>万元，完成预算的</w:t>
      </w:r>
      <w:r>
        <w:rPr>
          <w:rFonts w:hint="eastAsia" w:ascii="Times New Roman" w:hAnsi="Times New Roman" w:eastAsia="仿宋_GB2312" w:cs="Times New Roman"/>
          <w:kern w:val="0"/>
          <w:sz w:val="32"/>
          <w:szCs w:val="32"/>
          <w:lang w:val="en-US" w:eastAsia="zh-CN"/>
        </w:rPr>
        <w:t>95.17</w:t>
      </w:r>
      <w:r>
        <w:rPr>
          <w:rFonts w:ascii="Times New Roman" w:hAnsi="Times New Roman" w:eastAsia="仿宋_GB2312" w:cs="Times New Roman"/>
          <w:kern w:val="0"/>
          <w:sz w:val="32"/>
          <w:szCs w:val="32"/>
        </w:rPr>
        <w:t>%，绩效自评得分</w:t>
      </w:r>
      <w:r>
        <w:rPr>
          <w:rFonts w:hint="eastAsia" w:ascii="Times New Roman" w:hAnsi="Times New Roman" w:eastAsia="仿宋_GB2312" w:cs="Times New Roman"/>
          <w:kern w:val="0"/>
          <w:sz w:val="32"/>
          <w:szCs w:val="32"/>
          <w:lang w:val="en-US" w:eastAsia="zh-CN"/>
        </w:rPr>
        <w:t>91.52</w:t>
      </w:r>
      <w:r>
        <w:rPr>
          <w:rFonts w:ascii="Times New Roman" w:hAnsi="Times New Roman" w:eastAsia="仿宋_GB2312" w:cs="Times New Roman"/>
          <w:kern w:val="0"/>
          <w:sz w:val="32"/>
          <w:szCs w:val="32"/>
        </w:rPr>
        <w:t>分，评价等级为“</w:t>
      </w:r>
      <w:r>
        <w:rPr>
          <w:rFonts w:hint="eastAsia" w:ascii="Times New Roman" w:hAnsi="Times New Roman" w:eastAsia="仿宋_GB2312" w:cs="Times New Roman"/>
          <w:kern w:val="0"/>
          <w:sz w:val="32"/>
          <w:szCs w:val="32"/>
          <w:lang w:val="en-US" w:eastAsia="zh-CN"/>
        </w:rPr>
        <w:t>优</w:t>
      </w:r>
      <w:r>
        <w:rPr>
          <w:rFonts w:ascii="Times New Roman" w:hAnsi="Times New Roman" w:eastAsia="仿宋_GB2312" w:cs="Times New Roman"/>
          <w:kern w:val="0"/>
          <w:sz w:val="32"/>
          <w:szCs w:val="32"/>
        </w:rPr>
        <w:t>”。绩效目标完成情况：一是</w:t>
      </w:r>
      <w:r>
        <w:rPr>
          <w:rFonts w:hint="eastAsia" w:ascii="Times New Roman" w:hAnsi="Times New Roman" w:eastAsia="仿宋_GB2312" w:cs="Times New Roman"/>
          <w:kern w:val="0"/>
          <w:sz w:val="32"/>
          <w:szCs w:val="32"/>
          <w:lang w:val="en-US" w:eastAsia="zh-CN"/>
        </w:rPr>
        <w:t>助力办会兴城“引擎”，城市品质显著提升，坚持“137”工作法，完成刘塘路、正清路、东盟大道等8条道路提质改造。实施城区公厕新建、改造172座，智慧公交站台（带公厕）5座。突出抓好主次干道沿线和高速出入口、公铁车站周边环境治理。完成绿化提质改造项目21</w:t>
      </w:r>
      <w:r>
        <w:rPr>
          <w:rFonts w:hint="eastAsia" w:ascii="仿宋" w:hAnsi="仿宋" w:eastAsia="仿宋" w:cs="Times New Roman"/>
          <w:b w:val="0"/>
          <w:bCs w:val="0"/>
          <w:spacing w:val="-2"/>
          <w:sz w:val="32"/>
          <w:szCs w:val="32"/>
          <w:lang w:val="en-US" w:eastAsia="zh-CN"/>
        </w:rPr>
        <w:t>个、风貌美化项目6个，完成主次干道、滨水风光带等44个重要节点的照明优化升级、近6万平方米的外墙美化。“福地怀化</w:t>
      </w:r>
      <w:r>
        <w:rPr>
          <w:rFonts w:hint="default" w:ascii="仿宋" w:hAnsi="仿宋" w:eastAsia="仿宋" w:cs="Times New Roman"/>
          <w:b w:val="0"/>
          <w:bCs w:val="0"/>
          <w:spacing w:val="-2"/>
          <w:sz w:val="32"/>
          <w:szCs w:val="32"/>
          <w:lang w:val="en-US" w:eastAsia="zh-CN"/>
        </w:rPr>
        <w:t>”“一粒种子改变世界”</w:t>
      </w:r>
      <w:r>
        <w:rPr>
          <w:rFonts w:hint="eastAsia" w:ascii="仿宋" w:hAnsi="仿宋" w:eastAsia="仿宋" w:cs="Times New Roman"/>
          <w:b w:val="0"/>
          <w:bCs w:val="0"/>
          <w:spacing w:val="-2"/>
          <w:sz w:val="32"/>
          <w:szCs w:val="32"/>
          <w:lang w:val="en-US" w:eastAsia="zh-CN"/>
        </w:rPr>
        <w:t>等</w:t>
      </w:r>
      <w:r>
        <w:rPr>
          <w:rFonts w:hint="default" w:ascii="仿宋" w:hAnsi="仿宋" w:eastAsia="仿宋" w:cs="Times New Roman"/>
          <w:b w:val="0"/>
          <w:bCs w:val="0"/>
          <w:spacing w:val="-2"/>
          <w:sz w:val="32"/>
          <w:szCs w:val="32"/>
          <w:lang w:val="en-US" w:eastAsia="zh-CN"/>
        </w:rPr>
        <w:t>城市绿雕和湖天小游园、佳惠花</w:t>
      </w:r>
      <w:r>
        <w:rPr>
          <w:rFonts w:hint="eastAsia" w:ascii="仿宋" w:hAnsi="仿宋" w:eastAsia="仿宋" w:cs="Times New Roman"/>
          <w:b w:val="0"/>
          <w:bCs w:val="0"/>
          <w:spacing w:val="-2"/>
          <w:sz w:val="32"/>
          <w:szCs w:val="32"/>
          <w:lang w:val="en-US" w:eastAsia="zh-CN"/>
        </w:rPr>
        <w:t>苑等景点引爆</w:t>
      </w:r>
      <w:r>
        <w:rPr>
          <w:rFonts w:hint="default" w:ascii="仿宋" w:hAnsi="仿宋" w:eastAsia="仿宋" w:cs="Times New Roman"/>
          <w:b w:val="0"/>
          <w:bCs w:val="0"/>
          <w:spacing w:val="-2"/>
          <w:sz w:val="32"/>
          <w:szCs w:val="32"/>
          <w:lang w:val="en-US" w:eastAsia="zh-CN"/>
        </w:rPr>
        <w:t>打卡热潮</w:t>
      </w:r>
      <w:r>
        <w:rPr>
          <w:rFonts w:hint="eastAsia" w:ascii="仿宋" w:hAnsi="仿宋" w:eastAsia="仿宋" w:cs="Times New Roman"/>
          <w:b w:val="0"/>
          <w:bCs w:val="0"/>
          <w:spacing w:val="-2"/>
          <w:sz w:val="32"/>
          <w:szCs w:val="32"/>
          <w:lang w:val="en-US" w:eastAsia="zh-CN"/>
        </w:rPr>
        <w:t>，</w:t>
      </w:r>
      <w:r>
        <w:rPr>
          <w:rFonts w:hint="default" w:ascii="仿宋" w:hAnsi="仿宋" w:eastAsia="仿宋" w:cs="Times New Roman"/>
          <w:b w:val="0"/>
          <w:bCs w:val="0"/>
          <w:spacing w:val="-2"/>
          <w:sz w:val="32"/>
          <w:szCs w:val="32"/>
          <w:lang w:val="en-US" w:eastAsia="zh-CN"/>
        </w:rPr>
        <w:t>榆树湾、东盟集、鹤鸣州等</w:t>
      </w:r>
      <w:r>
        <w:rPr>
          <w:rFonts w:hint="eastAsia" w:ascii="仿宋" w:hAnsi="仿宋" w:eastAsia="仿宋" w:cs="Times New Roman"/>
          <w:b w:val="0"/>
          <w:bCs w:val="0"/>
          <w:spacing w:val="-2"/>
          <w:sz w:val="32"/>
          <w:szCs w:val="32"/>
          <w:lang w:val="en-US" w:eastAsia="zh-CN"/>
        </w:rPr>
        <w:t>“新怀景”拔地而起、火爆出圈，“福地怀化”城市名片愈显响亮</w:t>
      </w:r>
      <w:r>
        <w:rPr>
          <w:rFonts w:ascii="Times New Roman" w:hAnsi="Times New Roman" w:eastAsia="仿宋_GB2312" w:cs="Times New Roman"/>
          <w:sz w:val="32"/>
          <w:szCs w:val="32"/>
        </w:rPr>
        <w:t>；二是</w:t>
      </w:r>
      <w:r>
        <w:rPr>
          <w:rFonts w:hint="eastAsia" w:ascii="仿宋" w:hAnsi="仿宋" w:eastAsia="仿宋" w:cs="Times New Roman"/>
          <w:b w:val="0"/>
          <w:bCs w:val="0"/>
          <w:spacing w:val="-2"/>
          <w:sz w:val="32"/>
          <w:szCs w:val="32"/>
          <w:lang w:val="en-US" w:eastAsia="zh-CN"/>
        </w:rPr>
        <w:t>助力办会兴城“引擎”，城市品质显著提升，坚持“137”工作法，完成刘塘路、正清路、东盟大道等8条道路提质改造。实施城区公厕新建、改造172座，智慧公交站台（带公厕）5座。突出抓好主次干道沿线和高速出入口、公铁车站周边环境治理。完成绿化提质改造项目21个、风貌美化项目6个，完成主次干道、滨水风光带等44个重要节点的照明优化升级、近6万平方米的外墙美化。“福地怀化</w:t>
      </w:r>
      <w:r>
        <w:rPr>
          <w:rFonts w:hint="default" w:ascii="仿宋" w:hAnsi="仿宋" w:eastAsia="仿宋" w:cs="Times New Roman"/>
          <w:b w:val="0"/>
          <w:bCs w:val="0"/>
          <w:spacing w:val="-2"/>
          <w:sz w:val="32"/>
          <w:szCs w:val="32"/>
          <w:lang w:val="en-US" w:eastAsia="zh-CN"/>
        </w:rPr>
        <w:t>”“一粒种子改变世界”</w:t>
      </w:r>
      <w:r>
        <w:rPr>
          <w:rFonts w:hint="eastAsia" w:ascii="仿宋" w:hAnsi="仿宋" w:eastAsia="仿宋" w:cs="Times New Roman"/>
          <w:b w:val="0"/>
          <w:bCs w:val="0"/>
          <w:spacing w:val="-2"/>
          <w:sz w:val="32"/>
          <w:szCs w:val="32"/>
          <w:lang w:val="en-US" w:eastAsia="zh-CN"/>
        </w:rPr>
        <w:t>等</w:t>
      </w:r>
      <w:r>
        <w:rPr>
          <w:rFonts w:hint="default" w:ascii="仿宋" w:hAnsi="仿宋" w:eastAsia="仿宋" w:cs="Times New Roman"/>
          <w:b w:val="0"/>
          <w:bCs w:val="0"/>
          <w:spacing w:val="-2"/>
          <w:sz w:val="32"/>
          <w:szCs w:val="32"/>
          <w:lang w:val="en-US" w:eastAsia="zh-CN"/>
        </w:rPr>
        <w:t>城市绿雕和湖天小游园、佳惠花</w:t>
      </w:r>
      <w:r>
        <w:rPr>
          <w:rFonts w:hint="eastAsia" w:ascii="仿宋" w:hAnsi="仿宋" w:eastAsia="仿宋" w:cs="Times New Roman"/>
          <w:b w:val="0"/>
          <w:bCs w:val="0"/>
          <w:spacing w:val="-2"/>
          <w:sz w:val="32"/>
          <w:szCs w:val="32"/>
          <w:lang w:val="en-US" w:eastAsia="zh-CN"/>
        </w:rPr>
        <w:t>苑等景点引爆</w:t>
      </w:r>
      <w:r>
        <w:rPr>
          <w:rFonts w:hint="default" w:ascii="仿宋" w:hAnsi="仿宋" w:eastAsia="仿宋" w:cs="Times New Roman"/>
          <w:b w:val="0"/>
          <w:bCs w:val="0"/>
          <w:spacing w:val="-2"/>
          <w:sz w:val="32"/>
          <w:szCs w:val="32"/>
          <w:lang w:val="en-US" w:eastAsia="zh-CN"/>
        </w:rPr>
        <w:t>打卡热潮</w:t>
      </w:r>
      <w:r>
        <w:rPr>
          <w:rFonts w:hint="eastAsia" w:ascii="仿宋" w:hAnsi="仿宋" w:eastAsia="仿宋" w:cs="Times New Roman"/>
          <w:b w:val="0"/>
          <w:bCs w:val="0"/>
          <w:spacing w:val="-2"/>
          <w:sz w:val="32"/>
          <w:szCs w:val="32"/>
          <w:lang w:val="en-US" w:eastAsia="zh-CN"/>
        </w:rPr>
        <w:t>，</w:t>
      </w:r>
      <w:r>
        <w:rPr>
          <w:rFonts w:hint="default" w:ascii="仿宋" w:hAnsi="仿宋" w:eastAsia="仿宋" w:cs="Times New Roman"/>
          <w:b w:val="0"/>
          <w:bCs w:val="0"/>
          <w:spacing w:val="-2"/>
          <w:sz w:val="32"/>
          <w:szCs w:val="32"/>
          <w:lang w:val="en-US" w:eastAsia="zh-CN"/>
        </w:rPr>
        <w:t>榆树湾、东盟集、鹤鸣州等</w:t>
      </w:r>
      <w:r>
        <w:rPr>
          <w:rFonts w:hint="eastAsia" w:ascii="仿宋" w:hAnsi="仿宋" w:eastAsia="仿宋" w:cs="Times New Roman"/>
          <w:b w:val="0"/>
          <w:bCs w:val="0"/>
          <w:spacing w:val="-2"/>
          <w:sz w:val="32"/>
          <w:szCs w:val="32"/>
          <w:lang w:val="en-US" w:eastAsia="zh-CN"/>
        </w:rPr>
        <w:t>“新怀景”拔地而起、火爆出圈，“福地怀化”城市名片愈显响亮</w:t>
      </w:r>
      <w:r>
        <w:rPr>
          <w:rFonts w:ascii="Times New Roman" w:hAnsi="Times New Roman" w:eastAsia="仿宋_GB2312" w:cs="Times New Roman"/>
          <w:sz w:val="32"/>
          <w:szCs w:val="32"/>
        </w:rPr>
        <w:t>。发现的主要问题及原因：一是</w:t>
      </w:r>
      <w:r>
        <w:rPr>
          <w:rFonts w:hint="default" w:ascii="仿宋" w:hAnsi="仿宋" w:eastAsia="仿宋" w:cs="Times New Roman"/>
          <w:b w:val="0"/>
          <w:bCs w:val="0"/>
          <w:spacing w:val="-2"/>
          <w:sz w:val="32"/>
          <w:szCs w:val="32"/>
          <w:lang w:val="en-US" w:eastAsia="zh-CN"/>
        </w:rPr>
        <w:t>1.预算编制与执行不规范</w:t>
      </w:r>
      <w:r>
        <w:rPr>
          <w:rFonts w:ascii="Times New Roman" w:hAnsi="Times New Roman" w:eastAsia="仿宋_GB2312" w:cs="Times New Roman"/>
          <w:sz w:val="32"/>
          <w:szCs w:val="32"/>
        </w:rPr>
        <w:t>；二是</w:t>
      </w:r>
      <w:r>
        <w:rPr>
          <w:rFonts w:hint="default" w:ascii="仿宋" w:hAnsi="仿宋" w:eastAsia="仿宋" w:cs="Times New Roman"/>
          <w:b w:val="0"/>
          <w:bCs w:val="0"/>
          <w:spacing w:val="-2"/>
          <w:sz w:val="32"/>
          <w:szCs w:val="32"/>
          <w:lang w:val="en-US" w:eastAsia="zh-CN"/>
        </w:rPr>
        <w:t>政府采购预算管理欠规范</w:t>
      </w:r>
      <w:r>
        <w:rPr>
          <w:rFonts w:ascii="Times New Roman" w:hAnsi="Times New Roman" w:eastAsia="仿宋_GB2312" w:cs="Times New Roman"/>
          <w:sz w:val="32"/>
          <w:szCs w:val="32"/>
        </w:rPr>
        <w:t>。下一步改进措施：一是</w:t>
      </w:r>
      <w:r>
        <w:rPr>
          <w:rFonts w:hint="eastAsia" w:ascii="仿宋" w:hAnsi="仿宋" w:eastAsia="仿宋" w:cs="Times New Roman"/>
          <w:b w:val="0"/>
          <w:bCs w:val="0"/>
          <w:spacing w:val="-2"/>
          <w:sz w:val="32"/>
          <w:szCs w:val="32"/>
          <w:lang w:val="en-US" w:eastAsia="zh-CN"/>
        </w:rPr>
        <w:t>优化预算编制</w:t>
      </w:r>
      <w:r>
        <w:rPr>
          <w:rFonts w:ascii="Times New Roman" w:hAnsi="Times New Roman" w:eastAsia="仿宋_GB2312" w:cs="Times New Roman"/>
          <w:sz w:val="32"/>
          <w:szCs w:val="32"/>
        </w:rPr>
        <w:t>；二是</w:t>
      </w:r>
      <w:r>
        <w:rPr>
          <w:rFonts w:hint="eastAsia" w:ascii="仿宋" w:hAnsi="仿宋" w:eastAsia="仿宋" w:cs="Times New Roman"/>
          <w:b w:val="0"/>
          <w:bCs w:val="0"/>
          <w:spacing w:val="-2"/>
          <w:sz w:val="32"/>
          <w:szCs w:val="32"/>
          <w:lang w:val="en-US" w:eastAsia="zh-CN"/>
        </w:rPr>
        <w:t>强化采购主体责任</w:t>
      </w:r>
      <w:r>
        <w:rPr>
          <w:rFonts w:ascii="Times New Roman" w:hAnsi="Times New Roman" w:eastAsia="仿宋_GB2312" w:cs="Times New Roman"/>
          <w:kern w:val="0"/>
          <w:sz w:val="32"/>
          <w:szCs w:val="32"/>
        </w:rPr>
        <w:t>。</w:t>
      </w:r>
      <w:r>
        <w:rPr>
          <w:rFonts w:ascii="Times New Roman" w:hAnsi="Times New Roman" w:eastAsia="仿宋_GB2312" w:cs="Times New Roman"/>
          <w:b/>
          <w:bCs/>
          <w:kern w:val="0"/>
          <w:sz w:val="32"/>
          <w:szCs w:val="32"/>
        </w:rPr>
        <w:t>二是部门评价结果。</w:t>
      </w:r>
      <w:r>
        <w:rPr>
          <w:rFonts w:hint="default" w:ascii="仿宋" w:hAnsi="仿宋" w:eastAsia="仿宋" w:cstheme="minorBidi"/>
          <w:color w:val="000000"/>
          <w:kern w:val="0"/>
          <w:sz w:val="32"/>
          <w:szCs w:val="24"/>
          <w:shd w:val="clear" w:color="auto" w:fill="FFFFFF"/>
          <w:lang w:val="en-US" w:eastAsia="zh-CN" w:bidi="ar-SA"/>
        </w:rPr>
        <w:t>智慧城管指挥中心日常运行经费</w:t>
      </w:r>
      <w:r>
        <w:rPr>
          <w:rFonts w:hint="eastAsia" w:ascii="仿宋" w:hAnsi="仿宋" w:eastAsia="仿宋" w:cstheme="minorBidi"/>
          <w:color w:val="000000"/>
          <w:kern w:val="0"/>
          <w:sz w:val="32"/>
          <w:szCs w:val="24"/>
          <w:shd w:val="clear" w:color="auto" w:fill="FFFFFF"/>
          <w:lang w:val="en-US" w:eastAsia="zh-CN" w:bidi="ar-SA"/>
        </w:rPr>
        <w:t>项目全年预算数343.98万元，执行数274.35万元，完成预算的79.76%，部门评价得分95.98分，评价等级为“优”。发现的主要问题及原因：一是系统建设有待进一步完善；二是案件办理有待进一步加强。下一步改进措施：一是推进城市综合管理服务平台建设和应用；二是加强中心业务监管和指导。</w:t>
      </w:r>
    </w:p>
    <w:p w14:paraId="4F0BE745">
      <w:pPr>
        <w:keepNext w:val="0"/>
        <w:keepLines w:val="0"/>
        <w:pageBreakBefore w:val="0"/>
        <w:widowControl w:val="0"/>
        <w:numPr>
          <w:ilvl w:val="0"/>
          <w:numId w:val="0"/>
        </w:numPr>
        <w:kinsoku/>
        <w:overflowPunct/>
        <w:autoSpaceDE/>
        <w:bidi w:val="0"/>
        <w:snapToGrid/>
        <w:spacing w:line="560" w:lineRule="exact"/>
        <w:ind w:left="0" w:right="0" w:firstLine="640" w:firstLineChars="200"/>
        <w:jc w:val="both"/>
        <w:textAlignment w:val="auto"/>
        <w:rPr>
          <w:rFonts w:hint="default" w:ascii="仿宋" w:hAnsi="仿宋" w:eastAsia="仿宋" w:cstheme="minorBidi"/>
          <w:color w:val="000000"/>
          <w:kern w:val="0"/>
          <w:sz w:val="32"/>
          <w:szCs w:val="24"/>
          <w:shd w:val="clear" w:color="auto" w:fill="FFFFFF"/>
          <w:lang w:val="en-US" w:eastAsia="zh-CN" w:bidi="ar-SA"/>
        </w:rPr>
      </w:pPr>
      <w:r>
        <w:rPr>
          <w:rFonts w:ascii="Times New Roman" w:hAnsi="Times New Roman" w:eastAsia="楷体_GB2312" w:cs="Times New Roman"/>
          <w:b/>
          <w:bCs/>
          <w:color w:val="auto"/>
          <w:kern w:val="2"/>
          <w:sz w:val="32"/>
          <w:szCs w:val="32"/>
        </w:rPr>
        <w:t>（三）评价结果应用情况。</w:t>
      </w:r>
      <w:r>
        <w:rPr>
          <w:rFonts w:hint="default" w:ascii="仿宋" w:hAnsi="仿宋" w:eastAsia="仿宋" w:cstheme="minorBidi"/>
          <w:color w:val="000000"/>
          <w:kern w:val="0"/>
          <w:sz w:val="32"/>
          <w:szCs w:val="24"/>
          <w:shd w:val="clear" w:color="auto" w:fill="FFFFFF"/>
          <w:lang w:val="en-US" w:eastAsia="zh-CN" w:bidi="ar-SA"/>
        </w:rPr>
        <w:t>根据</w:t>
      </w:r>
      <w:r>
        <w:rPr>
          <w:rFonts w:hint="eastAsia" w:ascii="仿宋" w:hAnsi="仿宋" w:eastAsia="仿宋" w:cstheme="minorBidi"/>
          <w:color w:val="000000"/>
          <w:kern w:val="0"/>
          <w:sz w:val="32"/>
          <w:szCs w:val="24"/>
          <w:shd w:val="clear" w:color="auto" w:fill="FFFFFF"/>
          <w:lang w:val="en-US" w:eastAsia="zh-CN" w:bidi="ar-SA"/>
        </w:rPr>
        <w:t>2025年</w:t>
      </w:r>
      <w:r>
        <w:rPr>
          <w:rFonts w:hint="default" w:ascii="仿宋" w:hAnsi="仿宋" w:eastAsia="仿宋" w:cstheme="minorBidi"/>
          <w:color w:val="000000"/>
          <w:kern w:val="0"/>
          <w:sz w:val="32"/>
          <w:szCs w:val="24"/>
          <w:shd w:val="clear" w:color="auto" w:fill="FFFFFF"/>
          <w:lang w:val="en-US" w:eastAsia="zh-CN" w:bidi="ar-SA"/>
        </w:rPr>
        <w:t>绩效自评结果进一步优化目标管理、改进履职效能、加强预算绩效管理等。绩效自评结果将按照怀化市财政局的要求，在相关网站予以公示。</w:t>
      </w:r>
    </w:p>
    <w:p w14:paraId="72ABEE8D">
      <w:pPr>
        <w:pStyle w:val="12"/>
        <w:overflowPunct w:val="0"/>
        <w:autoSpaceDE/>
        <w:autoSpaceDN/>
        <w:spacing w:line="600" w:lineRule="exact"/>
        <w:ind w:firstLine="1440" w:firstLineChars="200"/>
        <w:jc w:val="both"/>
        <w:rPr>
          <w:rFonts w:ascii="Times New Roman" w:hAnsi="Times New Roman" w:eastAsia="仿宋_GB2312" w:cs="Times New Roman"/>
          <w:color w:val="auto"/>
          <w:sz w:val="72"/>
          <w:szCs w:val="72"/>
        </w:rPr>
      </w:pPr>
    </w:p>
    <w:p w14:paraId="57768D9B">
      <w:pPr>
        <w:pStyle w:val="12"/>
        <w:jc w:val="center"/>
        <w:rPr>
          <w:rFonts w:ascii="Times New Roman" w:hAnsi="Times New Roman" w:cs="Times New Roman"/>
          <w:sz w:val="72"/>
          <w:szCs w:val="72"/>
        </w:rPr>
      </w:pPr>
    </w:p>
    <w:p w14:paraId="2B268AB9">
      <w:pPr>
        <w:pStyle w:val="12"/>
        <w:jc w:val="center"/>
        <w:rPr>
          <w:rFonts w:ascii="Times New Roman" w:hAnsi="Times New Roman" w:cs="Times New Roman"/>
          <w:sz w:val="72"/>
          <w:szCs w:val="72"/>
        </w:rPr>
      </w:pPr>
    </w:p>
    <w:p w14:paraId="64618723">
      <w:pPr>
        <w:pStyle w:val="12"/>
        <w:jc w:val="center"/>
        <w:rPr>
          <w:rFonts w:ascii="Times New Roman" w:hAnsi="Times New Roman" w:cs="Times New Roman"/>
          <w:sz w:val="72"/>
          <w:szCs w:val="72"/>
        </w:rPr>
      </w:pPr>
    </w:p>
    <w:p w14:paraId="245D5460">
      <w:pPr>
        <w:pStyle w:val="12"/>
        <w:jc w:val="center"/>
        <w:rPr>
          <w:rFonts w:ascii="Times New Roman" w:hAnsi="Times New Roman" w:cs="Times New Roman"/>
          <w:sz w:val="72"/>
          <w:szCs w:val="72"/>
        </w:rPr>
      </w:pPr>
    </w:p>
    <w:p w14:paraId="12A50A55">
      <w:pPr>
        <w:pStyle w:val="12"/>
        <w:jc w:val="center"/>
        <w:rPr>
          <w:rFonts w:ascii="Times New Roman" w:hAnsi="Times New Roman" w:cs="Times New Roman"/>
          <w:sz w:val="72"/>
          <w:szCs w:val="72"/>
        </w:rPr>
      </w:pPr>
    </w:p>
    <w:p w14:paraId="5A903089">
      <w:pPr>
        <w:pStyle w:val="12"/>
        <w:jc w:val="center"/>
        <w:rPr>
          <w:rFonts w:ascii="Times New Roman" w:hAnsi="Times New Roman" w:cs="Times New Roman"/>
          <w:sz w:val="72"/>
          <w:szCs w:val="72"/>
        </w:rPr>
      </w:pPr>
    </w:p>
    <w:p w14:paraId="110F17C2">
      <w:pPr>
        <w:pStyle w:val="12"/>
        <w:jc w:val="center"/>
        <w:rPr>
          <w:rFonts w:ascii="Times New Roman" w:hAnsi="Times New Roman" w:cs="Times New Roman"/>
          <w:sz w:val="72"/>
          <w:szCs w:val="72"/>
        </w:rPr>
      </w:pPr>
    </w:p>
    <w:p w14:paraId="39607BB3">
      <w:pPr>
        <w:pStyle w:val="12"/>
        <w:jc w:val="center"/>
        <w:rPr>
          <w:rFonts w:ascii="Times New Roman" w:hAnsi="Times New Roman" w:cs="Times New Roman"/>
          <w:sz w:val="72"/>
          <w:szCs w:val="72"/>
        </w:rPr>
      </w:pPr>
    </w:p>
    <w:p w14:paraId="4824B176">
      <w:pPr>
        <w:pStyle w:val="12"/>
        <w:jc w:val="both"/>
        <w:rPr>
          <w:rFonts w:ascii="Times New Roman" w:hAnsi="Times New Roman" w:cs="Times New Roman"/>
          <w:sz w:val="72"/>
          <w:szCs w:val="72"/>
        </w:rPr>
      </w:pPr>
    </w:p>
    <w:p w14:paraId="3DC13496">
      <w:pPr>
        <w:pStyle w:val="12"/>
        <w:jc w:val="both"/>
        <w:rPr>
          <w:rFonts w:ascii="Times New Roman" w:hAnsi="Times New Roman" w:cs="Times New Roman"/>
          <w:sz w:val="72"/>
          <w:szCs w:val="72"/>
        </w:rPr>
      </w:pPr>
    </w:p>
    <w:p w14:paraId="577D4222">
      <w:pPr>
        <w:pStyle w:val="12"/>
        <w:jc w:val="both"/>
        <w:rPr>
          <w:rFonts w:ascii="Times New Roman" w:hAnsi="Times New Roman" w:cs="Times New Roman"/>
          <w:sz w:val="72"/>
          <w:szCs w:val="72"/>
        </w:rPr>
      </w:pPr>
    </w:p>
    <w:p w14:paraId="5A6ED572">
      <w:pPr>
        <w:pStyle w:val="12"/>
        <w:jc w:val="both"/>
        <w:rPr>
          <w:rFonts w:ascii="Times New Roman" w:hAnsi="Times New Roman" w:cs="Times New Roman"/>
          <w:sz w:val="72"/>
          <w:szCs w:val="72"/>
        </w:rPr>
      </w:pPr>
    </w:p>
    <w:p w14:paraId="05836F1F">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第四部分    名词解释</w:t>
      </w:r>
    </w:p>
    <w:p w14:paraId="3CB7E6FB">
      <w:pPr>
        <w:widowControl/>
        <w:jc w:val="left"/>
        <w:rPr>
          <w:rFonts w:ascii="Times New Roman" w:hAnsi="Times New Roman" w:cs="Times New Roman"/>
          <w:color w:val="000000"/>
          <w:kern w:val="0"/>
          <w:sz w:val="32"/>
          <w:szCs w:val="32"/>
        </w:rPr>
      </w:pPr>
    </w:p>
    <w:p w14:paraId="2EBD24D9">
      <w:pPr>
        <w:pStyle w:val="12"/>
        <w:overflowPunct w:val="0"/>
        <w:autoSpaceDE/>
        <w:autoSpaceDN/>
        <w:spacing w:line="600" w:lineRule="exact"/>
        <w:ind w:firstLine="640" w:firstLineChars="200"/>
        <w:jc w:val="both"/>
        <w:rPr>
          <w:rFonts w:hint="eastAsia" w:ascii="仿宋" w:hAnsi="仿宋" w:eastAsia="仿宋" w:cs="仿宋"/>
          <w:kern w:val="0"/>
          <w:sz w:val="32"/>
          <w:szCs w:val="32"/>
        </w:rPr>
      </w:pPr>
      <w:r>
        <w:rPr>
          <w:rFonts w:hint="eastAsia" w:ascii="仿宋" w:hAnsi="仿宋" w:eastAsia="仿宋" w:cs="仿宋"/>
          <w:kern w:val="0"/>
          <w:sz w:val="32"/>
          <w:szCs w:val="32"/>
        </w:rPr>
        <w:t xml:space="preserve">一、财政拨款收入：指财政当年拨付的资金。 </w:t>
      </w:r>
    </w:p>
    <w:p w14:paraId="100BB37F">
      <w:pPr>
        <w:pStyle w:val="12"/>
        <w:overflowPunct w:val="0"/>
        <w:autoSpaceDE/>
        <w:autoSpaceDN/>
        <w:spacing w:line="600" w:lineRule="exact"/>
        <w:ind w:firstLine="640" w:firstLineChars="200"/>
        <w:jc w:val="both"/>
        <w:rPr>
          <w:rFonts w:hint="eastAsia" w:ascii="仿宋" w:hAnsi="仿宋" w:eastAsia="仿宋" w:cs="仿宋"/>
          <w:kern w:val="0"/>
          <w:sz w:val="32"/>
          <w:szCs w:val="32"/>
        </w:rPr>
      </w:pPr>
      <w:r>
        <w:rPr>
          <w:rFonts w:hint="eastAsia" w:ascii="仿宋" w:hAnsi="仿宋" w:eastAsia="仿宋" w:cs="仿宋"/>
          <w:kern w:val="0"/>
          <w:sz w:val="32"/>
          <w:szCs w:val="32"/>
        </w:rPr>
        <w:t xml:space="preserve">二、事业收入：指事业单位开展专业业务活动及辅助活动所取得的收入。如：中国财政杂志社的刊物发行收入，中国注册会计师协会、中国资产评估协会、中国国债协会、中国会计学会收取的会费收入等。 </w:t>
      </w:r>
    </w:p>
    <w:p w14:paraId="51CFE8D2">
      <w:pPr>
        <w:pStyle w:val="12"/>
        <w:overflowPunct w:val="0"/>
        <w:autoSpaceDE/>
        <w:autoSpaceDN/>
        <w:spacing w:line="600" w:lineRule="exact"/>
        <w:ind w:firstLine="640" w:firstLineChars="200"/>
        <w:jc w:val="both"/>
        <w:rPr>
          <w:rFonts w:hint="eastAsia" w:ascii="仿宋" w:hAnsi="仿宋" w:eastAsia="仿宋" w:cs="仿宋"/>
          <w:kern w:val="0"/>
          <w:sz w:val="32"/>
          <w:szCs w:val="32"/>
        </w:rPr>
      </w:pPr>
      <w:r>
        <w:rPr>
          <w:rFonts w:hint="eastAsia" w:ascii="仿宋" w:hAnsi="仿宋" w:eastAsia="仿宋" w:cs="仿宋"/>
          <w:kern w:val="0"/>
          <w:sz w:val="32"/>
          <w:szCs w:val="32"/>
        </w:rPr>
        <w:t xml:space="preserve">三、经营收入：指事业单位在专业业务活动及其辅助活动之外开展非独立核算经营活动取得的收入。如：中国财政杂志社广告收入等。 </w:t>
      </w:r>
    </w:p>
    <w:p w14:paraId="55B04D05">
      <w:pPr>
        <w:pStyle w:val="12"/>
        <w:overflowPunct w:val="0"/>
        <w:autoSpaceDE/>
        <w:autoSpaceDN/>
        <w:spacing w:line="600" w:lineRule="exact"/>
        <w:ind w:firstLine="640" w:firstLineChars="200"/>
        <w:jc w:val="both"/>
        <w:rPr>
          <w:rFonts w:hint="eastAsia" w:ascii="仿宋" w:hAnsi="仿宋" w:eastAsia="仿宋" w:cs="仿宋"/>
          <w:kern w:val="0"/>
          <w:sz w:val="32"/>
          <w:szCs w:val="32"/>
        </w:rPr>
      </w:pPr>
      <w:r>
        <w:rPr>
          <w:rFonts w:hint="eastAsia" w:ascii="仿宋" w:hAnsi="仿宋" w:eastAsia="仿宋" w:cs="仿宋"/>
          <w:kern w:val="0"/>
          <w:sz w:val="32"/>
          <w:szCs w:val="32"/>
        </w:rPr>
        <w:t xml:space="preserve">四、其他收入：指除上述“财政拨款收入”、“事业收入”、“经营收入”等以外的收入。主要是按规定动用的售房收入、存款利息收入等。 </w:t>
      </w:r>
    </w:p>
    <w:p w14:paraId="373079B9">
      <w:pPr>
        <w:pStyle w:val="12"/>
        <w:overflowPunct w:val="0"/>
        <w:autoSpaceDE/>
        <w:autoSpaceDN/>
        <w:spacing w:line="600" w:lineRule="exact"/>
        <w:ind w:firstLine="640" w:firstLineChars="200"/>
        <w:jc w:val="both"/>
        <w:rPr>
          <w:rFonts w:hint="eastAsia" w:ascii="仿宋" w:hAnsi="仿宋" w:eastAsia="仿宋" w:cs="仿宋"/>
          <w:kern w:val="0"/>
          <w:sz w:val="32"/>
          <w:szCs w:val="32"/>
        </w:rPr>
      </w:pPr>
      <w:r>
        <w:rPr>
          <w:rFonts w:hint="eastAsia" w:ascii="仿宋" w:hAnsi="仿宋" w:eastAsia="仿宋" w:cs="仿宋"/>
          <w:kern w:val="0"/>
          <w:sz w:val="32"/>
          <w:szCs w:val="32"/>
        </w:rPr>
        <w:t xml:space="preserve">五、用事业基金弥补收支差额：指事业单位在当年的“财政拨款收入”、“事业收入”、“经营收入”、“其他收入”不足以安排当年支出的情况下，使用以前年度积累的事业基金（事业单位当年收支相抵后按国家规定提取、用于弥补以后年度收支差额的基金）弥补本年度收支缺口的资金。 </w:t>
      </w:r>
    </w:p>
    <w:p w14:paraId="6163C281">
      <w:pPr>
        <w:pStyle w:val="12"/>
        <w:overflowPunct w:val="0"/>
        <w:autoSpaceDE/>
        <w:autoSpaceDN/>
        <w:spacing w:line="600" w:lineRule="exact"/>
        <w:ind w:firstLine="640" w:firstLineChars="200"/>
        <w:jc w:val="both"/>
        <w:rPr>
          <w:rFonts w:hint="eastAsia" w:ascii="仿宋" w:hAnsi="仿宋" w:eastAsia="仿宋" w:cs="仿宋"/>
          <w:kern w:val="0"/>
          <w:sz w:val="32"/>
          <w:szCs w:val="32"/>
        </w:rPr>
      </w:pPr>
      <w:r>
        <w:rPr>
          <w:rFonts w:hint="eastAsia" w:ascii="仿宋" w:hAnsi="仿宋" w:eastAsia="仿宋" w:cs="仿宋"/>
          <w:kern w:val="0"/>
          <w:sz w:val="32"/>
          <w:szCs w:val="32"/>
        </w:rPr>
        <w:t xml:space="preserve">六、年初结转和结余：指以前年度尚未完成、结转到本年按有关规定继续使用的资金。 </w:t>
      </w:r>
    </w:p>
    <w:p w14:paraId="7E26116B">
      <w:pPr>
        <w:pStyle w:val="12"/>
        <w:overflowPunct w:val="0"/>
        <w:autoSpaceDE/>
        <w:autoSpaceDN/>
        <w:spacing w:line="600" w:lineRule="exact"/>
        <w:ind w:firstLine="640" w:firstLineChars="200"/>
        <w:jc w:val="both"/>
        <w:rPr>
          <w:rFonts w:hint="eastAsia" w:ascii="仿宋" w:hAnsi="仿宋" w:eastAsia="仿宋" w:cs="仿宋"/>
          <w:kern w:val="0"/>
          <w:sz w:val="32"/>
          <w:szCs w:val="32"/>
        </w:rPr>
      </w:pPr>
      <w:r>
        <w:rPr>
          <w:rFonts w:hint="eastAsia" w:ascii="仿宋" w:hAnsi="仿宋" w:eastAsia="仿宋" w:cs="仿宋"/>
          <w:kern w:val="0"/>
          <w:sz w:val="32"/>
          <w:szCs w:val="32"/>
        </w:rPr>
        <w:t>七、结余分配：指事业单位按规定提取的职工福利基金、事业基金和缴纳的所得税，以及建设单位按规定应交回的基本建设竣工项目结余资金。</w:t>
      </w:r>
    </w:p>
    <w:p w14:paraId="27FE2891">
      <w:pPr>
        <w:pStyle w:val="12"/>
        <w:overflowPunct w:val="0"/>
        <w:autoSpaceDE/>
        <w:autoSpaceDN/>
        <w:spacing w:line="600" w:lineRule="exact"/>
        <w:ind w:firstLine="640" w:firstLineChars="200"/>
        <w:jc w:val="both"/>
        <w:rPr>
          <w:rFonts w:hint="eastAsia" w:ascii="仿宋" w:hAnsi="仿宋" w:eastAsia="仿宋" w:cs="仿宋"/>
          <w:kern w:val="0"/>
          <w:sz w:val="32"/>
          <w:szCs w:val="32"/>
        </w:rPr>
      </w:pPr>
      <w:r>
        <w:rPr>
          <w:rFonts w:hint="eastAsia" w:ascii="仿宋" w:hAnsi="仿宋" w:eastAsia="仿宋" w:cs="仿宋"/>
          <w:kern w:val="0"/>
          <w:sz w:val="32"/>
          <w:szCs w:val="32"/>
        </w:rPr>
        <w:t xml:space="preserve">八、年末结转和结余：指本年度或以前年度预算安排、因客观条件发生变化无法按原计划实施，需要延迟到以后年度按有关规定继续使用的资金。 </w:t>
      </w:r>
    </w:p>
    <w:p w14:paraId="428545A7">
      <w:pPr>
        <w:pStyle w:val="12"/>
        <w:overflowPunct w:val="0"/>
        <w:autoSpaceDE/>
        <w:autoSpaceDN/>
        <w:spacing w:line="600" w:lineRule="exact"/>
        <w:ind w:firstLine="640" w:firstLineChars="200"/>
        <w:jc w:val="both"/>
        <w:rPr>
          <w:rFonts w:hint="eastAsia" w:ascii="仿宋" w:hAnsi="仿宋" w:eastAsia="仿宋" w:cs="仿宋"/>
          <w:kern w:val="0"/>
          <w:sz w:val="32"/>
          <w:szCs w:val="32"/>
        </w:rPr>
      </w:pPr>
      <w:r>
        <w:rPr>
          <w:rFonts w:hint="eastAsia" w:ascii="仿宋" w:hAnsi="仿宋" w:eastAsia="仿宋" w:cs="仿宋"/>
          <w:kern w:val="0"/>
          <w:sz w:val="32"/>
          <w:szCs w:val="32"/>
        </w:rPr>
        <w:t xml:space="preserve">九、基本支出：指为保障机构正常运转、完成日常工作任务而发生的人员支出和公用支出。 </w:t>
      </w:r>
    </w:p>
    <w:p w14:paraId="4CDDF989">
      <w:pPr>
        <w:pStyle w:val="12"/>
        <w:overflowPunct w:val="0"/>
        <w:autoSpaceDE/>
        <w:autoSpaceDN/>
        <w:spacing w:line="600" w:lineRule="exact"/>
        <w:ind w:firstLine="640" w:firstLineChars="200"/>
        <w:jc w:val="both"/>
        <w:rPr>
          <w:rFonts w:hint="eastAsia" w:ascii="仿宋" w:hAnsi="仿宋" w:eastAsia="仿宋" w:cs="仿宋"/>
          <w:kern w:val="0"/>
          <w:sz w:val="32"/>
          <w:szCs w:val="32"/>
        </w:rPr>
      </w:pPr>
      <w:r>
        <w:rPr>
          <w:rFonts w:hint="eastAsia" w:ascii="仿宋" w:hAnsi="仿宋" w:eastAsia="仿宋" w:cs="仿宋"/>
          <w:kern w:val="0"/>
          <w:sz w:val="32"/>
          <w:szCs w:val="32"/>
        </w:rPr>
        <w:t xml:space="preserve">十、项目支出：指在基本支出之外为完成特定行政任务和事业发展目标所发生的支出。 </w:t>
      </w:r>
    </w:p>
    <w:p w14:paraId="3DB60DEA">
      <w:pPr>
        <w:pStyle w:val="12"/>
        <w:overflowPunct w:val="0"/>
        <w:autoSpaceDE/>
        <w:autoSpaceDN/>
        <w:spacing w:line="600" w:lineRule="exact"/>
        <w:ind w:firstLine="640" w:firstLineChars="200"/>
        <w:jc w:val="both"/>
        <w:rPr>
          <w:rFonts w:hint="eastAsia" w:ascii="仿宋" w:hAnsi="仿宋" w:eastAsia="仿宋" w:cs="仿宋"/>
          <w:kern w:val="0"/>
          <w:sz w:val="32"/>
          <w:szCs w:val="32"/>
        </w:rPr>
      </w:pPr>
      <w:r>
        <w:rPr>
          <w:rFonts w:hint="eastAsia" w:ascii="仿宋" w:hAnsi="仿宋" w:eastAsia="仿宋" w:cs="仿宋"/>
          <w:kern w:val="0"/>
          <w:sz w:val="32"/>
          <w:szCs w:val="32"/>
        </w:rPr>
        <w:t xml:space="preserve">十一、经营支出：指事业单位在专业业务活动及其辅助活动之外开展非独立核算经营活动发生的支出。 </w:t>
      </w:r>
    </w:p>
    <w:p w14:paraId="1605A172">
      <w:pPr>
        <w:pStyle w:val="12"/>
        <w:overflowPunct w:val="0"/>
        <w:autoSpaceDE/>
        <w:autoSpaceDN/>
        <w:spacing w:line="600" w:lineRule="exact"/>
        <w:ind w:firstLine="640" w:firstLineChars="200"/>
        <w:jc w:val="both"/>
        <w:rPr>
          <w:rFonts w:hint="eastAsia" w:ascii="仿宋" w:hAnsi="仿宋" w:eastAsia="仿宋" w:cs="仿宋"/>
          <w:kern w:val="0"/>
          <w:sz w:val="32"/>
          <w:szCs w:val="32"/>
        </w:rPr>
      </w:pPr>
      <w:r>
        <w:rPr>
          <w:rFonts w:hint="eastAsia" w:ascii="仿宋" w:hAnsi="仿宋" w:eastAsia="仿宋" w:cs="仿宋"/>
          <w:kern w:val="0"/>
          <w:sz w:val="32"/>
          <w:szCs w:val="32"/>
        </w:rPr>
        <w:t xml:space="preserve">十二、“三公”经费：纳入中央财政预决算管理的“三公”经费，是指中央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 </w:t>
      </w:r>
    </w:p>
    <w:p w14:paraId="682339CB">
      <w:pPr>
        <w:pStyle w:val="12"/>
        <w:overflowPunct w:val="0"/>
        <w:autoSpaceDE/>
        <w:autoSpaceDN/>
        <w:spacing w:line="600" w:lineRule="exact"/>
        <w:ind w:firstLine="640" w:firstLineChars="200"/>
        <w:jc w:val="both"/>
        <w:rPr>
          <w:rFonts w:hint="eastAsia" w:ascii="仿宋" w:hAnsi="仿宋" w:eastAsia="仿宋" w:cs="仿宋"/>
          <w:kern w:val="0"/>
          <w:sz w:val="32"/>
          <w:szCs w:val="32"/>
          <w:lang w:eastAsia="zh-CN"/>
        </w:rPr>
      </w:pPr>
      <w:r>
        <w:rPr>
          <w:rFonts w:hint="eastAsia" w:ascii="仿宋" w:hAnsi="仿宋" w:eastAsia="仿宋" w:cs="仿宋"/>
          <w:kern w:val="0"/>
          <w:sz w:val="32"/>
          <w:szCs w:val="32"/>
        </w:rPr>
        <w:t>十三、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r>
        <w:rPr>
          <w:rFonts w:hint="eastAsia" w:ascii="仿宋" w:hAnsi="仿宋" w:eastAsia="仿宋" w:cs="仿宋"/>
          <w:kern w:val="0"/>
          <w:sz w:val="32"/>
          <w:szCs w:val="32"/>
          <w:lang w:eastAsia="zh-CN"/>
        </w:rPr>
        <w:t>。</w:t>
      </w:r>
    </w:p>
    <w:p w14:paraId="34282D46">
      <w:pPr>
        <w:pStyle w:val="12"/>
        <w:jc w:val="center"/>
        <w:rPr>
          <w:rFonts w:ascii="Times New Roman" w:hAnsi="Times New Roman" w:cs="Times New Roman"/>
          <w:sz w:val="72"/>
          <w:szCs w:val="72"/>
        </w:rPr>
      </w:pPr>
    </w:p>
    <w:p w14:paraId="0A23095C">
      <w:pPr>
        <w:pStyle w:val="12"/>
        <w:jc w:val="center"/>
        <w:rPr>
          <w:rFonts w:ascii="Times New Roman" w:hAnsi="Times New Roman" w:cs="Times New Roman"/>
          <w:sz w:val="72"/>
          <w:szCs w:val="72"/>
        </w:rPr>
      </w:pPr>
    </w:p>
    <w:p w14:paraId="4748E411">
      <w:pPr>
        <w:pStyle w:val="12"/>
        <w:jc w:val="center"/>
        <w:rPr>
          <w:rFonts w:ascii="Times New Roman" w:hAnsi="Times New Roman" w:cs="Times New Roman"/>
          <w:sz w:val="72"/>
          <w:szCs w:val="72"/>
        </w:rPr>
      </w:pPr>
    </w:p>
    <w:p w14:paraId="74B8FE5F">
      <w:pPr>
        <w:pStyle w:val="12"/>
        <w:jc w:val="center"/>
        <w:rPr>
          <w:rFonts w:ascii="Times New Roman" w:hAnsi="Times New Roman" w:cs="Times New Roman"/>
          <w:sz w:val="72"/>
          <w:szCs w:val="72"/>
        </w:rPr>
      </w:pPr>
    </w:p>
    <w:p w14:paraId="7B96FD60">
      <w:pPr>
        <w:pStyle w:val="12"/>
        <w:jc w:val="center"/>
        <w:rPr>
          <w:rFonts w:ascii="Times New Roman" w:hAnsi="Times New Roman" w:cs="Times New Roman"/>
          <w:sz w:val="72"/>
          <w:szCs w:val="72"/>
        </w:rPr>
      </w:pPr>
    </w:p>
    <w:p w14:paraId="11144E7B">
      <w:pPr>
        <w:pStyle w:val="12"/>
        <w:jc w:val="both"/>
        <w:rPr>
          <w:rFonts w:ascii="Times New Roman" w:hAnsi="Times New Roman" w:cs="Times New Roman"/>
          <w:sz w:val="72"/>
          <w:szCs w:val="72"/>
        </w:rPr>
      </w:pPr>
    </w:p>
    <w:p w14:paraId="10EB38ED">
      <w:pPr>
        <w:pStyle w:val="12"/>
        <w:spacing w:line="360" w:lineRule="auto"/>
        <w:jc w:val="center"/>
        <w:rPr>
          <w:rFonts w:ascii="Times New Roman" w:hAnsi="Times New Roman" w:eastAsia="方正小标宋_GBK" w:cs="Times New Roman"/>
          <w:sz w:val="52"/>
          <w:szCs w:val="52"/>
        </w:rPr>
      </w:pPr>
    </w:p>
    <w:p w14:paraId="53EEBC0C">
      <w:pPr>
        <w:pStyle w:val="12"/>
        <w:spacing w:line="360" w:lineRule="auto"/>
        <w:jc w:val="center"/>
        <w:rPr>
          <w:rFonts w:ascii="Times New Roman" w:hAnsi="Times New Roman" w:eastAsia="方正小标宋_GBK" w:cs="Times New Roman"/>
          <w:sz w:val="52"/>
          <w:szCs w:val="52"/>
        </w:rPr>
      </w:pPr>
    </w:p>
    <w:p w14:paraId="52BC4AF1">
      <w:pPr>
        <w:pStyle w:val="12"/>
        <w:spacing w:line="360" w:lineRule="auto"/>
        <w:jc w:val="center"/>
        <w:rPr>
          <w:rFonts w:ascii="Times New Roman" w:hAnsi="Times New Roman" w:eastAsia="方正小标宋_GBK" w:cs="Times New Roman"/>
          <w:sz w:val="52"/>
          <w:szCs w:val="52"/>
        </w:rPr>
      </w:pPr>
    </w:p>
    <w:p w14:paraId="5C0BE6EF">
      <w:pPr>
        <w:pStyle w:val="12"/>
        <w:spacing w:line="360" w:lineRule="auto"/>
        <w:jc w:val="center"/>
        <w:rPr>
          <w:rFonts w:ascii="Times New Roman" w:hAnsi="Times New Roman" w:eastAsia="方正小标宋_GBK" w:cs="Times New Roman"/>
          <w:sz w:val="52"/>
          <w:szCs w:val="52"/>
        </w:rPr>
      </w:pPr>
    </w:p>
    <w:p w14:paraId="578A7728">
      <w:pPr>
        <w:pStyle w:val="12"/>
        <w:spacing w:line="360" w:lineRule="auto"/>
        <w:jc w:val="center"/>
        <w:rPr>
          <w:rFonts w:ascii="Times New Roman" w:hAnsi="Times New Roman" w:eastAsia="方正小标宋_GBK" w:cs="Times New Roman"/>
          <w:sz w:val="52"/>
          <w:szCs w:val="52"/>
        </w:rPr>
      </w:pPr>
    </w:p>
    <w:p w14:paraId="085A74CD">
      <w:pPr>
        <w:pStyle w:val="12"/>
        <w:spacing w:line="360" w:lineRule="auto"/>
        <w:jc w:val="center"/>
        <w:rPr>
          <w:rFonts w:ascii="Times New Roman" w:hAnsi="Times New Roman" w:eastAsia="方正小标宋_GBK" w:cs="Times New Roman"/>
          <w:sz w:val="52"/>
          <w:szCs w:val="52"/>
        </w:rPr>
      </w:pPr>
    </w:p>
    <w:p w14:paraId="725A46AA">
      <w:pPr>
        <w:pStyle w:val="12"/>
        <w:spacing w:line="360" w:lineRule="auto"/>
        <w:jc w:val="center"/>
        <w:rPr>
          <w:rFonts w:ascii="Times New Roman" w:hAnsi="Times New Roman" w:eastAsia="方正小标宋_GBK" w:cs="Times New Roman"/>
          <w:sz w:val="52"/>
          <w:szCs w:val="52"/>
        </w:rPr>
      </w:pPr>
    </w:p>
    <w:p w14:paraId="44DF825D">
      <w:pPr>
        <w:pStyle w:val="12"/>
        <w:spacing w:line="360" w:lineRule="auto"/>
        <w:jc w:val="center"/>
        <w:rPr>
          <w:rFonts w:ascii="Times New Roman" w:hAnsi="Times New Roman" w:eastAsia="方正小标宋_GBK" w:cs="Times New Roman"/>
          <w:sz w:val="52"/>
          <w:szCs w:val="52"/>
        </w:rPr>
      </w:pPr>
    </w:p>
    <w:p w14:paraId="2953A66A">
      <w:pPr>
        <w:pStyle w:val="12"/>
        <w:spacing w:line="360" w:lineRule="auto"/>
        <w:jc w:val="center"/>
        <w:rPr>
          <w:rFonts w:ascii="Times New Roman" w:hAnsi="Times New Roman" w:eastAsia="方正小标宋_GBK" w:cs="Times New Roman"/>
          <w:sz w:val="52"/>
          <w:szCs w:val="52"/>
        </w:rPr>
      </w:pPr>
    </w:p>
    <w:p w14:paraId="4F015158">
      <w:pPr>
        <w:pStyle w:val="12"/>
        <w:spacing w:line="360" w:lineRule="auto"/>
        <w:jc w:val="center"/>
        <w:rPr>
          <w:rFonts w:ascii="Times New Roman" w:hAnsi="Times New Roman" w:eastAsia="方正小标宋_GBK" w:cs="Times New Roman"/>
          <w:sz w:val="52"/>
          <w:szCs w:val="52"/>
        </w:rPr>
      </w:pPr>
    </w:p>
    <w:p w14:paraId="74A234CF">
      <w:pPr>
        <w:pStyle w:val="12"/>
        <w:spacing w:line="360" w:lineRule="auto"/>
        <w:jc w:val="center"/>
        <w:rPr>
          <w:rFonts w:ascii="Times New Roman" w:hAnsi="Times New Roman" w:eastAsia="方正小标宋_GBK" w:cs="Times New Roman"/>
          <w:sz w:val="52"/>
          <w:szCs w:val="52"/>
        </w:rPr>
      </w:pPr>
    </w:p>
    <w:p w14:paraId="28ABD4C1">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第五部分   附 件</w:t>
      </w:r>
    </w:p>
    <w:p w14:paraId="5E167E96">
      <w:pPr>
        <w:rPr>
          <w:rFonts w:ascii="Times New Roman" w:hAnsi="Times New Roman" w:cs="Times New Roman"/>
          <w:sz w:val="72"/>
          <w:szCs w:val="72"/>
        </w:rPr>
      </w:pPr>
    </w:p>
    <w:p w14:paraId="4B90306C">
      <w:pPr>
        <w:pStyle w:val="12"/>
        <w:overflowPunct w:val="0"/>
        <w:autoSpaceDE/>
        <w:autoSpaceDN/>
        <w:spacing w:line="600" w:lineRule="exact"/>
        <w:ind w:firstLine="640" w:firstLineChars="200"/>
        <w:jc w:val="both"/>
        <w:rPr>
          <w:rFonts w:hint="eastAsia" w:ascii="仿宋" w:hAnsi="仿宋" w:eastAsia="仿宋" w:cs="仿宋"/>
          <w:kern w:val="0"/>
          <w:sz w:val="32"/>
          <w:szCs w:val="32"/>
        </w:rPr>
      </w:pPr>
      <w:r>
        <w:rPr>
          <w:rFonts w:hint="eastAsia" w:ascii="仿宋" w:hAnsi="仿宋" w:eastAsia="仿宋" w:cs="仿宋"/>
          <w:kern w:val="0"/>
          <w:sz w:val="32"/>
          <w:szCs w:val="32"/>
          <w:lang w:val="en-US" w:eastAsia="zh-CN"/>
        </w:rPr>
        <w:t>一、</w:t>
      </w:r>
      <w:r>
        <w:rPr>
          <w:rFonts w:hint="eastAsia" w:ascii="仿宋" w:hAnsi="仿宋" w:eastAsia="仿宋" w:cs="仿宋"/>
          <w:kern w:val="0"/>
          <w:sz w:val="32"/>
          <w:szCs w:val="32"/>
        </w:rPr>
        <w:t>202</w:t>
      </w:r>
      <w:r>
        <w:rPr>
          <w:rFonts w:hint="eastAsia" w:ascii="仿宋" w:hAnsi="仿宋" w:eastAsia="仿宋" w:cs="仿宋"/>
          <w:kern w:val="0"/>
          <w:sz w:val="32"/>
          <w:szCs w:val="32"/>
          <w:lang w:val="en-US" w:eastAsia="zh-CN"/>
        </w:rPr>
        <w:t>5</w:t>
      </w:r>
      <w:r>
        <w:rPr>
          <w:rFonts w:hint="eastAsia" w:ascii="仿宋" w:hAnsi="仿宋" w:eastAsia="仿宋" w:cs="仿宋"/>
          <w:kern w:val="0"/>
          <w:sz w:val="32"/>
          <w:szCs w:val="32"/>
        </w:rPr>
        <w:t>年度部门(单位)整体支出绩效自评报告</w:t>
      </w:r>
    </w:p>
    <w:p w14:paraId="486A005E">
      <w:pPr>
        <w:pStyle w:val="12"/>
        <w:overflowPunct w:val="0"/>
        <w:autoSpaceDE/>
        <w:autoSpaceDN/>
        <w:spacing w:line="600" w:lineRule="exact"/>
        <w:ind w:firstLine="640" w:firstLineChars="200"/>
        <w:jc w:val="both"/>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二、怀化市城市管理局2025年决算公开表</w:t>
      </w:r>
    </w:p>
    <w:p w14:paraId="1913B53C">
      <w:pPr>
        <w:pStyle w:val="12"/>
        <w:spacing w:line="600" w:lineRule="exact"/>
        <w:ind w:firstLine="640" w:firstLineChars="200"/>
        <w:rPr>
          <w:rFonts w:ascii="Times New Roman" w:hAnsi="Times New Roman" w:eastAsia="仿宋_GB2312" w:cs="Times New Roman"/>
          <w:sz w:val="32"/>
          <w:szCs w:val="32"/>
        </w:rPr>
      </w:pPr>
    </w:p>
    <w:p w14:paraId="143959ED">
      <w:pPr>
        <w:pStyle w:val="12"/>
        <w:jc w:val="center"/>
        <w:rPr>
          <w:rFonts w:ascii="Times New Roman" w:hAnsi="Times New Roman" w:cs="Times New Roman"/>
          <w:sz w:val="72"/>
          <w:szCs w:val="72"/>
        </w:rPr>
      </w:pPr>
    </w:p>
    <w:p w14:paraId="0774CD38">
      <w:pPr>
        <w:pStyle w:val="12"/>
        <w:jc w:val="center"/>
        <w:rPr>
          <w:rFonts w:ascii="Times New Roman" w:hAnsi="Times New Roman" w:cs="Times New Roman"/>
          <w:sz w:val="72"/>
          <w:szCs w:val="72"/>
        </w:rPr>
      </w:pPr>
    </w:p>
    <w:p w14:paraId="3FA15B2D">
      <w:pPr>
        <w:jc w:val="left"/>
        <w:rPr>
          <w:rFonts w:ascii="Times New Roman" w:hAnsi="Times New Roman" w:cs="Times New Roman"/>
          <w:color w:val="000000"/>
          <w:kern w:val="0"/>
          <w:sz w:val="32"/>
          <w:szCs w:val="32"/>
        </w:rPr>
      </w:pPr>
    </w:p>
    <w:sectPr>
      <w:pgSz w:w="11906" w:h="16838"/>
      <w:pgMar w:top="1417" w:right="1588" w:bottom="1417" w:left="1588"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00007A87" w:usb1="80000000" w:usb2="00000008" w:usb3="00000000" w:csb0="400001FF" w:csb1="FFFF0000"/>
  </w:font>
  <w:font w:name="宋体">
    <w:altName w:val="方正书宋_GBK"/>
    <w:panose1 w:val="02010600030101010101"/>
    <w:charset w:val="02"/>
    <w:family w:val="auto"/>
    <w:pitch w:val="default"/>
    <w:sig w:usb0="00000000" w:usb1="00000000" w:usb2="00000006" w:usb3="00000000" w:csb0="00040001" w:csb1="00000000"/>
  </w:font>
  <w:font w:name="Wingdings">
    <w:altName w:val="Noto Music"/>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Noto Music"/>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modern"/>
    <w:pitch w:val="default"/>
    <w:sig w:usb0="00000001" w:usb1="080E0000" w:usb2="00000000" w:usb3="00000000" w:csb0="00040000" w:csb1="00000000"/>
  </w:font>
  <w:font w:name="方正小标宋_GBK">
    <w:panose1 w:val="02000000000000000000"/>
    <w:charset w:val="86"/>
    <w:family w:val="script"/>
    <w:pitch w:val="default"/>
    <w:sig w:usb0="00000001" w:usb1="08000000" w:usb2="00000000" w:usb3="00000000" w:csb0="00040000" w:csb1="00000000"/>
  </w:font>
  <w:font w:name="仿宋">
    <w:altName w:val="方正仿宋_GBK"/>
    <w:panose1 w:val="02010609060101010101"/>
    <w:charset w:val="86"/>
    <w:family w:val="auto"/>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楷体">
    <w:altName w:val="方正楷体_GBK"/>
    <w:panose1 w:val="02010609060101010101"/>
    <w:charset w:val="86"/>
    <w:family w:val="modern"/>
    <w:pitch w:val="default"/>
    <w:sig w:usb0="00000000" w:usb1="00000000" w:usb2="00000016" w:usb3="00000000" w:csb0="00040001" w:csb1="00000000"/>
  </w:font>
  <w:font w:name="方正楷体_GBK">
    <w:panose1 w:val="02000000000000000000"/>
    <w:charset w:val="86"/>
    <w:family w:val="auto"/>
    <w:pitch w:val="default"/>
    <w:sig w:usb0="00000001" w:usb1="08000000" w:usb2="00000000" w:usb3="00000000" w:csb0="00040000" w:csb1="00000000"/>
  </w:font>
  <w:font w:name="Noto Music">
    <w:panose1 w:val="020B0502040504020204"/>
    <w:charset w:val="00"/>
    <w:family w:val="auto"/>
    <w:pitch w:val="default"/>
    <w:sig w:usb0="00000003" w:usb1="02006000" w:usb2="01000000" w:usb3="00000000" w:csb0="00000001"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63116E">
    <w:pPr>
      <w:pStyle w:val="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8F5019">
    <w:pPr>
      <w:pStyle w:val="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974545">
    <w:pPr>
      <w:pStyle w:val="5"/>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E9974B">
    <w:pPr>
      <w:pStyle w:val="5"/>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0F369B8">
                          <w:pPr>
                            <w:pStyle w:val="5"/>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00F369B8">
                    <w:pPr>
                      <w:pStyle w:val="5"/>
                    </w:pPr>
                    <w:r>
                      <w:fldChar w:fldCharType="begin"/>
                    </w:r>
                    <w:r>
                      <w:instrText xml:space="preserve"> PAGE  \* MERGEFORMAT </w:instrText>
                    </w:r>
                    <w:r>
                      <w:fldChar w:fldCharType="separate"/>
                    </w:r>
                    <w:r>
                      <w:t>20</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0595008"/>
    <w:multiLevelType w:val="singleLevel"/>
    <w:tmpl w:val="40595008"/>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06F9"/>
    <w:rsid w:val="0000001A"/>
    <w:rsid w:val="0002229B"/>
    <w:rsid w:val="000273BD"/>
    <w:rsid w:val="0003620C"/>
    <w:rsid w:val="00040CBC"/>
    <w:rsid w:val="000415B7"/>
    <w:rsid w:val="00041E3F"/>
    <w:rsid w:val="00055DAA"/>
    <w:rsid w:val="00061F7B"/>
    <w:rsid w:val="000658A3"/>
    <w:rsid w:val="00074155"/>
    <w:rsid w:val="00080785"/>
    <w:rsid w:val="000A3F69"/>
    <w:rsid w:val="000B20F1"/>
    <w:rsid w:val="000C5742"/>
    <w:rsid w:val="00103957"/>
    <w:rsid w:val="00152C6D"/>
    <w:rsid w:val="00162D39"/>
    <w:rsid w:val="001678BD"/>
    <w:rsid w:val="00182373"/>
    <w:rsid w:val="001A67DB"/>
    <w:rsid w:val="001B67D1"/>
    <w:rsid w:val="001C3C29"/>
    <w:rsid w:val="001D2B79"/>
    <w:rsid w:val="001D51E5"/>
    <w:rsid w:val="001E080D"/>
    <w:rsid w:val="001E53D0"/>
    <w:rsid w:val="001F0C3B"/>
    <w:rsid w:val="00202C82"/>
    <w:rsid w:val="00214427"/>
    <w:rsid w:val="00220689"/>
    <w:rsid w:val="00221AFD"/>
    <w:rsid w:val="00226CB7"/>
    <w:rsid w:val="00252450"/>
    <w:rsid w:val="00264552"/>
    <w:rsid w:val="00264EF9"/>
    <w:rsid w:val="00265724"/>
    <w:rsid w:val="0027426B"/>
    <w:rsid w:val="00296D60"/>
    <w:rsid w:val="002E0A30"/>
    <w:rsid w:val="0030077D"/>
    <w:rsid w:val="003130C4"/>
    <w:rsid w:val="00316C4B"/>
    <w:rsid w:val="0032192B"/>
    <w:rsid w:val="0033283E"/>
    <w:rsid w:val="003479BD"/>
    <w:rsid w:val="0037197D"/>
    <w:rsid w:val="003768D5"/>
    <w:rsid w:val="003926B9"/>
    <w:rsid w:val="003C2E17"/>
    <w:rsid w:val="003C47E6"/>
    <w:rsid w:val="003C4FC2"/>
    <w:rsid w:val="003D0404"/>
    <w:rsid w:val="00401F9A"/>
    <w:rsid w:val="00416E61"/>
    <w:rsid w:val="0042790C"/>
    <w:rsid w:val="004506F9"/>
    <w:rsid w:val="00462315"/>
    <w:rsid w:val="004717A2"/>
    <w:rsid w:val="00473DF3"/>
    <w:rsid w:val="00487911"/>
    <w:rsid w:val="00490F48"/>
    <w:rsid w:val="00491741"/>
    <w:rsid w:val="004B0CEE"/>
    <w:rsid w:val="004C2A0A"/>
    <w:rsid w:val="004F5EFB"/>
    <w:rsid w:val="00500E5F"/>
    <w:rsid w:val="005122EF"/>
    <w:rsid w:val="0051441A"/>
    <w:rsid w:val="00517C33"/>
    <w:rsid w:val="00517D5F"/>
    <w:rsid w:val="00523644"/>
    <w:rsid w:val="0054069E"/>
    <w:rsid w:val="00544866"/>
    <w:rsid w:val="00552A3D"/>
    <w:rsid w:val="00574CC8"/>
    <w:rsid w:val="005767CC"/>
    <w:rsid w:val="00590D9F"/>
    <w:rsid w:val="00595D26"/>
    <w:rsid w:val="005A74E6"/>
    <w:rsid w:val="005B404E"/>
    <w:rsid w:val="005D4D55"/>
    <w:rsid w:val="005E0E6C"/>
    <w:rsid w:val="005E2CFB"/>
    <w:rsid w:val="005F2103"/>
    <w:rsid w:val="005F3D1C"/>
    <w:rsid w:val="005F4189"/>
    <w:rsid w:val="006171EE"/>
    <w:rsid w:val="0062378F"/>
    <w:rsid w:val="00641842"/>
    <w:rsid w:val="00651EEC"/>
    <w:rsid w:val="00686673"/>
    <w:rsid w:val="00691E8C"/>
    <w:rsid w:val="006A22C4"/>
    <w:rsid w:val="006A351B"/>
    <w:rsid w:val="006B0422"/>
    <w:rsid w:val="006C1B53"/>
    <w:rsid w:val="006D7730"/>
    <w:rsid w:val="006E5284"/>
    <w:rsid w:val="006F3EB5"/>
    <w:rsid w:val="006F56C8"/>
    <w:rsid w:val="00702E34"/>
    <w:rsid w:val="00704395"/>
    <w:rsid w:val="00710FE7"/>
    <w:rsid w:val="00717621"/>
    <w:rsid w:val="00720FF1"/>
    <w:rsid w:val="00727A53"/>
    <w:rsid w:val="007502DE"/>
    <w:rsid w:val="00787B42"/>
    <w:rsid w:val="007C4539"/>
    <w:rsid w:val="007F3657"/>
    <w:rsid w:val="00810F0C"/>
    <w:rsid w:val="00811AA2"/>
    <w:rsid w:val="00812ED5"/>
    <w:rsid w:val="008277D9"/>
    <w:rsid w:val="0084478C"/>
    <w:rsid w:val="0086638C"/>
    <w:rsid w:val="008764FA"/>
    <w:rsid w:val="008A1079"/>
    <w:rsid w:val="008A3E8D"/>
    <w:rsid w:val="008A5055"/>
    <w:rsid w:val="008D17F4"/>
    <w:rsid w:val="009237C4"/>
    <w:rsid w:val="00944C48"/>
    <w:rsid w:val="00950252"/>
    <w:rsid w:val="00967F5D"/>
    <w:rsid w:val="009A0F95"/>
    <w:rsid w:val="009B3ADF"/>
    <w:rsid w:val="009C31C5"/>
    <w:rsid w:val="009C3B52"/>
    <w:rsid w:val="009E6817"/>
    <w:rsid w:val="009E6E9A"/>
    <w:rsid w:val="00A01D2B"/>
    <w:rsid w:val="00A1392A"/>
    <w:rsid w:val="00A42218"/>
    <w:rsid w:val="00A70249"/>
    <w:rsid w:val="00A70B02"/>
    <w:rsid w:val="00A71D9F"/>
    <w:rsid w:val="00A92E9F"/>
    <w:rsid w:val="00AB18FF"/>
    <w:rsid w:val="00B26269"/>
    <w:rsid w:val="00B33BEA"/>
    <w:rsid w:val="00B57C9F"/>
    <w:rsid w:val="00B63572"/>
    <w:rsid w:val="00B845B3"/>
    <w:rsid w:val="00B85D8B"/>
    <w:rsid w:val="00BB4A40"/>
    <w:rsid w:val="00BD6022"/>
    <w:rsid w:val="00BD6C3E"/>
    <w:rsid w:val="00BE3674"/>
    <w:rsid w:val="00C10681"/>
    <w:rsid w:val="00C10822"/>
    <w:rsid w:val="00C15C89"/>
    <w:rsid w:val="00C27C0D"/>
    <w:rsid w:val="00C3049A"/>
    <w:rsid w:val="00C31B1E"/>
    <w:rsid w:val="00C32F2E"/>
    <w:rsid w:val="00C73888"/>
    <w:rsid w:val="00C77645"/>
    <w:rsid w:val="00CE04C3"/>
    <w:rsid w:val="00CE34BE"/>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74360"/>
    <w:rsid w:val="00FB462F"/>
    <w:rsid w:val="00FE16FA"/>
    <w:rsid w:val="00FE328A"/>
    <w:rsid w:val="00FE6269"/>
    <w:rsid w:val="00FF5CD6"/>
    <w:rsid w:val="010569BB"/>
    <w:rsid w:val="011473B7"/>
    <w:rsid w:val="01203FAE"/>
    <w:rsid w:val="01216543"/>
    <w:rsid w:val="0179546C"/>
    <w:rsid w:val="019D55FE"/>
    <w:rsid w:val="01FB40D3"/>
    <w:rsid w:val="021B4775"/>
    <w:rsid w:val="02704AC1"/>
    <w:rsid w:val="028B18FB"/>
    <w:rsid w:val="032F2286"/>
    <w:rsid w:val="036D7252"/>
    <w:rsid w:val="03806F86"/>
    <w:rsid w:val="0388408C"/>
    <w:rsid w:val="03912F41"/>
    <w:rsid w:val="03C2759E"/>
    <w:rsid w:val="03C54999"/>
    <w:rsid w:val="03CA1FAF"/>
    <w:rsid w:val="03D177E1"/>
    <w:rsid w:val="03E77005"/>
    <w:rsid w:val="04041965"/>
    <w:rsid w:val="048E56D2"/>
    <w:rsid w:val="04AE18D1"/>
    <w:rsid w:val="04F32337"/>
    <w:rsid w:val="05290F57"/>
    <w:rsid w:val="053C512E"/>
    <w:rsid w:val="05CD5D86"/>
    <w:rsid w:val="05D90BCF"/>
    <w:rsid w:val="05FD48BE"/>
    <w:rsid w:val="068943A3"/>
    <w:rsid w:val="06952D48"/>
    <w:rsid w:val="06F21F49"/>
    <w:rsid w:val="06FD269B"/>
    <w:rsid w:val="06FF6413"/>
    <w:rsid w:val="077B0190"/>
    <w:rsid w:val="077E558A"/>
    <w:rsid w:val="079129E8"/>
    <w:rsid w:val="07A34FF1"/>
    <w:rsid w:val="07AA637F"/>
    <w:rsid w:val="08A07782"/>
    <w:rsid w:val="08C47915"/>
    <w:rsid w:val="08F4027B"/>
    <w:rsid w:val="093305F6"/>
    <w:rsid w:val="098B0432"/>
    <w:rsid w:val="0A481E7F"/>
    <w:rsid w:val="0A490605"/>
    <w:rsid w:val="0A8729A8"/>
    <w:rsid w:val="0A9269BE"/>
    <w:rsid w:val="0AC534D0"/>
    <w:rsid w:val="0AE53B72"/>
    <w:rsid w:val="0B212DFC"/>
    <w:rsid w:val="0B4D1E43"/>
    <w:rsid w:val="0B57681E"/>
    <w:rsid w:val="0BF95B27"/>
    <w:rsid w:val="0C230DF6"/>
    <w:rsid w:val="0C741652"/>
    <w:rsid w:val="0CC25F19"/>
    <w:rsid w:val="0D4A5F0F"/>
    <w:rsid w:val="0D5079C9"/>
    <w:rsid w:val="0DBC6E0C"/>
    <w:rsid w:val="0DC42165"/>
    <w:rsid w:val="0E15476E"/>
    <w:rsid w:val="0F1D1B2D"/>
    <w:rsid w:val="0F3B0205"/>
    <w:rsid w:val="0F7A0D2D"/>
    <w:rsid w:val="0F825E34"/>
    <w:rsid w:val="0F987405"/>
    <w:rsid w:val="0FBF2BE4"/>
    <w:rsid w:val="11CE5360"/>
    <w:rsid w:val="11F56D91"/>
    <w:rsid w:val="12192A7F"/>
    <w:rsid w:val="12394ECF"/>
    <w:rsid w:val="126F08F1"/>
    <w:rsid w:val="127C300E"/>
    <w:rsid w:val="128819B3"/>
    <w:rsid w:val="12C14EC5"/>
    <w:rsid w:val="137B32C6"/>
    <w:rsid w:val="146D2C0E"/>
    <w:rsid w:val="1573694A"/>
    <w:rsid w:val="16CA259A"/>
    <w:rsid w:val="16EA111F"/>
    <w:rsid w:val="17702B0E"/>
    <w:rsid w:val="177469AA"/>
    <w:rsid w:val="17C50FB3"/>
    <w:rsid w:val="17CF388E"/>
    <w:rsid w:val="183323C1"/>
    <w:rsid w:val="18972950"/>
    <w:rsid w:val="18BD7EDC"/>
    <w:rsid w:val="18FC0A05"/>
    <w:rsid w:val="190D2C12"/>
    <w:rsid w:val="19341F4D"/>
    <w:rsid w:val="196B7938"/>
    <w:rsid w:val="197131A1"/>
    <w:rsid w:val="19832ED4"/>
    <w:rsid w:val="19B412DF"/>
    <w:rsid w:val="19D41982"/>
    <w:rsid w:val="1A2E2E40"/>
    <w:rsid w:val="1A3B555D"/>
    <w:rsid w:val="1A732F49"/>
    <w:rsid w:val="1A872550"/>
    <w:rsid w:val="1A907657"/>
    <w:rsid w:val="1A9D7FC6"/>
    <w:rsid w:val="1B544B28"/>
    <w:rsid w:val="1BCF0653"/>
    <w:rsid w:val="1C47643B"/>
    <w:rsid w:val="1D7E7C3A"/>
    <w:rsid w:val="1D97DEFF"/>
    <w:rsid w:val="1DE1641B"/>
    <w:rsid w:val="1DFF72E5"/>
    <w:rsid w:val="1E2A7DC2"/>
    <w:rsid w:val="1EB8717C"/>
    <w:rsid w:val="1EFC6F07"/>
    <w:rsid w:val="1F170346"/>
    <w:rsid w:val="1F1C3BAF"/>
    <w:rsid w:val="1F6D440A"/>
    <w:rsid w:val="1F817EB6"/>
    <w:rsid w:val="1F8D0609"/>
    <w:rsid w:val="212A1E87"/>
    <w:rsid w:val="21BC51D5"/>
    <w:rsid w:val="222C235B"/>
    <w:rsid w:val="22364F87"/>
    <w:rsid w:val="225673D8"/>
    <w:rsid w:val="228757E3"/>
    <w:rsid w:val="229B128E"/>
    <w:rsid w:val="23270D74"/>
    <w:rsid w:val="237D0994"/>
    <w:rsid w:val="24DD5B8E"/>
    <w:rsid w:val="24FA6740"/>
    <w:rsid w:val="2540611D"/>
    <w:rsid w:val="25873D4C"/>
    <w:rsid w:val="25902C01"/>
    <w:rsid w:val="264F486A"/>
    <w:rsid w:val="2668592C"/>
    <w:rsid w:val="26E01966"/>
    <w:rsid w:val="270513CC"/>
    <w:rsid w:val="272E26D1"/>
    <w:rsid w:val="27675BE3"/>
    <w:rsid w:val="279F537D"/>
    <w:rsid w:val="27C70430"/>
    <w:rsid w:val="284B72B3"/>
    <w:rsid w:val="28924EE2"/>
    <w:rsid w:val="28A6098D"/>
    <w:rsid w:val="28A71B9A"/>
    <w:rsid w:val="290C6A42"/>
    <w:rsid w:val="29852351"/>
    <w:rsid w:val="29890093"/>
    <w:rsid w:val="299D3B3E"/>
    <w:rsid w:val="29A529F3"/>
    <w:rsid w:val="29C70BBB"/>
    <w:rsid w:val="2A49742A"/>
    <w:rsid w:val="2A8009FA"/>
    <w:rsid w:val="2A950CB9"/>
    <w:rsid w:val="2B34402E"/>
    <w:rsid w:val="2B856638"/>
    <w:rsid w:val="2B8D373E"/>
    <w:rsid w:val="2BDB26FC"/>
    <w:rsid w:val="2C1005F7"/>
    <w:rsid w:val="2C491D5B"/>
    <w:rsid w:val="2CAF6062"/>
    <w:rsid w:val="2CD535EF"/>
    <w:rsid w:val="2D636E4D"/>
    <w:rsid w:val="2D8D3ECA"/>
    <w:rsid w:val="2D99461C"/>
    <w:rsid w:val="2DAD2ED8"/>
    <w:rsid w:val="2DB651CE"/>
    <w:rsid w:val="2DFF6B75"/>
    <w:rsid w:val="2E513149"/>
    <w:rsid w:val="2E8801F8"/>
    <w:rsid w:val="2EE6563F"/>
    <w:rsid w:val="2F266384"/>
    <w:rsid w:val="2F3A598B"/>
    <w:rsid w:val="2FDF85B8"/>
    <w:rsid w:val="2FFFEE04"/>
    <w:rsid w:val="30004E27"/>
    <w:rsid w:val="3002294D"/>
    <w:rsid w:val="300466C5"/>
    <w:rsid w:val="30087837"/>
    <w:rsid w:val="304A7E50"/>
    <w:rsid w:val="307A6987"/>
    <w:rsid w:val="313F54DB"/>
    <w:rsid w:val="31992E3D"/>
    <w:rsid w:val="32A0644D"/>
    <w:rsid w:val="32DA195F"/>
    <w:rsid w:val="32F10A57"/>
    <w:rsid w:val="32F32A21"/>
    <w:rsid w:val="332D5F33"/>
    <w:rsid w:val="339B7340"/>
    <w:rsid w:val="33F16F60"/>
    <w:rsid w:val="3411315F"/>
    <w:rsid w:val="34DF85B0"/>
    <w:rsid w:val="34F860CC"/>
    <w:rsid w:val="3517739E"/>
    <w:rsid w:val="357E2A76"/>
    <w:rsid w:val="368C2F70"/>
    <w:rsid w:val="369167D9"/>
    <w:rsid w:val="36EA5EE9"/>
    <w:rsid w:val="36F154C9"/>
    <w:rsid w:val="3710594F"/>
    <w:rsid w:val="37621F23"/>
    <w:rsid w:val="37B409D1"/>
    <w:rsid w:val="37DC7F27"/>
    <w:rsid w:val="38303DCF"/>
    <w:rsid w:val="38312021"/>
    <w:rsid w:val="386D6DD1"/>
    <w:rsid w:val="386E3E21"/>
    <w:rsid w:val="38750261"/>
    <w:rsid w:val="38E250CA"/>
    <w:rsid w:val="38FD0155"/>
    <w:rsid w:val="39007C46"/>
    <w:rsid w:val="392576AC"/>
    <w:rsid w:val="3942200C"/>
    <w:rsid w:val="395835DE"/>
    <w:rsid w:val="39D78B7D"/>
    <w:rsid w:val="3A39340F"/>
    <w:rsid w:val="3A6366DE"/>
    <w:rsid w:val="3B021A53"/>
    <w:rsid w:val="3B3E704F"/>
    <w:rsid w:val="3B5953EB"/>
    <w:rsid w:val="3B7172BA"/>
    <w:rsid w:val="3B8F36BC"/>
    <w:rsid w:val="3B9823B7"/>
    <w:rsid w:val="3BEE0229"/>
    <w:rsid w:val="3C0812EB"/>
    <w:rsid w:val="3C3E4D0D"/>
    <w:rsid w:val="3C860462"/>
    <w:rsid w:val="3CC33464"/>
    <w:rsid w:val="3D1912D6"/>
    <w:rsid w:val="3DD1570D"/>
    <w:rsid w:val="3E1F291C"/>
    <w:rsid w:val="3E287A22"/>
    <w:rsid w:val="3EA572C5"/>
    <w:rsid w:val="3EAE5A4E"/>
    <w:rsid w:val="3F402B4A"/>
    <w:rsid w:val="3F690B91"/>
    <w:rsid w:val="3FB53538"/>
    <w:rsid w:val="3FE536F1"/>
    <w:rsid w:val="3FFC1167"/>
    <w:rsid w:val="401A15ED"/>
    <w:rsid w:val="40866C82"/>
    <w:rsid w:val="40BE641C"/>
    <w:rsid w:val="40C17CBA"/>
    <w:rsid w:val="4105229D"/>
    <w:rsid w:val="411E335F"/>
    <w:rsid w:val="412A3AB2"/>
    <w:rsid w:val="41D61543"/>
    <w:rsid w:val="42707BEA"/>
    <w:rsid w:val="42D9578F"/>
    <w:rsid w:val="42EB7271"/>
    <w:rsid w:val="434A3F97"/>
    <w:rsid w:val="435117C9"/>
    <w:rsid w:val="436C03B1"/>
    <w:rsid w:val="43CC70A2"/>
    <w:rsid w:val="43CE2E1A"/>
    <w:rsid w:val="446C2633"/>
    <w:rsid w:val="447A4D50"/>
    <w:rsid w:val="44AD0C81"/>
    <w:rsid w:val="45592BB7"/>
    <w:rsid w:val="4597723C"/>
    <w:rsid w:val="45A55DFD"/>
    <w:rsid w:val="468A6DA0"/>
    <w:rsid w:val="469B0FAE"/>
    <w:rsid w:val="46A47E62"/>
    <w:rsid w:val="472E597E"/>
    <w:rsid w:val="47482EE3"/>
    <w:rsid w:val="479779C7"/>
    <w:rsid w:val="47D429C9"/>
    <w:rsid w:val="48166B3E"/>
    <w:rsid w:val="48E21116"/>
    <w:rsid w:val="491FF225"/>
    <w:rsid w:val="49BF6D61"/>
    <w:rsid w:val="49DB003F"/>
    <w:rsid w:val="4A407EA2"/>
    <w:rsid w:val="4A914BA1"/>
    <w:rsid w:val="4AB56AE2"/>
    <w:rsid w:val="4B0D06CC"/>
    <w:rsid w:val="4C0F2222"/>
    <w:rsid w:val="4C1415E6"/>
    <w:rsid w:val="4C7E73A7"/>
    <w:rsid w:val="4C9E5354"/>
    <w:rsid w:val="4CF82CB6"/>
    <w:rsid w:val="4D4E6D7A"/>
    <w:rsid w:val="4E1E674C"/>
    <w:rsid w:val="4E4D0DDF"/>
    <w:rsid w:val="4E6C395B"/>
    <w:rsid w:val="4E880069"/>
    <w:rsid w:val="4EE5726A"/>
    <w:rsid w:val="4EFD2805"/>
    <w:rsid w:val="4FCE41A2"/>
    <w:rsid w:val="4FFD214C"/>
    <w:rsid w:val="505C7A00"/>
    <w:rsid w:val="50926F7D"/>
    <w:rsid w:val="509E1DC6"/>
    <w:rsid w:val="50C35389"/>
    <w:rsid w:val="51422751"/>
    <w:rsid w:val="51890380"/>
    <w:rsid w:val="51AA02F7"/>
    <w:rsid w:val="51BF3DA2"/>
    <w:rsid w:val="5253098E"/>
    <w:rsid w:val="52FE4D9E"/>
    <w:rsid w:val="53755060"/>
    <w:rsid w:val="53E915AA"/>
    <w:rsid w:val="540463E4"/>
    <w:rsid w:val="540939FA"/>
    <w:rsid w:val="546155E5"/>
    <w:rsid w:val="54890697"/>
    <w:rsid w:val="54B0031A"/>
    <w:rsid w:val="54BB2F47"/>
    <w:rsid w:val="54FE1085"/>
    <w:rsid w:val="55E42029"/>
    <w:rsid w:val="55E83909"/>
    <w:rsid w:val="56156687"/>
    <w:rsid w:val="56680EAC"/>
    <w:rsid w:val="569F0646"/>
    <w:rsid w:val="56DA167E"/>
    <w:rsid w:val="5777D4F5"/>
    <w:rsid w:val="57AC301B"/>
    <w:rsid w:val="58474AF1"/>
    <w:rsid w:val="586B07E0"/>
    <w:rsid w:val="5870229A"/>
    <w:rsid w:val="589C6BEB"/>
    <w:rsid w:val="596D2336"/>
    <w:rsid w:val="59B937CD"/>
    <w:rsid w:val="59DD8326"/>
    <w:rsid w:val="5A1153B7"/>
    <w:rsid w:val="5A205D3C"/>
    <w:rsid w:val="5A6E2809"/>
    <w:rsid w:val="5AC16DDD"/>
    <w:rsid w:val="5ACD39D4"/>
    <w:rsid w:val="5ADF54B5"/>
    <w:rsid w:val="5B1C04B7"/>
    <w:rsid w:val="5B1F1D55"/>
    <w:rsid w:val="5B661732"/>
    <w:rsid w:val="5BBC75A4"/>
    <w:rsid w:val="5C272C70"/>
    <w:rsid w:val="5C292E8C"/>
    <w:rsid w:val="5C8C51C9"/>
    <w:rsid w:val="5C930305"/>
    <w:rsid w:val="5CBD5382"/>
    <w:rsid w:val="5D4B0BE0"/>
    <w:rsid w:val="5D5A52C7"/>
    <w:rsid w:val="5D79574D"/>
    <w:rsid w:val="5DEF592A"/>
    <w:rsid w:val="5E602469"/>
    <w:rsid w:val="5E677C9B"/>
    <w:rsid w:val="5EE94B54"/>
    <w:rsid w:val="5F1D47FE"/>
    <w:rsid w:val="5F381638"/>
    <w:rsid w:val="5F7408C2"/>
    <w:rsid w:val="5FC6BB1E"/>
    <w:rsid w:val="5FF720F1"/>
    <w:rsid w:val="60003F04"/>
    <w:rsid w:val="60522285"/>
    <w:rsid w:val="60B3541A"/>
    <w:rsid w:val="60DA29A7"/>
    <w:rsid w:val="60E6759D"/>
    <w:rsid w:val="61265BEC"/>
    <w:rsid w:val="61573FF7"/>
    <w:rsid w:val="615D0EE2"/>
    <w:rsid w:val="61946FF9"/>
    <w:rsid w:val="619E1C26"/>
    <w:rsid w:val="61A92379"/>
    <w:rsid w:val="61DA5BB5"/>
    <w:rsid w:val="61DA69D6"/>
    <w:rsid w:val="61DC62AA"/>
    <w:rsid w:val="62165C60"/>
    <w:rsid w:val="62714880"/>
    <w:rsid w:val="630E4B89"/>
    <w:rsid w:val="633914DA"/>
    <w:rsid w:val="63E31B72"/>
    <w:rsid w:val="63E458EA"/>
    <w:rsid w:val="63E678B4"/>
    <w:rsid w:val="640D3093"/>
    <w:rsid w:val="642B52C7"/>
    <w:rsid w:val="645C7B76"/>
    <w:rsid w:val="6477675E"/>
    <w:rsid w:val="648275DD"/>
    <w:rsid w:val="649B41FB"/>
    <w:rsid w:val="64C33752"/>
    <w:rsid w:val="65295CAB"/>
    <w:rsid w:val="658630FD"/>
    <w:rsid w:val="65B85280"/>
    <w:rsid w:val="65D35C16"/>
    <w:rsid w:val="665705F5"/>
    <w:rsid w:val="66751EB7"/>
    <w:rsid w:val="66B71094"/>
    <w:rsid w:val="674548F2"/>
    <w:rsid w:val="67E660D5"/>
    <w:rsid w:val="67EC2FBF"/>
    <w:rsid w:val="67FF5C0B"/>
    <w:rsid w:val="684706A4"/>
    <w:rsid w:val="6848469A"/>
    <w:rsid w:val="686B65DA"/>
    <w:rsid w:val="696E0130"/>
    <w:rsid w:val="69A9560C"/>
    <w:rsid w:val="69F66377"/>
    <w:rsid w:val="6A050368"/>
    <w:rsid w:val="6A152CA1"/>
    <w:rsid w:val="6A7A48B2"/>
    <w:rsid w:val="6A7F45BF"/>
    <w:rsid w:val="6A9A4F55"/>
    <w:rsid w:val="6B20545A"/>
    <w:rsid w:val="6BE04BE9"/>
    <w:rsid w:val="6C1A634D"/>
    <w:rsid w:val="6C494E84"/>
    <w:rsid w:val="6C830396"/>
    <w:rsid w:val="6CDC3602"/>
    <w:rsid w:val="6D25144D"/>
    <w:rsid w:val="6D793547"/>
    <w:rsid w:val="6D7952F5"/>
    <w:rsid w:val="6D7D01AD"/>
    <w:rsid w:val="6DBE0F5A"/>
    <w:rsid w:val="6DBE53FE"/>
    <w:rsid w:val="6DDD3AD6"/>
    <w:rsid w:val="6DE07122"/>
    <w:rsid w:val="6E146DCC"/>
    <w:rsid w:val="6E5A0C83"/>
    <w:rsid w:val="6E697118"/>
    <w:rsid w:val="6EC802E2"/>
    <w:rsid w:val="6EFC0924"/>
    <w:rsid w:val="6EFF182A"/>
    <w:rsid w:val="6F14550A"/>
    <w:rsid w:val="6F286FD3"/>
    <w:rsid w:val="6F307C36"/>
    <w:rsid w:val="6F327E52"/>
    <w:rsid w:val="6F59718C"/>
    <w:rsid w:val="6FB74722"/>
    <w:rsid w:val="6FB865A9"/>
    <w:rsid w:val="6FEF8B7E"/>
    <w:rsid w:val="70313C65"/>
    <w:rsid w:val="706A7177"/>
    <w:rsid w:val="70741DA4"/>
    <w:rsid w:val="70763D6E"/>
    <w:rsid w:val="707A1AB0"/>
    <w:rsid w:val="70B623BC"/>
    <w:rsid w:val="70E60EF4"/>
    <w:rsid w:val="71722787"/>
    <w:rsid w:val="71844269"/>
    <w:rsid w:val="71A6591B"/>
    <w:rsid w:val="72084E9A"/>
    <w:rsid w:val="723B22CD"/>
    <w:rsid w:val="723F4D5F"/>
    <w:rsid w:val="725C51B7"/>
    <w:rsid w:val="72897D89"/>
    <w:rsid w:val="72D059B7"/>
    <w:rsid w:val="72D74F98"/>
    <w:rsid w:val="72DD00D4"/>
    <w:rsid w:val="737D59BA"/>
    <w:rsid w:val="73C44DF0"/>
    <w:rsid w:val="73C92407"/>
    <w:rsid w:val="73FB08E0"/>
    <w:rsid w:val="74980757"/>
    <w:rsid w:val="74BF5CE3"/>
    <w:rsid w:val="753F5076"/>
    <w:rsid w:val="75510906"/>
    <w:rsid w:val="75A35605"/>
    <w:rsid w:val="766F54E7"/>
    <w:rsid w:val="776808B4"/>
    <w:rsid w:val="77C37683"/>
    <w:rsid w:val="77DB72D8"/>
    <w:rsid w:val="77F57C6E"/>
    <w:rsid w:val="782A3DBC"/>
    <w:rsid w:val="79075EAB"/>
    <w:rsid w:val="794E7636"/>
    <w:rsid w:val="79D19834"/>
    <w:rsid w:val="79D264B9"/>
    <w:rsid w:val="79DF4732"/>
    <w:rsid w:val="79FF515B"/>
    <w:rsid w:val="7A097A01"/>
    <w:rsid w:val="7A5944E4"/>
    <w:rsid w:val="7A94551C"/>
    <w:rsid w:val="7ABE6A3D"/>
    <w:rsid w:val="7ACB4CB6"/>
    <w:rsid w:val="7AF57A89"/>
    <w:rsid w:val="7B58479C"/>
    <w:rsid w:val="7BBF2A6D"/>
    <w:rsid w:val="7BEB3862"/>
    <w:rsid w:val="7BF549BF"/>
    <w:rsid w:val="7C7C095E"/>
    <w:rsid w:val="7CBA515F"/>
    <w:rsid w:val="7CBB1486"/>
    <w:rsid w:val="7D851A94"/>
    <w:rsid w:val="7D9677FD"/>
    <w:rsid w:val="7E0155BF"/>
    <w:rsid w:val="7E097FCF"/>
    <w:rsid w:val="7E1F3C97"/>
    <w:rsid w:val="7E3A34BA"/>
    <w:rsid w:val="7E9E1962"/>
    <w:rsid w:val="7E9F11B4"/>
    <w:rsid w:val="7EC14D4E"/>
    <w:rsid w:val="7EC81C39"/>
    <w:rsid w:val="7F054C3B"/>
    <w:rsid w:val="7F0D7F93"/>
    <w:rsid w:val="7F2350C1"/>
    <w:rsid w:val="7F2A644F"/>
    <w:rsid w:val="7F37EC1E"/>
    <w:rsid w:val="7F475253"/>
    <w:rsid w:val="7F78365F"/>
    <w:rsid w:val="7F7DCD9D"/>
    <w:rsid w:val="7F970A6F"/>
    <w:rsid w:val="7FC1FFF3"/>
    <w:rsid w:val="7FC69637"/>
    <w:rsid w:val="7FDF8620"/>
    <w:rsid w:val="7FE8C8F7"/>
    <w:rsid w:val="7FFB242F"/>
    <w:rsid w:val="7FFDB408"/>
    <w:rsid w:val="7FFE4EEB"/>
    <w:rsid w:val="95FB2B98"/>
    <w:rsid w:val="9A639BC2"/>
    <w:rsid w:val="9BFA491D"/>
    <w:rsid w:val="9FF7D786"/>
    <w:rsid w:val="ABBFB23D"/>
    <w:rsid w:val="B6AFFE39"/>
    <w:rsid w:val="C3B4DA5A"/>
    <w:rsid w:val="CBFF70E0"/>
    <w:rsid w:val="CFF50B82"/>
    <w:rsid w:val="CFFFAD89"/>
    <w:rsid w:val="DFFE359E"/>
    <w:rsid w:val="DFFE4FFD"/>
    <w:rsid w:val="EEABED75"/>
    <w:rsid w:val="F56FDF51"/>
    <w:rsid w:val="F6B69F17"/>
    <w:rsid w:val="F77F1D61"/>
    <w:rsid w:val="F7FED3A9"/>
    <w:rsid w:val="F8C9DB26"/>
    <w:rsid w:val="F97E8EAE"/>
    <w:rsid w:val="FB36E1A6"/>
    <w:rsid w:val="FB3BE134"/>
    <w:rsid w:val="FCFF4275"/>
    <w:rsid w:val="FD7FEEEA"/>
    <w:rsid w:val="FDFFB577"/>
    <w:rsid w:val="FEEA50FE"/>
    <w:rsid w:val="FF7D47A9"/>
    <w:rsid w:val="FF7F63BE"/>
    <w:rsid w:val="FFCF21CB"/>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Body Text Indent"/>
    <w:basedOn w:val="1"/>
    <w:next w:val="3"/>
    <w:unhideWhenUsed/>
    <w:qFormat/>
    <w:uiPriority w:val="99"/>
    <w:pPr>
      <w:widowControl/>
      <w:spacing w:after="120"/>
      <w:ind w:left="420" w:leftChars="200"/>
      <w:jc w:val="left"/>
    </w:pPr>
    <w:rPr>
      <w:rFonts w:ascii="宋体" w:hAnsi="宋体" w:eastAsia="宋体" w:cs="宋体"/>
      <w:kern w:val="0"/>
      <w:sz w:val="24"/>
    </w:rPr>
  </w:style>
  <w:style w:type="paragraph" w:styleId="3">
    <w:name w:val="Body Text First Indent 2"/>
    <w:basedOn w:val="2"/>
    <w:next w:val="1"/>
    <w:unhideWhenUsed/>
    <w:qFormat/>
    <w:uiPriority w:val="99"/>
    <w:pPr>
      <w:ind w:firstLine="420" w:firstLineChars="200"/>
    </w:pPr>
  </w:style>
  <w:style w:type="paragraph" w:styleId="4">
    <w:name w:val="Balloon Text"/>
    <w:basedOn w:val="1"/>
    <w:link w:val="14"/>
    <w:semiHidden/>
    <w:unhideWhenUsed/>
    <w:qFormat/>
    <w:uiPriority w:val="99"/>
    <w:rPr>
      <w:sz w:val="18"/>
      <w:szCs w:val="18"/>
    </w:rPr>
  </w:style>
  <w:style w:type="paragraph" w:styleId="5">
    <w:name w:val="footer"/>
    <w:basedOn w:val="1"/>
    <w:link w:val="11"/>
    <w:unhideWhenUsed/>
    <w:qFormat/>
    <w:uiPriority w:val="99"/>
    <w:pPr>
      <w:tabs>
        <w:tab w:val="center" w:pos="4153"/>
        <w:tab w:val="right" w:pos="8306"/>
      </w:tabs>
      <w:snapToGrid w:val="0"/>
      <w:jc w:val="left"/>
    </w:pPr>
    <w:rPr>
      <w:sz w:val="18"/>
      <w:szCs w:val="18"/>
    </w:rPr>
  </w:style>
  <w:style w:type="paragraph" w:styleId="6">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footnote text"/>
    <w:basedOn w:val="1"/>
    <w:next w:val="3"/>
    <w:semiHidden/>
    <w:qFormat/>
    <w:uiPriority w:val="0"/>
    <w:pPr>
      <w:snapToGrid w:val="0"/>
      <w:jc w:val="left"/>
    </w:pPr>
    <w:rPr>
      <w:sz w:val="18"/>
      <w:szCs w:val="18"/>
    </w:rPr>
  </w:style>
  <w:style w:type="character" w:customStyle="1" w:styleId="10">
    <w:name w:val="页眉 Char"/>
    <w:basedOn w:val="9"/>
    <w:link w:val="6"/>
    <w:qFormat/>
    <w:uiPriority w:val="99"/>
    <w:rPr>
      <w:sz w:val="18"/>
      <w:szCs w:val="18"/>
    </w:rPr>
  </w:style>
  <w:style w:type="character" w:customStyle="1" w:styleId="11">
    <w:name w:val="页脚 Char"/>
    <w:basedOn w:val="9"/>
    <w:link w:val="5"/>
    <w:qFormat/>
    <w:uiPriority w:val="99"/>
    <w:rPr>
      <w:sz w:val="18"/>
      <w:szCs w:val="18"/>
    </w:rPr>
  </w:style>
  <w:style w:type="paragraph" w:customStyle="1" w:styleId="12">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3">
    <w:name w:val="List Paragraph"/>
    <w:basedOn w:val="1"/>
    <w:qFormat/>
    <w:uiPriority w:val="34"/>
    <w:pPr>
      <w:ind w:firstLine="420" w:firstLineChars="200"/>
    </w:pPr>
  </w:style>
  <w:style w:type="character" w:customStyle="1" w:styleId="14">
    <w:name w:val="批注框文本 Char"/>
    <w:basedOn w:val="9"/>
    <w:link w:val="4"/>
    <w:semiHidden/>
    <w:qFormat/>
    <w:uiPriority w:val="99"/>
    <w:rPr>
      <w:sz w:val="18"/>
      <w:szCs w:val="18"/>
    </w:rPr>
  </w:style>
  <w:style w:type="character" w:customStyle="1" w:styleId="15">
    <w:name w:val="font01"/>
    <w:basedOn w:val="9"/>
    <w:qFormat/>
    <w:uiPriority w:val="0"/>
    <w:rPr>
      <w:rFonts w:hint="eastAsia" w:ascii="宋体" w:hAnsi="宋体" w:eastAsia="宋体" w:cs="宋体"/>
      <w:color w:val="000000"/>
      <w:sz w:val="22"/>
      <w:szCs w:val="22"/>
      <w:u w:val="none"/>
    </w:rPr>
  </w:style>
  <w:style w:type="character" w:customStyle="1" w:styleId="16">
    <w:name w:val="font21"/>
    <w:basedOn w:val="9"/>
    <w:qFormat/>
    <w:uiPriority w:val="0"/>
    <w:rPr>
      <w:rFonts w:hint="eastAsia" w:ascii="宋体" w:hAnsi="宋体" w:eastAsia="宋体" w:cs="宋体"/>
      <w:color w:val="000000"/>
      <w:sz w:val="24"/>
      <w:szCs w:val="24"/>
      <w:u w:val="none"/>
    </w:rPr>
  </w:style>
  <w:style w:type="character" w:customStyle="1" w:styleId="17">
    <w:name w:val="font11"/>
    <w:basedOn w:val="9"/>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24</Pages>
  <Words>20</Words>
  <Characters>23</Characters>
  <Lines>69</Lines>
  <Paragraphs>19</Paragraphs>
  <TotalTime>25</TotalTime>
  <ScaleCrop>false</ScaleCrop>
  <LinksUpToDate>false</LinksUpToDate>
  <CharactersWithSpaces>25</CharactersWithSpaces>
  <Application>WPS Office_12.1.2.23578_F1E327BC-269C-435d-A152-05C5408002CA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2025-08-20T02:17:00Z</dcterms:created>
  <dc:creator>李航 null</dc:creator>
  <cp:lastModifiedBy>A梦</cp:lastModifiedBy>
  <cp:lastPrinted>2024-08-10T10:20:00Z</cp:lastPrinted>
  <dcterms:modified xsi:type="dcterms:W3CDTF">2026-10-12T15:51:50Z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2052-12.1.2.23578</vt:lpwstr>
  </property>
  <property fmtid="{D5CDD505-2E9C-101B-9397-08002B2CF9AE}" pid="3" name="ICV">
    <vt:lpwstr>4F0B27C0AAC35EFA9177686ADDD5E058</vt:lpwstr>
  </property>
  <property fmtid="{D5CDD505-2E9C-101B-9397-08002B2CF9AE}" pid="4" name="KSOTemplateDocerSaveRecord">
    <vt:lpwstr>eyJoZGlkIjoiMDM3ZTc3M2M3Yzc5ODg0M2ExMjlkMjFlYTNhYjcwYTMiLCJ1c2VySWQiOiIxMjE0NTQ1Mjc2In0=</vt:lpwstr>
  </property>
</Properties>
</file>