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CBC78">
      <w:pPr>
        <w:pStyle w:val="16"/>
        <w:jc w:val="both"/>
        <w:rPr>
          <w:rFonts w:hAnsi="黑体"/>
          <w:sz w:val="36"/>
          <w:szCs w:val="36"/>
        </w:rPr>
      </w:pPr>
      <w:r>
        <w:rPr>
          <w:rFonts w:hint="eastAsia" w:hAnsi="黑体"/>
          <w:sz w:val="36"/>
          <w:szCs w:val="36"/>
        </w:rPr>
        <w:t>附件1</w:t>
      </w:r>
    </w:p>
    <w:p w14:paraId="27497786">
      <w:pPr>
        <w:pStyle w:val="16"/>
        <w:jc w:val="center"/>
        <w:rPr>
          <w:rFonts w:ascii="Times New Roman" w:hAnsi="Times New Roman" w:cs="Times New Roman"/>
          <w:sz w:val="56"/>
          <w:szCs w:val="56"/>
        </w:rPr>
      </w:pPr>
    </w:p>
    <w:p w14:paraId="30D8BDD7">
      <w:pPr>
        <w:pStyle w:val="16"/>
        <w:jc w:val="center"/>
        <w:rPr>
          <w:rFonts w:ascii="Times New Roman" w:hAnsi="Times New Roman" w:cs="Times New Roman"/>
          <w:sz w:val="84"/>
          <w:szCs w:val="84"/>
        </w:rPr>
      </w:pPr>
    </w:p>
    <w:p w14:paraId="213564F5">
      <w:pPr>
        <w:pStyle w:val="16"/>
        <w:jc w:val="center"/>
        <w:rPr>
          <w:rFonts w:ascii="Times New Roman" w:hAnsi="Times New Roman" w:cs="Times New Roman"/>
          <w:sz w:val="84"/>
          <w:szCs w:val="84"/>
        </w:rPr>
      </w:pPr>
    </w:p>
    <w:p w14:paraId="31616204">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440C1678">
      <w:pPr>
        <w:pStyle w:val="16"/>
        <w:jc w:val="center"/>
        <w:rPr>
          <w:rFonts w:hint="eastAsia"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怀化市园林绿化服务中心</w:t>
      </w:r>
    </w:p>
    <w:p w14:paraId="611B7945">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部门（单位）部门决算</w:t>
      </w:r>
    </w:p>
    <w:p w14:paraId="6A004B23">
      <w:pPr>
        <w:pStyle w:val="16"/>
        <w:jc w:val="center"/>
        <w:rPr>
          <w:rFonts w:ascii="Times New Roman" w:hAnsi="Times New Roman" w:eastAsia="方正小标宋_GBK" w:cs="Times New Roman"/>
          <w:sz w:val="56"/>
          <w:szCs w:val="56"/>
        </w:rPr>
      </w:pPr>
    </w:p>
    <w:p w14:paraId="52A423D9">
      <w:pPr>
        <w:pStyle w:val="16"/>
        <w:jc w:val="center"/>
        <w:rPr>
          <w:rFonts w:ascii="Times New Roman" w:hAnsi="Times New Roman" w:cs="Times New Roman"/>
          <w:sz w:val="56"/>
          <w:szCs w:val="56"/>
        </w:rPr>
      </w:pPr>
    </w:p>
    <w:p w14:paraId="0560407E">
      <w:pPr>
        <w:pStyle w:val="16"/>
        <w:rPr>
          <w:rFonts w:ascii="Times New Roman" w:hAnsi="Times New Roman" w:cs="Times New Roman"/>
          <w:sz w:val="56"/>
          <w:szCs w:val="56"/>
        </w:rPr>
      </w:pPr>
    </w:p>
    <w:p w14:paraId="5640B067">
      <w:pPr>
        <w:pStyle w:val="16"/>
        <w:jc w:val="center"/>
        <w:rPr>
          <w:rFonts w:ascii="Times New Roman" w:hAnsi="Times New Roman" w:cs="Times New Roman"/>
          <w:sz w:val="32"/>
          <w:szCs w:val="32"/>
        </w:rPr>
      </w:pPr>
    </w:p>
    <w:p w14:paraId="7E5F394A">
      <w:pPr>
        <w:pStyle w:val="16"/>
        <w:jc w:val="center"/>
        <w:rPr>
          <w:rFonts w:ascii="Times New Roman" w:hAnsi="Times New Roman" w:cs="Times New Roman"/>
          <w:sz w:val="32"/>
          <w:szCs w:val="32"/>
        </w:rPr>
      </w:pPr>
    </w:p>
    <w:p w14:paraId="3D5B712A">
      <w:pPr>
        <w:pStyle w:val="16"/>
        <w:jc w:val="center"/>
        <w:rPr>
          <w:rFonts w:ascii="Times New Roman" w:hAnsi="Times New Roman" w:cs="Times New Roman"/>
          <w:sz w:val="32"/>
          <w:szCs w:val="32"/>
        </w:rPr>
      </w:pPr>
    </w:p>
    <w:p w14:paraId="59D2EC21">
      <w:pPr>
        <w:pStyle w:val="16"/>
        <w:jc w:val="center"/>
        <w:rPr>
          <w:rFonts w:ascii="Times New Roman" w:hAnsi="Times New Roman" w:cs="Times New Roman"/>
          <w:sz w:val="32"/>
          <w:szCs w:val="32"/>
        </w:rPr>
      </w:pPr>
    </w:p>
    <w:p w14:paraId="5530E9C1">
      <w:pPr>
        <w:pStyle w:val="16"/>
        <w:jc w:val="center"/>
        <w:rPr>
          <w:rFonts w:ascii="Times New Roman" w:hAnsi="Times New Roman" w:cs="Times New Roman"/>
          <w:sz w:val="32"/>
          <w:szCs w:val="32"/>
        </w:rPr>
      </w:pPr>
    </w:p>
    <w:p w14:paraId="465E8328">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2FA5EF3D">
      <w:pPr>
        <w:pStyle w:val="16"/>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1DC366EA">
      <w:pPr>
        <w:pStyle w:val="16"/>
        <w:spacing w:line="600" w:lineRule="exact"/>
        <w:jc w:val="both"/>
        <w:rPr>
          <w:rFonts w:ascii="Times New Roman" w:hAnsi="Times New Roman" w:cs="Times New Roman"/>
          <w:b/>
          <w:sz w:val="36"/>
          <w:szCs w:val="28"/>
        </w:rPr>
      </w:pPr>
    </w:p>
    <w:p w14:paraId="55A2843A">
      <w:pPr>
        <w:pStyle w:val="16"/>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45BAC815">
      <w:pPr>
        <w:pStyle w:val="16"/>
        <w:spacing w:line="600" w:lineRule="exact"/>
        <w:jc w:val="center"/>
        <w:rPr>
          <w:rFonts w:ascii="Times New Roman" w:hAnsi="Times New Roman" w:cs="Times New Roman"/>
          <w:b/>
          <w:sz w:val="36"/>
          <w:szCs w:val="28"/>
        </w:rPr>
      </w:pPr>
    </w:p>
    <w:p w14:paraId="72E3D4E4">
      <w:pPr>
        <w:pStyle w:val="16"/>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怀化市园林绿化服务中心</w:t>
      </w:r>
      <w:r>
        <w:rPr>
          <w:rFonts w:ascii="Times New Roman" w:hAnsi="Times New Roman" w:cs="Times New Roman"/>
          <w:bCs/>
          <w:sz w:val="32"/>
          <w:szCs w:val="32"/>
        </w:rPr>
        <w:t>部门（单位）概况</w:t>
      </w:r>
    </w:p>
    <w:p w14:paraId="796108D5">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96D2D97">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1F43E31D">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7EE7A3C6">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178440CF">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5E567619">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0370AC3B">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24F3FB90">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0C3E865D">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35354E8D">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0135BD8C">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0AB8E87F">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A3F7C21">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1252BED3">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125782BD">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27F7088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38B328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69663F7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BCA2EEE">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38C5559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106F1EF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42F30AA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0476AF0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6531C53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6473C40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7458673D">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33C4D723">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0950A5FA">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0B67EDC1">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C4FCFB8">
      <w:pPr>
        <w:pStyle w:val="16"/>
        <w:spacing w:line="600" w:lineRule="exact"/>
        <w:rPr>
          <w:rFonts w:ascii="Times New Roman" w:hAnsi="Times New Roman" w:cs="Times New Roman"/>
          <w:bCs/>
          <w:sz w:val="28"/>
          <w:szCs w:val="28"/>
        </w:rPr>
      </w:pPr>
    </w:p>
    <w:p w14:paraId="0580D014">
      <w:pPr>
        <w:jc w:val="center"/>
        <w:rPr>
          <w:rFonts w:ascii="Times New Roman" w:hAnsi="Times New Roman" w:cs="Times New Roman"/>
          <w:sz w:val="72"/>
          <w:szCs w:val="72"/>
        </w:rPr>
      </w:pPr>
    </w:p>
    <w:p w14:paraId="1E0DDF7E">
      <w:pPr>
        <w:jc w:val="center"/>
        <w:rPr>
          <w:rFonts w:ascii="Times New Roman" w:hAnsi="Times New Roman" w:cs="Times New Roman"/>
          <w:sz w:val="72"/>
          <w:szCs w:val="72"/>
        </w:rPr>
      </w:pPr>
    </w:p>
    <w:p w14:paraId="6D6D1F33">
      <w:pPr>
        <w:jc w:val="center"/>
        <w:rPr>
          <w:rFonts w:ascii="Times New Roman" w:hAnsi="Times New Roman" w:cs="Times New Roman"/>
          <w:sz w:val="72"/>
          <w:szCs w:val="72"/>
        </w:rPr>
      </w:pPr>
    </w:p>
    <w:p w14:paraId="2DC9246D">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3E9F6D0">
      <w:pPr>
        <w:rPr>
          <w:rFonts w:ascii="Times New Roman" w:hAnsi="Times New Roman" w:eastAsia="方正小标宋_GBK" w:cs="Times New Roman"/>
          <w:sz w:val="72"/>
          <w:szCs w:val="72"/>
        </w:rPr>
      </w:pPr>
    </w:p>
    <w:p w14:paraId="04768DDC">
      <w:pPr>
        <w:rPr>
          <w:rFonts w:ascii="Times New Roman" w:hAnsi="Times New Roman" w:eastAsia="方正小标宋_GBK" w:cs="Times New Roman"/>
          <w:sz w:val="72"/>
          <w:szCs w:val="72"/>
        </w:rPr>
      </w:pPr>
    </w:p>
    <w:p w14:paraId="0F7827B1">
      <w:pPr>
        <w:rPr>
          <w:rFonts w:ascii="Times New Roman" w:hAnsi="Times New Roman" w:eastAsia="方正小标宋_GBK" w:cs="Times New Roman"/>
          <w:sz w:val="72"/>
          <w:szCs w:val="72"/>
        </w:rPr>
      </w:pPr>
    </w:p>
    <w:p w14:paraId="70B1D104">
      <w:pPr>
        <w:rPr>
          <w:rFonts w:ascii="Times New Roman" w:hAnsi="Times New Roman" w:eastAsia="方正小标宋_GBK" w:cs="Times New Roman"/>
          <w:sz w:val="72"/>
          <w:szCs w:val="72"/>
        </w:rPr>
      </w:pPr>
    </w:p>
    <w:p w14:paraId="5DDFFC91">
      <w:pPr>
        <w:rPr>
          <w:rFonts w:ascii="Times New Roman" w:hAnsi="Times New Roman" w:eastAsia="方正小标宋_GBK" w:cs="Times New Roman"/>
          <w:sz w:val="72"/>
          <w:szCs w:val="72"/>
        </w:rPr>
      </w:pPr>
    </w:p>
    <w:p w14:paraId="6E47CD8B">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7496B7D0">
      <w:pPr>
        <w:pStyle w:val="16"/>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怀化市园林绿化服务中心</w:t>
      </w:r>
    </w:p>
    <w:p w14:paraId="11BBFA59">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部门（单位）概况</w:t>
      </w:r>
    </w:p>
    <w:p w14:paraId="12446526">
      <w:pPr>
        <w:pStyle w:val="9"/>
        <w:ind w:left="0" w:leftChars="0" w:firstLine="0" w:firstLineChars="0"/>
        <w:rPr>
          <w:rFonts w:ascii="Times New Roman" w:hAnsi="Times New Roman" w:cs="Times New Roman"/>
        </w:rPr>
      </w:pPr>
    </w:p>
    <w:p w14:paraId="583C3AD8">
      <w:pPr>
        <w:pStyle w:val="10"/>
        <w:rPr>
          <w:rFonts w:ascii="Times New Roman" w:hAnsi="Times New Roman" w:cs="Times New Roman"/>
        </w:rPr>
      </w:pPr>
    </w:p>
    <w:p w14:paraId="2C6210C7">
      <w:pPr>
        <w:rPr>
          <w:rFonts w:ascii="Times New Roman" w:hAnsi="Times New Roman" w:cs="Times New Roman"/>
        </w:rPr>
      </w:pPr>
    </w:p>
    <w:p w14:paraId="43184AFE">
      <w:pPr>
        <w:rPr>
          <w:rFonts w:ascii="Times New Roman" w:hAnsi="Times New Roman" w:cs="Times New Roman"/>
        </w:rPr>
      </w:pPr>
    </w:p>
    <w:p w14:paraId="528B8D3A">
      <w:pPr>
        <w:rPr>
          <w:rFonts w:ascii="Times New Roman" w:hAnsi="Times New Roman" w:cs="Times New Roman"/>
        </w:rPr>
      </w:pPr>
    </w:p>
    <w:p w14:paraId="18D397B7">
      <w:pPr>
        <w:rPr>
          <w:rFonts w:ascii="Times New Roman" w:hAnsi="Times New Roman" w:cs="Times New Roman"/>
        </w:rPr>
      </w:pPr>
    </w:p>
    <w:p w14:paraId="55E609E7">
      <w:pPr>
        <w:rPr>
          <w:rFonts w:ascii="Times New Roman" w:hAnsi="Times New Roman" w:cs="Times New Roman"/>
        </w:rPr>
      </w:pPr>
    </w:p>
    <w:p w14:paraId="1AF3E2E5">
      <w:pPr>
        <w:rPr>
          <w:rFonts w:ascii="Times New Roman" w:hAnsi="Times New Roman" w:cs="Times New Roman"/>
        </w:rPr>
      </w:pPr>
    </w:p>
    <w:p w14:paraId="6EDDD7B2">
      <w:pPr>
        <w:rPr>
          <w:rFonts w:ascii="Times New Roman" w:hAnsi="Times New Roman" w:cs="Times New Roman"/>
        </w:rPr>
      </w:pPr>
    </w:p>
    <w:p w14:paraId="67461DDD">
      <w:pPr>
        <w:rPr>
          <w:rFonts w:ascii="Times New Roman" w:hAnsi="Times New Roman" w:cs="Times New Roman"/>
        </w:rPr>
      </w:pPr>
    </w:p>
    <w:p w14:paraId="33338D8C">
      <w:pPr>
        <w:rPr>
          <w:rFonts w:ascii="Times New Roman" w:hAnsi="Times New Roman" w:cs="Times New Roman"/>
        </w:rPr>
      </w:pPr>
    </w:p>
    <w:p w14:paraId="5A32EB20">
      <w:pPr>
        <w:rPr>
          <w:rFonts w:ascii="Times New Roman" w:hAnsi="Times New Roman" w:cs="Times New Roman"/>
        </w:rPr>
      </w:pPr>
    </w:p>
    <w:p w14:paraId="387368A0">
      <w:pPr>
        <w:rPr>
          <w:rFonts w:ascii="Times New Roman" w:hAnsi="Times New Roman" w:cs="Times New Roman"/>
        </w:rPr>
      </w:pPr>
    </w:p>
    <w:p w14:paraId="1AC9C01A">
      <w:pPr>
        <w:rPr>
          <w:rFonts w:ascii="Times New Roman" w:hAnsi="Times New Roman" w:cs="Times New Roman"/>
        </w:rPr>
      </w:pPr>
    </w:p>
    <w:p w14:paraId="15DA7AE8">
      <w:pPr>
        <w:rPr>
          <w:rFonts w:ascii="Times New Roman" w:hAnsi="Times New Roman" w:cs="Times New Roman"/>
        </w:rPr>
      </w:pPr>
    </w:p>
    <w:p w14:paraId="1D510F2C">
      <w:pPr>
        <w:rPr>
          <w:rFonts w:ascii="Times New Roman" w:hAnsi="Times New Roman" w:cs="Times New Roman"/>
        </w:rPr>
      </w:pPr>
    </w:p>
    <w:p w14:paraId="386DA9E4">
      <w:pPr>
        <w:rPr>
          <w:rFonts w:ascii="Times New Roman" w:hAnsi="Times New Roman" w:cs="Times New Roman"/>
        </w:rPr>
      </w:pPr>
    </w:p>
    <w:p w14:paraId="1B7E99E4">
      <w:pPr>
        <w:rPr>
          <w:rFonts w:ascii="Times New Roman" w:hAnsi="Times New Roman" w:cs="Times New Roman"/>
        </w:rPr>
      </w:pPr>
    </w:p>
    <w:p w14:paraId="7F70416B">
      <w:pPr>
        <w:rPr>
          <w:rFonts w:ascii="Times New Roman" w:hAnsi="Times New Roman" w:cs="Times New Roman"/>
        </w:rPr>
      </w:pPr>
    </w:p>
    <w:p w14:paraId="1D45D803">
      <w:pPr>
        <w:pStyle w:val="17"/>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2EB067B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Times New Roman" w:hAnsi="Times New Roman" w:eastAsia="仿宋_GB2312" w:cs="仿宋_GB2312"/>
          <w:sz w:val="32"/>
          <w:szCs w:val="32"/>
        </w:rPr>
        <w:t>（一）</w:t>
      </w:r>
      <w:r>
        <w:rPr>
          <w:rFonts w:hint="eastAsia" w:ascii="仿宋" w:hAnsi="仿宋" w:eastAsia="仿宋" w:cs="仿宋"/>
          <w:kern w:val="2"/>
          <w:sz w:val="32"/>
          <w:szCs w:val="32"/>
          <w:lang w:val="en-US" w:eastAsia="zh-CN" w:bidi="ar-SA"/>
        </w:rPr>
        <w:t>贯彻执行国家、省有关园林绿化管理的方针、政策、法律、法规和规章，配合有关部门研究拟订本市实施细则。</w:t>
      </w:r>
    </w:p>
    <w:p w14:paraId="57129D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（二）承担编制城区园林绿化近期、远期发展规划和园林绿化建设管理资金计划的有关具体工作。</w:t>
      </w:r>
    </w:p>
    <w:p w14:paraId="4D37DD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（三）承担城市新建、改建、扩建工程附属绿化工程初审及施工监督、竣工验收的有关事务性工作。</w:t>
      </w:r>
    </w:p>
    <w:p w14:paraId="7482722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承担改变城市绿地规划、绿化用地使用性质审批初审及临时占用城市绿地、砍伐、移植、修剪城市树木（包括古树名木）许可初审的有关事务性工作；协助主管部门开展园林绿化执法督查，协助上级征收城市绿化补偿费等相关费用。</w:t>
      </w:r>
    </w:p>
    <w:p w14:paraId="1E6DDE3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（5）负责街旁绿地、街头游园、防护绿地、风景林地、行道及干道绿化带、滨江（水）风光带、广场等公共绿地的保护、管理和日常养护工作。</w:t>
      </w:r>
    </w:p>
    <w:p w14:paraId="3909EE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（六）承担城区城市公园、城市雕塑管理和维护的具体工作；负责城市规划区内生物多样性保护工作；推广城市园林绿化科技新成果、新技术，开展对外技术交流。</w:t>
      </w:r>
    </w:p>
    <w:p w14:paraId="600D6E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（七）参与指导县市区城镇园林绿化工作，促进园林绿化事业的发展。</w:t>
      </w:r>
    </w:p>
    <w:p w14:paraId="1443F8E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（八）承办市委、市政府和市城市管理和行政执法局交办的其他事项。</w:t>
      </w:r>
    </w:p>
    <w:p w14:paraId="5F15C5C2">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5C185414">
      <w:pPr>
        <w:widowControl/>
        <w:spacing w:line="600" w:lineRule="exact"/>
        <w:ind w:firstLine="640" w:firstLineChars="200"/>
        <w:rPr>
          <w:rFonts w:hint="eastAsia"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rPr>
        <w:t>怀化市园林绿化服务中心单位内设机构包括：</w:t>
      </w:r>
      <w:r>
        <w:rPr>
          <w:rFonts w:hint="eastAsia" w:ascii="仿宋" w:hAnsi="仿宋" w:eastAsia="仿宋" w:cs="仿宋"/>
          <w:sz w:val="32"/>
          <w:szCs w:val="32"/>
          <w:lang w:val="en-US" w:eastAsia="zh-CN"/>
        </w:rPr>
        <w:t>办公室、人事教育部、计划财务部、工程技术部、绿化服务部、园林科研部、城市公园部、园林信息所、园林评价所、园林绿化维保所、道路绿化养护所、园林废弃物处置所等部门。</w:t>
      </w:r>
    </w:p>
    <w:p w14:paraId="368FED83">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rPr>
        <w:t>怀化市园林绿化服务中心</w:t>
      </w:r>
      <w:r>
        <w:rPr>
          <w:rFonts w:ascii="Times New Roman" w:hAnsi="Times New Roman" w:eastAsia="仿宋_GB2312" w:cs="Times New Roman"/>
          <w:bCs/>
          <w:kern w:val="0"/>
          <w:sz w:val="32"/>
          <w:szCs w:val="32"/>
        </w:rPr>
        <w:t>2024年部门决算汇总公开单位构成包括：</w:t>
      </w:r>
      <w:r>
        <w:rPr>
          <w:rFonts w:hint="eastAsia" w:ascii="仿宋" w:hAnsi="仿宋" w:eastAsia="仿宋" w:cs="仿宋"/>
          <w:i w:val="0"/>
          <w:iCs w:val="0"/>
          <w:caps w:val="0"/>
          <w:color w:val="3D3D3D"/>
          <w:spacing w:val="0"/>
          <w:sz w:val="32"/>
          <w:szCs w:val="32"/>
        </w:rPr>
        <w:t>怀化市园林绿化服务中心（二级部门）</w:t>
      </w:r>
      <w:r>
        <w:rPr>
          <w:rFonts w:hint="eastAsia" w:ascii="仿宋" w:hAnsi="仿宋" w:eastAsia="仿宋" w:cs="仿宋"/>
          <w:i w:val="0"/>
          <w:iCs w:val="0"/>
          <w:caps w:val="0"/>
          <w:color w:val="3D3D3D"/>
          <w:spacing w:val="0"/>
          <w:sz w:val="32"/>
          <w:szCs w:val="32"/>
          <w:lang w:eastAsia="zh-CN"/>
        </w:rPr>
        <w:t>。</w:t>
      </w:r>
    </w:p>
    <w:p w14:paraId="4D07BF49">
      <w:pPr>
        <w:jc w:val="left"/>
        <w:rPr>
          <w:rFonts w:ascii="Times New Roman" w:hAnsi="Times New Roman" w:eastAsia="仿宋_GB2312" w:cs="Times New Roman"/>
          <w:sz w:val="28"/>
          <w:szCs w:val="32"/>
        </w:rPr>
      </w:pPr>
    </w:p>
    <w:p w14:paraId="0AB75324">
      <w:pPr>
        <w:jc w:val="center"/>
        <w:rPr>
          <w:rFonts w:ascii="Times New Roman" w:hAnsi="Times New Roman" w:eastAsia="黑体" w:cs="Times New Roman"/>
          <w:sz w:val="28"/>
          <w:szCs w:val="28"/>
        </w:rPr>
      </w:pPr>
    </w:p>
    <w:p w14:paraId="35E394EF">
      <w:pPr>
        <w:jc w:val="center"/>
        <w:rPr>
          <w:rFonts w:ascii="Times New Roman" w:hAnsi="Times New Roman" w:eastAsia="黑体" w:cs="Times New Roman"/>
          <w:sz w:val="28"/>
          <w:szCs w:val="28"/>
        </w:rPr>
      </w:pPr>
    </w:p>
    <w:p w14:paraId="599FAC03">
      <w:pPr>
        <w:jc w:val="center"/>
        <w:rPr>
          <w:rFonts w:ascii="Times New Roman" w:hAnsi="Times New Roman" w:eastAsia="黑体" w:cs="Times New Roman"/>
          <w:sz w:val="28"/>
          <w:szCs w:val="28"/>
        </w:rPr>
      </w:pPr>
    </w:p>
    <w:p w14:paraId="296FAD7F">
      <w:pPr>
        <w:jc w:val="center"/>
        <w:rPr>
          <w:rFonts w:ascii="Times New Roman" w:hAnsi="Times New Roman" w:eastAsia="黑体" w:cs="Times New Roman"/>
          <w:sz w:val="28"/>
          <w:szCs w:val="28"/>
        </w:rPr>
      </w:pPr>
    </w:p>
    <w:p w14:paraId="6AD0DDC3">
      <w:pPr>
        <w:jc w:val="center"/>
        <w:rPr>
          <w:rFonts w:ascii="Times New Roman" w:hAnsi="Times New Roman" w:eastAsia="黑体" w:cs="Times New Roman"/>
          <w:sz w:val="28"/>
          <w:szCs w:val="28"/>
        </w:rPr>
      </w:pPr>
    </w:p>
    <w:p w14:paraId="4A69BB1D">
      <w:pPr>
        <w:pStyle w:val="16"/>
        <w:jc w:val="both"/>
        <w:rPr>
          <w:rFonts w:hint="eastAsia" w:ascii="方正小标宋_GBK" w:hAnsi="方正小标宋_GBK" w:eastAsia="方正小标宋_GBK" w:cs="方正小标宋_GBK"/>
          <w:sz w:val="84"/>
          <w:szCs w:val="84"/>
        </w:rPr>
      </w:pPr>
    </w:p>
    <w:p w14:paraId="69425A45">
      <w:pPr>
        <w:pStyle w:val="16"/>
        <w:jc w:val="center"/>
        <w:rPr>
          <w:rFonts w:hint="eastAsia" w:ascii="方正小标宋_GBK" w:hAnsi="方正小标宋_GBK" w:eastAsia="方正小标宋_GBK" w:cs="方正小标宋_GBK"/>
          <w:sz w:val="84"/>
          <w:szCs w:val="84"/>
        </w:rPr>
      </w:pPr>
    </w:p>
    <w:p w14:paraId="2D92B6A8">
      <w:pPr>
        <w:pStyle w:val="16"/>
        <w:jc w:val="center"/>
        <w:rPr>
          <w:rFonts w:hint="eastAsia" w:ascii="方正小标宋_GBK" w:hAnsi="方正小标宋_GBK" w:eastAsia="方正小标宋_GBK" w:cs="方正小标宋_GBK"/>
          <w:sz w:val="84"/>
          <w:szCs w:val="84"/>
        </w:rPr>
      </w:pPr>
    </w:p>
    <w:p w14:paraId="71DEAC5F">
      <w:pPr>
        <w:pStyle w:val="16"/>
        <w:jc w:val="center"/>
        <w:rPr>
          <w:rFonts w:hint="eastAsia" w:ascii="方正小标宋_GBK" w:hAnsi="方正小标宋_GBK" w:eastAsia="方正小标宋_GBK" w:cs="方正小标宋_GBK"/>
          <w:sz w:val="84"/>
          <w:szCs w:val="84"/>
        </w:rPr>
      </w:pPr>
    </w:p>
    <w:p w14:paraId="65D9D0AA">
      <w:pPr>
        <w:pStyle w:val="16"/>
        <w:jc w:val="both"/>
        <w:rPr>
          <w:rFonts w:hint="eastAsia" w:ascii="方正小标宋_GBK" w:hAnsi="方正小标宋_GBK" w:eastAsia="方正小标宋_GBK" w:cs="方正小标宋_GBK"/>
          <w:sz w:val="84"/>
          <w:szCs w:val="84"/>
        </w:rPr>
      </w:pPr>
    </w:p>
    <w:p w14:paraId="24D40FA5">
      <w:pPr>
        <w:pStyle w:val="16"/>
        <w:jc w:val="both"/>
        <w:rPr>
          <w:rFonts w:hint="eastAsia" w:ascii="方正小标宋_GBK" w:hAnsi="方正小标宋_GBK" w:eastAsia="方正小标宋_GBK" w:cs="方正小标宋_GBK"/>
          <w:sz w:val="84"/>
          <w:szCs w:val="84"/>
        </w:rPr>
      </w:pPr>
    </w:p>
    <w:p w14:paraId="6F22D521">
      <w:pPr>
        <w:pStyle w:val="16"/>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第二部分</w:t>
      </w:r>
    </w:p>
    <w:p w14:paraId="184C9F58">
      <w:pPr>
        <w:pStyle w:val="16"/>
        <w:spacing w:line="360" w:lineRule="auto"/>
        <w:jc w:val="center"/>
        <w:rPr>
          <w:rFonts w:hint="eastAsia" w:ascii="Times New Roman" w:hAnsi="Times New Roman" w:eastAsia="方正小标宋_GBK" w:cs="Times New Roman"/>
          <w:sz w:val="52"/>
          <w:szCs w:val="52"/>
        </w:rPr>
      </w:pPr>
    </w:p>
    <w:p w14:paraId="4C9F1E13">
      <w:pPr>
        <w:pStyle w:val="16"/>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部门决算表</w:t>
      </w:r>
    </w:p>
    <w:p w14:paraId="1A6C47A4">
      <w:pPr>
        <w:jc w:val="center"/>
        <w:rPr>
          <w:sz w:val="32"/>
          <w:szCs w:val="32"/>
        </w:rPr>
      </w:pPr>
      <w:r>
        <w:rPr>
          <w:rFonts w:hint="eastAsia"/>
          <w:sz w:val="32"/>
          <w:szCs w:val="32"/>
        </w:rPr>
        <w:t>(详情请见附件)</w:t>
      </w:r>
    </w:p>
    <w:p w14:paraId="76B6E57C">
      <w:pPr>
        <w:jc w:val="center"/>
        <w:rPr>
          <w:sz w:val="72"/>
          <w:szCs w:val="72"/>
        </w:rPr>
      </w:pPr>
    </w:p>
    <w:p w14:paraId="18437DCD">
      <w:pPr>
        <w:jc w:val="center"/>
        <w:rPr>
          <w:sz w:val="72"/>
          <w:szCs w:val="72"/>
        </w:rPr>
      </w:pPr>
    </w:p>
    <w:p w14:paraId="2BB9A53D">
      <w:pPr>
        <w:jc w:val="center"/>
        <w:rPr>
          <w:sz w:val="72"/>
          <w:szCs w:val="72"/>
        </w:rPr>
      </w:pPr>
    </w:p>
    <w:p w14:paraId="6228499C">
      <w:pPr>
        <w:pStyle w:val="8"/>
        <w:sectPr>
          <w:footerReference r:id="rId6" w:type="default"/>
          <w:pgSz w:w="11906" w:h="16838"/>
          <w:pgMar w:top="1417" w:right="1588" w:bottom="1417" w:left="1588" w:header="851" w:footer="992" w:gutter="0"/>
          <w:pgNumType w:start="1"/>
          <w:cols w:space="425" w:num="1"/>
          <w:docGrid w:type="lines" w:linePitch="312" w:charSpace="0"/>
        </w:sectPr>
      </w:pPr>
    </w:p>
    <w:p w14:paraId="2E18FEFF">
      <w:pPr>
        <w:pStyle w:val="16"/>
        <w:rPr>
          <w:rFonts w:ascii="Times New Roman" w:hAnsi="Times New Roman" w:cs="Times New Roman"/>
          <w:sz w:val="72"/>
          <w:szCs w:val="72"/>
        </w:rPr>
      </w:pPr>
    </w:p>
    <w:p w14:paraId="4FBCC6B9">
      <w:pPr>
        <w:pStyle w:val="16"/>
        <w:rPr>
          <w:rFonts w:ascii="Times New Roman" w:hAnsi="Times New Roman" w:cs="Times New Roman"/>
          <w:sz w:val="72"/>
          <w:szCs w:val="72"/>
        </w:rPr>
      </w:pPr>
    </w:p>
    <w:p w14:paraId="4CB5A1C8">
      <w:pPr>
        <w:pStyle w:val="16"/>
        <w:rPr>
          <w:rFonts w:ascii="Times New Roman" w:hAnsi="Times New Roman" w:cs="Times New Roman"/>
          <w:sz w:val="72"/>
          <w:szCs w:val="72"/>
        </w:rPr>
      </w:pPr>
    </w:p>
    <w:p w14:paraId="11F7C563">
      <w:pPr>
        <w:pStyle w:val="16"/>
        <w:jc w:val="center"/>
        <w:rPr>
          <w:rFonts w:ascii="Times New Roman" w:hAnsi="Times New Roman" w:cs="Times New Roman"/>
          <w:sz w:val="72"/>
          <w:szCs w:val="72"/>
        </w:rPr>
      </w:pPr>
    </w:p>
    <w:p w14:paraId="230176E8">
      <w:pPr>
        <w:pStyle w:val="16"/>
        <w:jc w:val="center"/>
        <w:rPr>
          <w:rFonts w:ascii="Times New Roman" w:hAnsi="Times New Roman" w:cs="Times New Roman"/>
          <w:sz w:val="72"/>
          <w:szCs w:val="72"/>
        </w:rPr>
      </w:pPr>
    </w:p>
    <w:p w14:paraId="29862128">
      <w:pPr>
        <w:pStyle w:val="16"/>
        <w:jc w:val="center"/>
        <w:rPr>
          <w:rFonts w:ascii="Times New Roman" w:hAnsi="Times New Roman" w:eastAsia="方正小标宋_GBK" w:cs="Times New Roman"/>
          <w:sz w:val="72"/>
          <w:szCs w:val="72"/>
        </w:rPr>
      </w:pPr>
    </w:p>
    <w:p w14:paraId="14777C4D">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45C2D261">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7DD0FC80">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517FA670">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1B109E88">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5759.46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1100.97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23.63</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val="en-US" w:eastAsia="zh-CN"/>
        </w:rPr>
        <w:t>专项经费增加。</w:t>
      </w:r>
    </w:p>
    <w:p w14:paraId="601105DA">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5009097">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5759.46</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5536.8</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96.13</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222.67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3.87</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4F284365">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0EBA683">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5759.46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1830.07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31.78</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3929.39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68.22</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9F1DCC4">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212F9A8">
      <w:pPr>
        <w:pStyle w:val="16"/>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5536.80</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1035.73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23.01</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val="en-US" w:eastAsia="zh-CN"/>
        </w:rPr>
        <w:t>专项经费增加。</w:t>
      </w:r>
    </w:p>
    <w:p w14:paraId="69E8ED5F">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5CC9C4EC">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F76076F">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3689.03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64.05</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880.35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31.34</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val="en-US" w:eastAsia="zh-CN"/>
        </w:rPr>
        <w:t>专项经费增加。</w:t>
      </w:r>
    </w:p>
    <w:p w14:paraId="2E8C381C">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58F09462">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3689.03</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1234.73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33.47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157.34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4.27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66.42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1.80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2225.53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60.33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灾害防治及应急管理支出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0.13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60C7B48A">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29B0591A">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3074.08</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3689.03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%，其中：</w:t>
      </w:r>
    </w:p>
    <w:p w14:paraId="134DC7F8">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olor w:val="auto"/>
          <w:sz w:val="32"/>
          <w:szCs w:val="32"/>
          <w:lang w:val="en-US" w:eastAsia="zh-CN"/>
        </w:rPr>
        <w:t>人大事务</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val="en-US" w:eastAsia="zh-CN"/>
        </w:rPr>
        <w:t>行政运行</w:t>
      </w:r>
      <w:r>
        <w:rPr>
          <w:rFonts w:hint="eastAsia" w:ascii="Times New Roman" w:hAnsi="Times New Roman" w:eastAsia="仿宋_GB2312"/>
          <w:color w:val="auto"/>
          <w:sz w:val="32"/>
          <w:szCs w:val="32"/>
        </w:rPr>
        <w:t>（项）</w:t>
      </w:r>
      <w:r>
        <w:rPr>
          <w:rFonts w:ascii="Times New Roman" w:hAnsi="Times New Roman" w:eastAsia="仿宋_GB2312" w:cs="Times New Roman"/>
          <w:sz w:val="32"/>
          <w:szCs w:val="32"/>
        </w:rPr>
        <w:t>。</w:t>
      </w:r>
    </w:p>
    <w:p w14:paraId="00D5B6AD">
      <w:pPr>
        <w:pStyle w:val="16"/>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1260.52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1234.73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97.95</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人员减少，相关支出减少。</w:t>
      </w:r>
    </w:p>
    <w:p w14:paraId="5D5F1BE3">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olor w:val="auto"/>
          <w:sz w:val="32"/>
          <w:szCs w:val="32"/>
          <w:lang w:val="en-US"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val="en-US" w:eastAsia="zh-CN"/>
        </w:rPr>
        <w:t>行政事业单位养老支出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val="en-US" w:eastAsia="zh-CN"/>
        </w:rPr>
        <w:t>机关事业单位基本养老保险缴费支出</w:t>
      </w:r>
      <w:r>
        <w:rPr>
          <w:rFonts w:hint="eastAsia" w:ascii="Times New Roman" w:hAnsi="Times New Roman" w:eastAsia="仿宋_GB2312"/>
          <w:color w:val="auto"/>
          <w:sz w:val="32"/>
          <w:szCs w:val="32"/>
        </w:rPr>
        <w:t>（项）</w:t>
      </w:r>
      <w:r>
        <w:rPr>
          <w:rFonts w:ascii="Times New Roman" w:hAnsi="Times New Roman" w:eastAsia="仿宋_GB2312" w:cs="Times New Roman"/>
          <w:sz w:val="32"/>
          <w:szCs w:val="32"/>
        </w:rPr>
        <w:t>。</w:t>
      </w:r>
    </w:p>
    <w:p w14:paraId="14F8E99D">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157.73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157.34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99.75</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人员减少，相关支出减少。</w:t>
      </w:r>
    </w:p>
    <w:p w14:paraId="0F212D97">
      <w:pPr>
        <w:pStyle w:val="16"/>
        <w:numPr>
          <w:ilvl w:val="0"/>
          <w:numId w:val="0"/>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000000"/>
          <w:sz w:val="32"/>
          <w:szCs w:val="32"/>
          <w:lang w:val="en-US" w:eastAsia="zh-CN" w:bidi="ar-SA"/>
        </w:rPr>
        <w:t>3、</w:t>
      </w:r>
      <w:r>
        <w:rPr>
          <w:rFonts w:hint="eastAsia" w:ascii="仿宋" w:hAnsi="仿宋" w:eastAsia="仿宋" w:cs="仿宋"/>
          <w:color w:val="auto"/>
          <w:sz w:val="32"/>
          <w:szCs w:val="32"/>
        </w:rPr>
        <w:t>卫生健康支出（类）行政事业单位医疗（款）行政单位医疗（项）</w:t>
      </w:r>
      <w:r>
        <w:rPr>
          <w:rFonts w:hint="eastAsia" w:ascii="仿宋" w:hAnsi="仿宋" w:eastAsia="仿宋" w:cs="仿宋"/>
          <w:color w:val="auto"/>
          <w:sz w:val="32"/>
          <w:szCs w:val="32"/>
          <w:lang w:eastAsia="zh-CN"/>
        </w:rPr>
        <w:t>。</w:t>
      </w:r>
    </w:p>
    <w:p w14:paraId="5DD8E74B">
      <w:pPr>
        <w:pStyle w:val="16"/>
        <w:numPr>
          <w:ilvl w:val="0"/>
          <w:numId w:val="0"/>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66.59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66.42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99.74</w:t>
      </w:r>
      <w:r>
        <w:rPr>
          <w:rFonts w:ascii="Times New Roman" w:hAnsi="Times New Roman" w:eastAsia="仿宋_GB2312" w:cs="Times New Roman"/>
          <w:sz w:val="32"/>
          <w:szCs w:val="32"/>
        </w:rPr>
        <w:t>%，决算数大于（小于）年初预算数的主要原因是：</w:t>
      </w:r>
      <w:r>
        <w:rPr>
          <w:rFonts w:hint="eastAsia" w:ascii="Times New Roman" w:hAnsi="Times New Roman" w:eastAsia="仿宋_GB2312" w:cs="Times New Roman"/>
          <w:sz w:val="32"/>
          <w:szCs w:val="32"/>
          <w:lang w:val="en-US" w:eastAsia="zh-CN"/>
        </w:rPr>
        <w:t>人员减少，相关支出减少。</w:t>
      </w:r>
    </w:p>
    <w:p w14:paraId="4917A706">
      <w:pPr>
        <w:pStyle w:val="16"/>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hint="eastAsia" w:ascii="仿宋" w:hAnsi="仿宋" w:eastAsia="仿宋" w:cs="仿宋"/>
          <w:color w:val="auto"/>
          <w:sz w:val="32"/>
          <w:szCs w:val="32"/>
          <w:lang w:val="en-US" w:eastAsia="zh-CN"/>
        </w:rPr>
        <w:t>4、</w:t>
      </w:r>
      <w:r>
        <w:rPr>
          <w:rFonts w:hint="eastAsia" w:ascii="Times New Roman" w:hAnsi="Times New Roman" w:eastAsia="仿宋_GB2312"/>
          <w:sz w:val="32"/>
          <w:szCs w:val="32"/>
        </w:rPr>
        <w:t>城乡社区支出（类）城乡社区管理事务（款）行政运行（项）</w:t>
      </w:r>
      <w:r>
        <w:rPr>
          <w:rFonts w:hint="eastAsia" w:ascii="Times New Roman" w:hAnsi="Times New Roman" w:eastAsia="仿宋_GB2312"/>
          <w:sz w:val="32"/>
          <w:szCs w:val="32"/>
          <w:lang w:eastAsia="zh-CN"/>
        </w:rPr>
        <w:t>。</w:t>
      </w:r>
    </w:p>
    <w:p w14:paraId="4E9A8E29">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43.48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仿宋" w:hAnsi="仿宋" w:eastAsia="仿宋" w:cs="仿宋"/>
          <w:sz w:val="32"/>
          <w:szCs w:val="32"/>
        </w:rPr>
        <w:t>业务需要增加支出</w:t>
      </w:r>
      <w:r>
        <w:rPr>
          <w:rFonts w:hint="eastAsia" w:ascii="Times New Roman" w:hAnsi="Times New Roman" w:eastAsia="仿宋_GB2312"/>
          <w:sz w:val="32"/>
          <w:szCs w:val="32"/>
          <w:lang w:val="en-US" w:eastAsia="zh-CN"/>
        </w:rPr>
        <w:t>。</w:t>
      </w:r>
    </w:p>
    <w:p w14:paraId="0F96C653">
      <w:pPr>
        <w:pStyle w:val="16"/>
        <w:numPr>
          <w:ilvl w:val="0"/>
          <w:numId w:val="0"/>
        </w:numPr>
        <w:overflowPunct w:val="0"/>
        <w:autoSpaceDE/>
        <w:autoSpaceDN/>
        <w:spacing w:line="600" w:lineRule="exact"/>
        <w:ind w:left="0" w:leftChars="0"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cs="黑体"/>
          <w:color w:val="000000"/>
          <w:sz w:val="32"/>
          <w:szCs w:val="32"/>
          <w:lang w:val="en-US" w:eastAsia="zh-CN" w:bidi="ar-SA"/>
        </w:rPr>
        <w:t>5、</w:t>
      </w:r>
      <w:r>
        <w:rPr>
          <w:rFonts w:hint="eastAsia" w:ascii="Times New Roman" w:hAnsi="Times New Roman" w:eastAsia="仿宋_GB2312"/>
          <w:sz w:val="32"/>
          <w:szCs w:val="32"/>
        </w:rPr>
        <w:t>城乡社区支出（类）城乡社区管理事务（款）  其他城乡社区管理事务支出（项）</w:t>
      </w:r>
      <w:r>
        <w:rPr>
          <w:rFonts w:hint="eastAsia" w:ascii="Times New Roman" w:hAnsi="Times New Roman" w:eastAsia="仿宋_GB2312"/>
          <w:sz w:val="32"/>
          <w:szCs w:val="32"/>
          <w:lang w:eastAsia="zh-CN"/>
        </w:rPr>
        <w:t>。</w:t>
      </w:r>
    </w:p>
    <w:p w14:paraId="0A454EA7">
      <w:pPr>
        <w:pStyle w:val="16"/>
        <w:numPr>
          <w:ilvl w:val="0"/>
          <w:numId w:val="0"/>
        </w:numPr>
        <w:overflowPunct w:val="0"/>
        <w:autoSpaceDE/>
        <w:autoSpaceDN/>
        <w:spacing w:line="600" w:lineRule="exact"/>
        <w:ind w:left="0" w:leftChars="0"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202.42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132.04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153.30</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业务减少。</w:t>
      </w:r>
    </w:p>
    <w:p w14:paraId="198107D5">
      <w:pPr>
        <w:pStyle w:val="16"/>
        <w:numPr>
          <w:ilvl w:val="0"/>
          <w:numId w:val="0"/>
        </w:numPr>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cs="黑体"/>
          <w:color w:val="000000"/>
          <w:sz w:val="32"/>
          <w:szCs w:val="32"/>
          <w:lang w:val="en-US" w:eastAsia="zh-CN" w:bidi="ar-SA"/>
        </w:rPr>
        <w:t>6、</w:t>
      </w:r>
      <w:r>
        <w:rPr>
          <w:rFonts w:hint="eastAsia" w:ascii="Times New Roman" w:hAnsi="Times New Roman" w:eastAsia="仿宋_GB2312"/>
          <w:sz w:val="32"/>
          <w:szCs w:val="32"/>
        </w:rPr>
        <w:t>城乡社区支出（类）城乡社区环境卫生（款）城乡社区环境卫生（项）</w:t>
      </w:r>
      <w:r>
        <w:rPr>
          <w:rFonts w:hint="eastAsia" w:ascii="Times New Roman" w:hAnsi="Times New Roman" w:eastAsia="仿宋_GB2312"/>
          <w:sz w:val="32"/>
          <w:szCs w:val="32"/>
          <w:lang w:eastAsia="zh-CN"/>
        </w:rPr>
        <w:t>。</w:t>
      </w:r>
    </w:p>
    <w:p w14:paraId="7BA23EF8">
      <w:pPr>
        <w:pStyle w:val="16"/>
        <w:numPr>
          <w:ilvl w:val="0"/>
          <w:numId w:val="0"/>
        </w:numPr>
        <w:overflowPunct w:val="0"/>
        <w:autoSpaceDE/>
        <w:autoSpaceDN/>
        <w:spacing w:line="600" w:lineRule="exact"/>
        <w:ind w:firstLine="640" w:firstLineChars="200"/>
        <w:jc w:val="both"/>
        <w:rPr>
          <w:rFonts w:hint="eastAsia" w:ascii="Times New Roman" w:hAnsi="Times New Roman" w:eastAsia="仿宋"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1281.82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1897.09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148</w:t>
      </w:r>
      <w:r>
        <w:rPr>
          <w:rFonts w:ascii="Times New Roman" w:hAnsi="Times New Roman" w:eastAsia="仿宋_GB2312" w:cs="Times New Roman"/>
          <w:sz w:val="32"/>
          <w:szCs w:val="32"/>
        </w:rPr>
        <w:t>%，决算数大于年初预算数的主要原因是：</w:t>
      </w:r>
      <w:r>
        <w:rPr>
          <w:rFonts w:hint="eastAsia" w:ascii="仿宋" w:hAnsi="仿宋" w:eastAsia="仿宋" w:cs="仿宋"/>
          <w:sz w:val="32"/>
          <w:szCs w:val="32"/>
        </w:rPr>
        <w:t>业务需要增加支出</w:t>
      </w:r>
      <w:r>
        <w:rPr>
          <w:rFonts w:hint="eastAsia" w:ascii="仿宋" w:hAnsi="仿宋" w:eastAsia="仿宋" w:cs="仿宋"/>
          <w:sz w:val="32"/>
          <w:szCs w:val="32"/>
          <w:lang w:eastAsia="zh-CN"/>
        </w:rPr>
        <w:t>。</w:t>
      </w:r>
    </w:p>
    <w:p w14:paraId="1BC77AFB">
      <w:pPr>
        <w:pStyle w:val="16"/>
        <w:numPr>
          <w:ilvl w:val="0"/>
          <w:numId w:val="0"/>
        </w:numPr>
        <w:overflowPunct w:val="0"/>
        <w:autoSpaceDE/>
        <w:autoSpaceDN/>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bidi="ar-SA"/>
        </w:rPr>
        <w:t>7、</w:t>
      </w:r>
      <w:r>
        <w:rPr>
          <w:rFonts w:hint="eastAsia" w:ascii="Times New Roman" w:hAnsi="Times New Roman" w:eastAsia="仿宋_GB2312"/>
          <w:sz w:val="32"/>
          <w:szCs w:val="32"/>
        </w:rPr>
        <w:t>城乡社区支出</w:t>
      </w:r>
      <w:r>
        <w:rPr>
          <w:rFonts w:hint="eastAsia" w:ascii="仿宋" w:hAnsi="仿宋" w:eastAsia="仿宋" w:cs="仿宋"/>
          <w:color w:val="auto"/>
          <w:sz w:val="32"/>
          <w:szCs w:val="32"/>
        </w:rPr>
        <w:t>（类）其他城乡社区支出（款）其他城乡社区支出（项）</w:t>
      </w:r>
      <w:r>
        <w:rPr>
          <w:rFonts w:hint="eastAsia" w:ascii="仿宋" w:hAnsi="仿宋" w:eastAsia="仿宋" w:cs="仿宋"/>
          <w:color w:val="auto"/>
          <w:sz w:val="32"/>
          <w:szCs w:val="32"/>
          <w:lang w:eastAsia="zh-CN"/>
        </w:rPr>
        <w:t>。</w:t>
      </w:r>
    </w:p>
    <w:p w14:paraId="4A689B48">
      <w:pPr>
        <w:pStyle w:val="16"/>
        <w:numPr>
          <w:ilvl w:val="0"/>
          <w:numId w:val="0"/>
        </w:numPr>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105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66.42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63.26</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业务减少。</w:t>
      </w:r>
    </w:p>
    <w:p w14:paraId="32D89379">
      <w:pPr>
        <w:pStyle w:val="16"/>
        <w:numPr>
          <w:ilvl w:val="0"/>
          <w:numId w:val="0"/>
        </w:numPr>
        <w:overflowPunct w:val="0"/>
        <w:autoSpaceDE/>
        <w:autoSpaceDN/>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bidi="ar-SA"/>
        </w:rPr>
        <w:t>8、</w:t>
      </w:r>
      <w:r>
        <w:rPr>
          <w:rFonts w:ascii="Times New Roman" w:hAnsi="Times New Roman" w:eastAsia="仿宋_GB2312" w:cs="Times New Roman"/>
          <w:sz w:val="32"/>
          <w:szCs w:val="32"/>
        </w:rPr>
        <w:t>灾害防治及应急管理支出</w:t>
      </w:r>
      <w:r>
        <w:rPr>
          <w:rFonts w:hint="eastAsia" w:ascii="Times New Roman" w:hAnsi="Times New Roman" w:eastAsia="仿宋_GB2312" w:cs="Times New Roman"/>
          <w:sz w:val="32"/>
          <w:szCs w:val="32"/>
        </w:rPr>
        <w:t>（类）</w:t>
      </w:r>
      <w:r>
        <w:rPr>
          <w:rFonts w:ascii="Times New Roman" w:hAnsi="Times New Roman" w:eastAsia="仿宋_GB2312" w:cs="Times New Roman"/>
          <w:sz w:val="32"/>
          <w:szCs w:val="32"/>
        </w:rPr>
        <w:t>其他灾害防治及应急管理支出</w:t>
      </w:r>
      <w:r>
        <w:rPr>
          <w:rFonts w:hint="eastAsia" w:ascii="Times New Roman" w:hAnsi="Times New Roman" w:eastAsia="仿宋_GB2312" w:cs="Times New Roman"/>
          <w:sz w:val="32"/>
          <w:szCs w:val="32"/>
        </w:rPr>
        <w:t>（款）</w:t>
      </w:r>
      <w:r>
        <w:rPr>
          <w:rFonts w:hint="eastAsia" w:ascii="仿宋" w:hAnsi="仿宋" w:eastAsia="仿宋" w:cs="仿宋"/>
          <w:color w:val="auto"/>
          <w:sz w:val="32"/>
          <w:szCs w:val="32"/>
        </w:rPr>
        <w:t>其他灾害防治及应急管理支出（项）</w:t>
      </w:r>
      <w:r>
        <w:rPr>
          <w:rFonts w:hint="eastAsia" w:ascii="仿宋" w:hAnsi="仿宋" w:eastAsia="仿宋" w:cs="仿宋"/>
          <w:color w:val="auto"/>
          <w:sz w:val="32"/>
          <w:szCs w:val="32"/>
          <w:lang w:eastAsia="zh-CN"/>
        </w:rPr>
        <w:t>。</w:t>
      </w:r>
    </w:p>
    <w:p w14:paraId="2C632764">
      <w:pPr>
        <w:pStyle w:val="16"/>
        <w:numPr>
          <w:ilvl w:val="0"/>
          <w:numId w:val="0"/>
        </w:numPr>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年中增加安全生产相关经费。</w:t>
      </w:r>
    </w:p>
    <w:p w14:paraId="52DE6DE0">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797A1418">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1740.26</w:t>
      </w:r>
      <w:r>
        <w:rPr>
          <w:rFonts w:ascii="Times New Roman" w:hAnsi="Times New Roman" w:eastAsia="仿宋_GB2312" w:cs="Times New Roman"/>
          <w:sz w:val="32"/>
          <w:szCs w:val="32"/>
        </w:rPr>
        <w:t>万元，其中：</w:t>
      </w:r>
    </w:p>
    <w:p w14:paraId="7D40FFD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1627.10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93.50</w:t>
      </w:r>
      <w:r>
        <w:rPr>
          <w:rFonts w:ascii="Times New Roman" w:hAnsi="Times New Roman" w:eastAsia="仿宋_GB2312" w:cs="Times New Roman"/>
          <w:sz w:val="32"/>
          <w:szCs w:val="32"/>
        </w:rPr>
        <w:t>%,主要包括</w:t>
      </w:r>
      <w:r>
        <w:rPr>
          <w:rFonts w:hint="eastAsia" w:ascii="仿宋" w:hAnsi="仿宋" w:eastAsia="仿宋" w:cs="仿宋"/>
          <w:sz w:val="32"/>
          <w:szCs w:val="32"/>
        </w:rPr>
        <w:t>基本工资、津贴补贴、奖金、伙食补助费</w:t>
      </w:r>
      <w:r>
        <w:rPr>
          <w:rFonts w:hint="eastAsia" w:ascii="仿宋" w:hAnsi="仿宋" w:eastAsia="仿宋" w:cs="仿宋"/>
          <w:sz w:val="32"/>
          <w:szCs w:val="32"/>
          <w:lang w:eastAsia="zh-CN"/>
        </w:rPr>
        <w:t>、</w:t>
      </w:r>
      <w:r>
        <w:rPr>
          <w:rFonts w:hint="eastAsia" w:ascii="仿宋" w:hAnsi="仿宋" w:eastAsia="仿宋" w:cs="仿宋"/>
          <w:sz w:val="32"/>
          <w:szCs w:val="32"/>
        </w:rPr>
        <w:t>机关事业单位基本养老保险费、职业年金缴费、职工基本医疗保险缴费、其他社会保障缴费、住房公积金、医疗费补助、其他工资福利支出、离休费、退休费、抚恤金、生活补助、奖励金、其他对个人和家庭的补助</w:t>
      </w:r>
      <w:r>
        <w:rPr>
          <w:rFonts w:hint="eastAsia" w:ascii="Times New Roman" w:hAnsi="Times New Roman" w:eastAsia="仿宋_GB2312"/>
          <w:sz w:val="32"/>
          <w:szCs w:val="32"/>
          <w:lang w:eastAsia="zh-CN"/>
        </w:rPr>
        <w:t>。</w:t>
      </w:r>
    </w:p>
    <w:p w14:paraId="50F68B1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113.16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6.5</w:t>
      </w:r>
      <w:r>
        <w:rPr>
          <w:rFonts w:ascii="Times New Roman" w:hAnsi="Times New Roman" w:eastAsia="仿宋_GB2312" w:cs="Times New Roman"/>
          <w:sz w:val="32"/>
          <w:szCs w:val="32"/>
        </w:rPr>
        <w:t>%，主要包括</w:t>
      </w:r>
      <w:r>
        <w:rPr>
          <w:rFonts w:hint="eastAsia" w:ascii="仿宋" w:hAnsi="仿宋" w:eastAsia="仿宋" w:cs="仿宋"/>
          <w:sz w:val="32"/>
          <w:szCs w:val="32"/>
        </w:rPr>
        <w:t>办公费、印刷费、咨询费、水费、电费、邮电费、差旅费、维修（护）费、租赁费、公务接待费、专用材料费、劳务费、工会经费、福利费、公务用车维护费、其他交通费用、其他商品和服务支出及资本性支出。</w:t>
      </w:r>
    </w:p>
    <w:p w14:paraId="3B682B9B">
      <w:pPr>
        <w:pStyle w:val="16"/>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7AA8739A">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81B4685">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78.18</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5.79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77.10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厉行节约</w:t>
      </w:r>
      <w:r>
        <w:rPr>
          <w:rFonts w:ascii="Times New Roman" w:hAnsi="Times New Roman" w:eastAsia="仿宋_GB2312" w:cs="Times New Roman"/>
          <w:sz w:val="32"/>
          <w:szCs w:val="32"/>
        </w:rPr>
        <w:t>。决算数小于上年</w:t>
      </w:r>
      <w:bookmarkStart w:id="0" w:name="_GoBack"/>
      <w:bookmarkEnd w:id="0"/>
      <w:r>
        <w:rPr>
          <w:rFonts w:ascii="Times New Roman" w:hAnsi="Times New Roman" w:eastAsia="仿宋_GB2312" w:cs="Times New Roman"/>
          <w:sz w:val="32"/>
          <w:szCs w:val="32"/>
        </w:rPr>
        <w:t>数的主要原因是</w:t>
      </w:r>
      <w:r>
        <w:rPr>
          <w:rFonts w:hint="eastAsia" w:ascii="Times New Roman" w:hAnsi="Times New Roman" w:eastAsia="仿宋_GB2312"/>
          <w:sz w:val="32"/>
          <w:szCs w:val="32"/>
          <w:lang w:val="en-US" w:eastAsia="zh-CN"/>
        </w:rPr>
        <w:t>严格控制支出</w:t>
      </w:r>
      <w:r>
        <w:rPr>
          <w:rFonts w:ascii="Times New Roman" w:hAnsi="Times New Roman" w:eastAsia="仿宋_GB2312" w:cs="Times New Roman"/>
          <w:sz w:val="32"/>
          <w:szCs w:val="32"/>
        </w:rPr>
        <w:t>。</w:t>
      </w:r>
    </w:p>
    <w:p w14:paraId="1C09D0A2">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4B42DC0">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仿宋" w:hAnsi="仿宋" w:eastAsia="仿宋" w:cs="仿宋"/>
          <w:sz w:val="32"/>
          <w:szCs w:val="32"/>
        </w:rPr>
        <w:t>全年未安排因公出国（境）。</w:t>
      </w:r>
    </w:p>
    <w:p w14:paraId="4EAB4B4A">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全年无公务用车购置</w:t>
      </w:r>
      <w:r>
        <w:rPr>
          <w:rFonts w:ascii="Times New Roman" w:hAnsi="Times New Roman" w:eastAsia="仿宋_GB2312" w:cs="Times New Roman"/>
          <w:sz w:val="32"/>
          <w:szCs w:val="32"/>
        </w:rPr>
        <w:t>。</w:t>
      </w:r>
    </w:p>
    <w:p w14:paraId="3332F77E">
      <w:pPr>
        <w:pStyle w:val="16"/>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1.72</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val="en-US" w:eastAsia="zh-CN"/>
        </w:rPr>
        <w:t>车辆维修、车辆年检、车辆保险等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77.10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5.79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77.10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厉行节约，规范公务用车</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辆。</w:t>
      </w:r>
    </w:p>
    <w:p w14:paraId="0FCAE93B">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厉行节约</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val="en-US" w:eastAsia="zh-CN"/>
        </w:rPr>
        <w:t>本年未</w:t>
      </w:r>
      <w:r>
        <w:rPr>
          <w:rFonts w:ascii="Times New Roman" w:hAnsi="Times New Roman" w:eastAsia="仿宋_GB2312" w:cs="Times New Roman"/>
          <w:sz w:val="32"/>
          <w:szCs w:val="32"/>
        </w:rPr>
        <w:t>发生的接待支出。</w:t>
      </w:r>
    </w:p>
    <w:p w14:paraId="2D3B318C">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A19E53C">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1847.77</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1847.77</w:t>
      </w:r>
      <w:r>
        <w:rPr>
          <w:rFonts w:ascii="Times New Roman" w:hAnsi="Times New Roman" w:eastAsia="仿宋_GB2312" w:cs="Times New Roman"/>
          <w:sz w:val="32"/>
          <w:szCs w:val="32"/>
        </w:rPr>
        <w:t>万元，其中基本支出，项目支出</w:t>
      </w:r>
      <w:r>
        <w:rPr>
          <w:rFonts w:hint="eastAsia" w:ascii="Times New Roman" w:hAnsi="Times New Roman" w:eastAsia="仿宋_GB2312" w:cs="Times New Roman"/>
          <w:sz w:val="32"/>
          <w:szCs w:val="32"/>
          <w:lang w:val="en-US" w:eastAsia="zh-CN"/>
        </w:rPr>
        <w:t>1847.77</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3002F2AC">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sz w:val="32"/>
          <w:szCs w:val="32"/>
        </w:rPr>
        <w:t>城乡社区支出（类）城市基础设施配套费安排的支出（款）城市环境卫生（项）</w:t>
      </w:r>
      <w:r>
        <w:rPr>
          <w:rFonts w:ascii="Times New Roman" w:hAnsi="Times New Roman" w:eastAsia="仿宋_GB2312" w:cs="Times New Roman"/>
          <w:sz w:val="32"/>
          <w:szCs w:val="32"/>
        </w:rPr>
        <w:t>。</w:t>
      </w:r>
    </w:p>
    <w:p w14:paraId="343E9FE0">
      <w:pPr>
        <w:pStyle w:val="16"/>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767.52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仿宋" w:hAnsi="仿宋" w:eastAsia="仿宋" w:cs="仿宋"/>
          <w:sz w:val="32"/>
          <w:szCs w:val="32"/>
          <w:lang w:val="en-US" w:eastAsia="zh-CN"/>
        </w:rPr>
        <w:t>财政统筹安排，年初未编制预算。</w:t>
      </w:r>
    </w:p>
    <w:p w14:paraId="354ED45D">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城乡社区支出（类）城市基础设施配套费安排的支出（款）其他城市基础设施配套费安排的支出（项）。</w:t>
      </w:r>
    </w:p>
    <w:p w14:paraId="5DD6C931">
      <w:pPr>
        <w:pStyle w:val="16"/>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1888.47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1080.25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57.20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仿宋" w:hAnsi="仿宋" w:eastAsia="仿宋" w:cs="仿宋"/>
          <w:sz w:val="32"/>
          <w:szCs w:val="32"/>
          <w:lang w:val="en-US" w:eastAsia="zh-CN"/>
        </w:rPr>
        <w:t>财政统筹安排。</w:t>
      </w:r>
    </w:p>
    <w:p w14:paraId="3C20C32C">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4390DA1C">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113.16</w:t>
      </w:r>
      <w:r>
        <w:rPr>
          <w:rFonts w:ascii="Times New Roman" w:hAnsi="Times New Roman" w:eastAsia="仿宋_GB2312" w:cs="Times New Roman"/>
          <w:sz w:val="32"/>
          <w:szCs w:val="32"/>
        </w:rPr>
        <w:t>万元，比年上年决算数增加</w:t>
      </w:r>
      <w:r>
        <w:rPr>
          <w:rFonts w:hint="eastAsia" w:ascii="Times New Roman" w:hAnsi="Times New Roman" w:eastAsia="仿宋_GB2312" w:cs="Times New Roman"/>
          <w:sz w:val="32"/>
          <w:szCs w:val="32"/>
          <w:lang w:val="en-US" w:eastAsia="zh-CN"/>
        </w:rPr>
        <w:t>22.32</w:t>
      </w:r>
      <w:r>
        <w:rPr>
          <w:rFonts w:ascii="Times New Roman" w:hAnsi="Times New Roman" w:eastAsia="仿宋_GB2312" w:cs="Times New Roman"/>
          <w:sz w:val="32"/>
          <w:szCs w:val="32"/>
        </w:rPr>
        <w:t xml:space="preserve"> 万元，增长</w:t>
      </w:r>
      <w:r>
        <w:rPr>
          <w:rFonts w:hint="eastAsia" w:ascii="Times New Roman" w:hAnsi="Times New Roman" w:eastAsia="仿宋_GB2312" w:cs="Times New Roman"/>
          <w:sz w:val="32"/>
          <w:szCs w:val="32"/>
          <w:lang w:val="en-US" w:eastAsia="zh-CN"/>
        </w:rPr>
        <w:t>24.57</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专项工作任务增加。</w:t>
      </w:r>
    </w:p>
    <w:p w14:paraId="6C0238F5">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481781E6">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元；开支培训费</w:t>
      </w:r>
      <w:r>
        <w:rPr>
          <w:rFonts w:hint="eastAsia" w:ascii="Times New Roman" w:hAnsi="Times New Roman" w:eastAsia="仿宋_GB2312" w:cs="Times New Roman"/>
          <w:sz w:val="32"/>
          <w:szCs w:val="32"/>
          <w:lang w:val="en-US" w:eastAsia="zh-CN"/>
        </w:rPr>
        <w:t>1.13</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用于开展</w:t>
      </w:r>
      <w:r>
        <w:rPr>
          <w:rFonts w:hint="eastAsia" w:ascii="仿宋" w:hAnsi="仿宋" w:eastAsia="仿宋" w:cs="仿宋"/>
          <w:sz w:val="32"/>
          <w:szCs w:val="32"/>
          <w:lang w:val="en-US" w:eastAsia="zh-CN"/>
        </w:rPr>
        <w:t>事业单位人员继续教育线上培训</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101</w:t>
      </w:r>
      <w:r>
        <w:rPr>
          <w:rFonts w:ascii="Times New Roman" w:hAnsi="Times New Roman" w:eastAsia="仿宋_GB2312" w:cs="Times New Roman"/>
          <w:sz w:val="32"/>
          <w:szCs w:val="32"/>
        </w:rPr>
        <w:t>人，内容为</w:t>
      </w:r>
      <w:r>
        <w:rPr>
          <w:rFonts w:hint="eastAsia" w:ascii="Times New Roman" w:hAnsi="Times New Roman" w:eastAsia="仿宋_GB2312"/>
          <w:sz w:val="32"/>
          <w:szCs w:val="32"/>
          <w:lang w:val="en-US" w:eastAsia="zh-CN"/>
        </w:rPr>
        <w:t>公需课和专业技能的继续教育</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54FA2C22">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16775F1B">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4281</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138</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1515</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2628</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3980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92.97</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3980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92.97</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3.47</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66</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30.53</w:t>
      </w:r>
      <w:r>
        <w:rPr>
          <w:rFonts w:ascii="Times New Roman" w:hAnsi="Times New Roman" w:eastAsia="仿宋_GB2312" w:cs="Times New Roman"/>
          <w:color w:val="auto"/>
          <w:sz w:val="32"/>
          <w:szCs w:val="32"/>
        </w:rPr>
        <w:t>%。</w:t>
      </w:r>
    </w:p>
    <w:p w14:paraId="7693E1D8">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1A6C93D2">
      <w:pPr>
        <w:pStyle w:val="16"/>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25</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19</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318A9FCD">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7EC7ADBD">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50833916">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15</w:t>
      </w:r>
      <w:r>
        <w:rPr>
          <w:rFonts w:ascii="Times New Roman" w:hAnsi="Times New Roman" w:eastAsia="仿宋_GB2312" w:cs="Times New Roman"/>
          <w:kern w:val="0"/>
          <w:sz w:val="32"/>
          <w:szCs w:val="32"/>
        </w:rPr>
        <w:t>个，共涉及资金</w:t>
      </w:r>
      <w:r>
        <w:rPr>
          <w:rFonts w:hint="eastAsia" w:ascii="Times New Roman Regular" w:hAnsi="Times New Roman Regular" w:eastAsia="仿宋_GB2312" w:cs="Times New Roman Regular"/>
          <w:color w:val="auto"/>
          <w:sz w:val="32"/>
          <w:szCs w:val="32"/>
          <w:highlight w:val="none"/>
          <w:lang w:val="en-US" w:eastAsia="zh-CN"/>
        </w:rPr>
        <w:t>3929.39</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1948.77</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52.83</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1847.77</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50.09</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1836406B">
      <w:pPr>
        <w:numPr>
          <w:ilvl w:val="0"/>
          <w:numId w:val="0"/>
        </w:numPr>
        <w:overflowPunct w:val="0"/>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kern w:val="2"/>
          <w:sz w:val="32"/>
          <w:szCs w:val="32"/>
          <w:lang w:val="en-US" w:eastAsia="zh-CN" w:bidi="ar-SA"/>
        </w:rPr>
        <w:t>（二）</w:t>
      </w:r>
      <w:r>
        <w:rPr>
          <w:rFonts w:ascii="Times New Roman" w:hAnsi="Times New Roman" w:eastAsia="楷体_GB2312" w:cs="Times New Roman"/>
          <w:b/>
          <w:bCs/>
          <w:sz w:val="32"/>
          <w:szCs w:val="32"/>
        </w:rPr>
        <w:t>绩效评价结果。</w:t>
      </w:r>
    </w:p>
    <w:p w14:paraId="6A01945E">
      <w:pPr>
        <w:numPr>
          <w:ilvl w:val="0"/>
          <w:numId w:val="0"/>
        </w:num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6714.51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5759.46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85.78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kern w:val="0"/>
          <w:sz w:val="32"/>
          <w:szCs w:val="32"/>
          <w:lang w:val="en-US" w:eastAsia="zh-CN"/>
        </w:rPr>
        <w:t>9</w:t>
      </w:r>
      <w:r>
        <w:rPr>
          <w:rFonts w:hint="eastAsia" w:ascii="Times New Roman" w:hAnsi="Times New Roman" w:eastAsia="仿宋_GB2312" w:cs="Times New Roman"/>
          <w:sz w:val="32"/>
          <w:szCs w:val="32"/>
          <w:lang w:val="en-US" w:eastAsia="zh-CN"/>
        </w:rPr>
        <w:t>8.58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rPr>
        <w:t>日常养护管理不断精细</w:t>
      </w:r>
      <w:r>
        <w:rPr>
          <w:rFonts w:hint="eastAsia" w:ascii="Times New Roman" w:hAnsi="Times New Roman" w:eastAsia="仿宋_GB2312" w:cs="Times New Roman"/>
          <w:sz w:val="32"/>
          <w:szCs w:val="32"/>
          <w:lang w:eastAsia="zh-CN"/>
        </w:rPr>
        <w:t>，为城市主次干道、风光带、城区广场游园、背街小巷绿地绿化增加绿化景观效果，给居民提供一个生态休闲的空间，提升城市品位，进一步提高人民群众的满意度和幸福感</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采取明检暗检相结合的方式，开展考核评价，全年开展明检12次、暗检7次，对检查发现的问题及时下发督办函60余件，对考核评价较低的5家招标养护单位进行约谈，并责令按期、按要求完成问题整改</w:t>
      </w:r>
      <w:r>
        <w:rPr>
          <w:rFonts w:hint="eastAsia" w:ascii="Times New Roman" w:hAnsi="Times New Roman" w:eastAsia="仿宋_GB2312" w:cs="Times New Roman"/>
          <w:sz w:val="32"/>
          <w:szCs w:val="32"/>
          <w:lang w:val="en-US" w:eastAsia="zh-CN"/>
        </w:rPr>
        <w:t>；3、服务不断增强。解决了溆浦县西湖村8、9组的饮用水问题；维修路灯35盏，新安装路灯30盏；硬化了456组的村组道路，新修了17组的村道；接待群众来电来访50余人次，办结市长热线154件；三是办理人大建议4件（其中主办2件，会办2件）、政协提案9件（其中主办4件，协办5件）；迎丰公园采纳市民游客合理建议10余条，为市民游客寻找丢失物品查看监控100余次，学雷锋志愿者服务站为市民提供借用雨伞、手机充电、应急药品等50余次；4、确定了湖天南路与正清路小微绿地、雪峰口袋公园、东盟大道与湖天南路小微绿地、城南高速出入口小微绿地、东盟大道与湖天南路交叉口绿地改造、毛家山洲湿地小游园、舞水一桥至三桥生态修复、高铁广场绿雕、温德姆酒店花箱摆放、迎丰公园设施改造及绿化提质、华美小游园、迎宾馆周边绿化提质改造、怀北入城口树池及行道树提质、粟裕大将陈列室周边景观提质改造、主干道树池改造等15个绿化项目，按时按期、保质保量完成建设任务。其中东盟大道与湖天南路小微绿地的福地怀化植物造型项目和怀化高铁站绿雕项目获得了市领导和广大市民的一致好评，较好的园林景观效果成为了怀化网红打卡点，广大网友在短视频新媒体上对怀化形象的正面推介起到了重要作用</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rPr>
        <w:t>因预算资金安排和使用具有不可预见性的，预算调整率、公用经费控制率的实际情况与预算存在一定的差距</w:t>
      </w:r>
      <w:r>
        <w:rPr>
          <w:rFonts w:ascii="Times New Roman" w:hAnsi="Times New Roman" w:eastAsia="仿宋_GB2312" w:cs="Times New Roman"/>
          <w:sz w:val="32"/>
          <w:szCs w:val="32"/>
        </w:rPr>
        <w:t>；二是</w:t>
      </w:r>
      <w:r>
        <w:rPr>
          <w:rFonts w:hint="eastAsia" w:ascii="Times New Roman Regular" w:hAnsi="Times New Roman Regular" w:eastAsia="仿宋_GB2312" w:cs="Times New Roman Regular"/>
          <w:sz w:val="32"/>
          <w:szCs w:val="32"/>
        </w:rPr>
        <w:t>存在部分整体支出绩效指标不全面，有待依据部门职责和年度工作重点设定更细化、可衡量的绩效指标</w:t>
      </w:r>
      <w:r>
        <w:rPr>
          <w:rFonts w:ascii="Times New Roman" w:hAnsi="Times New Roman" w:eastAsia="仿宋_GB2312" w:cs="Times New Roman"/>
          <w:sz w:val="32"/>
          <w:szCs w:val="32"/>
        </w:rPr>
        <w:t>。下一步改进措施：一是</w:t>
      </w:r>
      <w:r>
        <w:rPr>
          <w:rFonts w:hint="eastAsia" w:ascii="Times New Roman Regular" w:hAnsi="Times New Roman Regular" w:eastAsia="仿宋_GB2312" w:cs="Times New Roman Regular"/>
          <w:sz w:val="32"/>
          <w:szCs w:val="32"/>
        </w:rPr>
        <w:t>存在部分整体支出绩效指标不全面，有待依据部门职责和年度工作重点设定更细化、可衡量的绩效指标</w:t>
      </w:r>
      <w:r>
        <w:rPr>
          <w:rFonts w:ascii="Times New Roman" w:hAnsi="Times New Roman" w:eastAsia="仿宋_GB2312" w:cs="Times New Roman"/>
          <w:sz w:val="32"/>
          <w:szCs w:val="32"/>
        </w:rPr>
        <w:t>；二是</w:t>
      </w:r>
      <w:r>
        <w:rPr>
          <w:rFonts w:ascii="Times New Roman Regular" w:hAnsi="Times New Roman Regular" w:eastAsia="仿宋_GB2312" w:cs="Times New Roman Regular"/>
          <w:sz w:val="32"/>
          <w:szCs w:val="32"/>
        </w:rPr>
        <w:t>加强对绩效评价学习和培训，加强绩效管理理念，充分理解财政绩效评价指标体系，参照上级要求及历史数据，绩效指标尽可能地全面、细化，量化，进一步提高绩效目标设立的科学性</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（请</w:t>
      </w:r>
      <w:r>
        <w:rPr>
          <w:rFonts w:ascii="Times New Roman" w:hAnsi="Times New Roman" w:eastAsia="仿宋_GB2312" w:cs="Times New Roman"/>
          <w:sz w:val="32"/>
          <w:szCs w:val="32"/>
        </w:rPr>
        <w:t>对本部门整体支出的绩效目标完成情况，存在的问题及原因，下一步改进措施等进行简要说明</w:t>
      </w:r>
      <w:r>
        <w:rPr>
          <w:rFonts w:ascii="Times New Roman" w:hAnsi="Times New Roman" w:eastAsia="仿宋_GB2312" w:cs="Times New Roman"/>
          <w:kern w:val="0"/>
          <w:sz w:val="32"/>
          <w:szCs w:val="32"/>
        </w:rPr>
        <w:t>）。</w:t>
      </w:r>
    </w:p>
    <w:p w14:paraId="7606D52E">
      <w:pPr>
        <w:pStyle w:val="16"/>
        <w:numPr>
          <w:ilvl w:val="0"/>
          <w:numId w:val="1"/>
        </w:numPr>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评价结果应用情况。</w:t>
      </w:r>
    </w:p>
    <w:p w14:paraId="3F18163A">
      <w:pPr>
        <w:pStyle w:val="16"/>
        <w:numPr>
          <w:numId w:val="0"/>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预算安排</w:t>
      </w:r>
      <w:r>
        <w:rPr>
          <w:rFonts w:hint="eastAsia" w:ascii="Times New Roman" w:hAnsi="Times New Roman" w:eastAsia="仿宋_GB2312" w:cs="Times New Roman"/>
          <w:color w:val="auto"/>
          <w:sz w:val="32"/>
          <w:szCs w:val="32"/>
          <w:lang w:val="en-US" w:eastAsia="zh-CN"/>
        </w:rPr>
        <w:t>方面</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对绩效评价结果为"优"的项目，优先保障2025年度预算安排</w:t>
      </w:r>
      <w:r>
        <w:rPr>
          <w:rFonts w:hint="eastAsia" w:ascii="Times New Roman" w:hAnsi="Times New Roman" w:eastAsia="仿宋_GB2312" w:cs="Times New Roman"/>
          <w:color w:val="auto"/>
          <w:sz w:val="32"/>
          <w:szCs w:val="32"/>
          <w:lang w:eastAsia="zh-CN"/>
        </w:rPr>
        <w:t>，对拟新增项目开展事前绩效评估，评估结果作为项目入库和申请预算的必备条件</w:t>
      </w:r>
    </w:p>
    <w:p w14:paraId="68ACB99F">
      <w:pPr>
        <w:pStyle w:val="16"/>
        <w:numPr>
          <w:numId w:val="0"/>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支出结构调整</w:t>
      </w:r>
      <w:r>
        <w:rPr>
          <w:rFonts w:hint="eastAsia" w:ascii="Times New Roman" w:hAnsi="Times New Roman" w:eastAsia="仿宋_GB2312" w:cs="Times New Roman"/>
          <w:color w:val="auto"/>
          <w:sz w:val="32"/>
          <w:szCs w:val="32"/>
          <w:lang w:val="en-US" w:eastAsia="zh-CN"/>
        </w:rPr>
        <w:t>方面，严格区分人员类、运转类和特定目标类支出，分类制定管理标准，对人员类支出实行刚性保障，确保工资福利等按时足额发放，对运转类支出实行弹性管理，根据绩效监控结果及时调整，对特定目标类支出实行精细化管控，确保专项资金专款专用。</w:t>
      </w:r>
    </w:p>
    <w:p w14:paraId="736452C4">
      <w:pPr>
        <w:pStyle w:val="16"/>
        <w:numPr>
          <w:ilvl w:val="0"/>
          <w:numId w:val="0"/>
        </w:numPr>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bidi="ar-SA"/>
        </w:rPr>
        <w:t>3</w:t>
      </w:r>
      <w:r>
        <w:rPr>
          <w:rFonts w:ascii="Times New Roman" w:hAnsi="Times New Roman" w:eastAsia="仿宋_GB2312" w:cs="Times New Roman"/>
          <w:color w:val="auto"/>
          <w:sz w:val="32"/>
          <w:szCs w:val="32"/>
          <w:lang w:val="en-US" w:eastAsia="zh-CN" w:bidi="ar-SA"/>
        </w:rPr>
        <w:t>、</w:t>
      </w:r>
      <w:r>
        <w:rPr>
          <w:rFonts w:ascii="Times New Roman" w:hAnsi="Times New Roman" w:eastAsia="仿宋_GB2312" w:cs="Times New Roman"/>
          <w:color w:val="auto"/>
          <w:sz w:val="32"/>
          <w:szCs w:val="32"/>
        </w:rPr>
        <w:t>资金管理</w:t>
      </w:r>
      <w:r>
        <w:rPr>
          <w:rFonts w:hint="eastAsia" w:ascii="Times New Roman" w:hAnsi="Times New Roman" w:eastAsia="仿宋_GB2312" w:cs="Times New Roman"/>
          <w:color w:val="auto"/>
          <w:sz w:val="32"/>
          <w:szCs w:val="32"/>
          <w:lang w:val="en-US" w:eastAsia="zh-CN"/>
        </w:rPr>
        <w:t>方面，建立专项资金使用负面清单，明确禁止性支出范围，加强专项资金绩效目标管理，确保资金使用与目标一致，完善专项资金调剂使用机制，对闲置资金及时收回并重新安排。</w:t>
      </w:r>
    </w:p>
    <w:p w14:paraId="41DA131E">
      <w:pPr>
        <w:pStyle w:val="16"/>
        <w:numPr>
          <w:ilvl w:val="0"/>
          <w:numId w:val="0"/>
        </w:numPr>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制度建设方面</w:t>
      </w:r>
      <w:r>
        <w:rPr>
          <w:rFonts w:hint="eastAsia" w:ascii="Times New Roman" w:hAnsi="Times New Roman" w:eastAsia="仿宋_GB2312" w:cs="Times New Roman"/>
          <w:color w:val="auto"/>
          <w:sz w:val="32"/>
          <w:szCs w:val="32"/>
          <w:lang w:eastAsia="zh-CN"/>
        </w:rPr>
        <w:t>，构建"事前评估+事中监控+事后评价"的全周期绩效管理闭环，制定《部门预算绩效管理实施细则》，明确各环节操作规范，建立预算绩效管理与部门考核、干部考核相结合的"四挂钩"机制。</w:t>
      </w:r>
    </w:p>
    <w:p w14:paraId="2043FB90">
      <w:pPr>
        <w:pStyle w:val="16"/>
        <w:jc w:val="center"/>
        <w:rPr>
          <w:rFonts w:ascii="Times New Roman" w:hAnsi="Times New Roman" w:cs="Times New Roman"/>
          <w:sz w:val="72"/>
          <w:szCs w:val="72"/>
        </w:rPr>
      </w:pPr>
    </w:p>
    <w:p w14:paraId="43395E6C">
      <w:pPr>
        <w:pStyle w:val="16"/>
        <w:jc w:val="center"/>
        <w:rPr>
          <w:rFonts w:ascii="Times New Roman" w:hAnsi="Times New Roman" w:cs="Times New Roman"/>
          <w:sz w:val="72"/>
          <w:szCs w:val="72"/>
        </w:rPr>
      </w:pPr>
    </w:p>
    <w:p w14:paraId="5925CAE0">
      <w:pPr>
        <w:pStyle w:val="16"/>
        <w:jc w:val="center"/>
        <w:rPr>
          <w:rFonts w:ascii="Times New Roman" w:hAnsi="Times New Roman" w:cs="Times New Roman"/>
          <w:sz w:val="72"/>
          <w:szCs w:val="72"/>
        </w:rPr>
      </w:pPr>
    </w:p>
    <w:p w14:paraId="79DA28E8">
      <w:pPr>
        <w:pStyle w:val="16"/>
        <w:jc w:val="center"/>
        <w:rPr>
          <w:rFonts w:ascii="Times New Roman" w:hAnsi="Times New Roman" w:cs="Times New Roman"/>
          <w:sz w:val="72"/>
          <w:szCs w:val="72"/>
        </w:rPr>
      </w:pPr>
    </w:p>
    <w:p w14:paraId="44FBD5B2">
      <w:pPr>
        <w:pStyle w:val="16"/>
        <w:jc w:val="center"/>
        <w:rPr>
          <w:rFonts w:ascii="Times New Roman" w:hAnsi="Times New Roman" w:cs="Times New Roman"/>
          <w:sz w:val="72"/>
          <w:szCs w:val="72"/>
        </w:rPr>
      </w:pPr>
    </w:p>
    <w:p w14:paraId="53800587">
      <w:pPr>
        <w:pStyle w:val="16"/>
        <w:jc w:val="center"/>
        <w:rPr>
          <w:rFonts w:ascii="Times New Roman" w:hAnsi="Times New Roman" w:cs="Times New Roman"/>
          <w:sz w:val="72"/>
          <w:szCs w:val="72"/>
        </w:rPr>
      </w:pPr>
    </w:p>
    <w:p w14:paraId="318581A1">
      <w:pPr>
        <w:pStyle w:val="16"/>
        <w:jc w:val="center"/>
        <w:rPr>
          <w:rFonts w:ascii="Times New Roman" w:hAnsi="Times New Roman" w:cs="Times New Roman"/>
          <w:sz w:val="72"/>
          <w:szCs w:val="72"/>
        </w:rPr>
      </w:pPr>
    </w:p>
    <w:p w14:paraId="239970A2">
      <w:pPr>
        <w:pStyle w:val="16"/>
        <w:jc w:val="center"/>
        <w:rPr>
          <w:rFonts w:ascii="Times New Roman" w:hAnsi="Times New Roman" w:cs="Times New Roman"/>
          <w:sz w:val="72"/>
          <w:szCs w:val="72"/>
        </w:rPr>
      </w:pPr>
    </w:p>
    <w:p w14:paraId="4A8980B7">
      <w:pPr>
        <w:pStyle w:val="16"/>
        <w:jc w:val="center"/>
        <w:rPr>
          <w:rFonts w:ascii="Times New Roman" w:hAnsi="Times New Roman" w:cs="Times New Roman"/>
          <w:sz w:val="72"/>
          <w:szCs w:val="72"/>
        </w:rPr>
      </w:pPr>
    </w:p>
    <w:p w14:paraId="73D21411">
      <w:pPr>
        <w:pStyle w:val="16"/>
        <w:jc w:val="center"/>
        <w:rPr>
          <w:rFonts w:ascii="Times New Roman" w:hAnsi="Times New Roman" w:cs="Times New Roman"/>
          <w:sz w:val="72"/>
          <w:szCs w:val="72"/>
        </w:rPr>
      </w:pPr>
    </w:p>
    <w:p w14:paraId="511D3EAC">
      <w:pPr>
        <w:pStyle w:val="16"/>
        <w:jc w:val="both"/>
        <w:rPr>
          <w:rFonts w:ascii="Times New Roman" w:hAnsi="Times New Roman" w:cs="Times New Roman"/>
          <w:sz w:val="72"/>
          <w:szCs w:val="72"/>
        </w:rPr>
      </w:pPr>
    </w:p>
    <w:p w14:paraId="2905D110">
      <w:pPr>
        <w:pStyle w:val="16"/>
        <w:jc w:val="both"/>
        <w:rPr>
          <w:rFonts w:ascii="Times New Roman" w:hAnsi="Times New Roman" w:cs="Times New Roman"/>
          <w:sz w:val="72"/>
          <w:szCs w:val="72"/>
        </w:rPr>
      </w:pPr>
    </w:p>
    <w:p w14:paraId="2020A235">
      <w:pPr>
        <w:pStyle w:val="16"/>
        <w:jc w:val="both"/>
        <w:rPr>
          <w:rFonts w:ascii="Times New Roman" w:hAnsi="Times New Roman" w:cs="Times New Roman"/>
          <w:sz w:val="72"/>
          <w:szCs w:val="72"/>
        </w:rPr>
      </w:pPr>
    </w:p>
    <w:p w14:paraId="63F502F6">
      <w:pPr>
        <w:pStyle w:val="16"/>
        <w:spacing w:line="360" w:lineRule="auto"/>
        <w:jc w:val="center"/>
        <w:rPr>
          <w:rFonts w:ascii="Times New Roman" w:hAnsi="Times New Roman" w:eastAsia="方正小标宋_GBK" w:cs="Times New Roman"/>
          <w:sz w:val="52"/>
          <w:szCs w:val="52"/>
        </w:rPr>
      </w:pPr>
    </w:p>
    <w:p w14:paraId="7E88F0B0">
      <w:pPr>
        <w:pStyle w:val="16"/>
        <w:spacing w:line="360" w:lineRule="auto"/>
        <w:jc w:val="center"/>
        <w:rPr>
          <w:rFonts w:ascii="Times New Roman" w:hAnsi="Times New Roman" w:eastAsia="方正小标宋_GBK" w:cs="Times New Roman"/>
          <w:sz w:val="52"/>
          <w:szCs w:val="52"/>
        </w:rPr>
      </w:pPr>
    </w:p>
    <w:p w14:paraId="6F6224B4">
      <w:pPr>
        <w:pStyle w:val="16"/>
        <w:spacing w:line="360" w:lineRule="auto"/>
        <w:jc w:val="center"/>
        <w:rPr>
          <w:rFonts w:ascii="Times New Roman" w:hAnsi="Times New Roman" w:eastAsia="方正小标宋_GBK" w:cs="Times New Roman"/>
          <w:sz w:val="52"/>
          <w:szCs w:val="52"/>
        </w:rPr>
      </w:pPr>
    </w:p>
    <w:p w14:paraId="220D0797">
      <w:pPr>
        <w:pStyle w:val="16"/>
        <w:spacing w:line="360" w:lineRule="auto"/>
        <w:jc w:val="center"/>
        <w:rPr>
          <w:rFonts w:ascii="Times New Roman" w:hAnsi="Times New Roman" w:eastAsia="方正小标宋_GBK" w:cs="Times New Roman"/>
          <w:sz w:val="52"/>
          <w:szCs w:val="52"/>
        </w:rPr>
      </w:pPr>
    </w:p>
    <w:p w14:paraId="59483F48">
      <w:pPr>
        <w:pStyle w:val="16"/>
        <w:spacing w:line="360" w:lineRule="auto"/>
        <w:jc w:val="center"/>
        <w:rPr>
          <w:rFonts w:ascii="Times New Roman" w:hAnsi="Times New Roman" w:eastAsia="方正小标宋_GBK" w:cs="Times New Roman"/>
          <w:sz w:val="52"/>
          <w:szCs w:val="52"/>
        </w:rPr>
      </w:pPr>
    </w:p>
    <w:p w14:paraId="4EFFAF6D">
      <w:pPr>
        <w:pStyle w:val="16"/>
        <w:spacing w:line="360" w:lineRule="auto"/>
        <w:jc w:val="center"/>
        <w:rPr>
          <w:rFonts w:ascii="Times New Roman" w:hAnsi="Times New Roman" w:eastAsia="方正小标宋_GBK" w:cs="Times New Roman"/>
          <w:sz w:val="52"/>
          <w:szCs w:val="52"/>
        </w:rPr>
      </w:pPr>
    </w:p>
    <w:p w14:paraId="16322C05">
      <w:pPr>
        <w:pStyle w:val="16"/>
        <w:spacing w:line="360" w:lineRule="auto"/>
        <w:jc w:val="center"/>
        <w:rPr>
          <w:rFonts w:ascii="Times New Roman" w:hAnsi="Times New Roman" w:eastAsia="方正小标宋_GBK" w:cs="Times New Roman"/>
          <w:sz w:val="52"/>
          <w:szCs w:val="52"/>
        </w:rPr>
      </w:pPr>
    </w:p>
    <w:p w14:paraId="6AAB62CB">
      <w:pPr>
        <w:pStyle w:val="16"/>
        <w:spacing w:line="360" w:lineRule="auto"/>
        <w:jc w:val="center"/>
        <w:rPr>
          <w:rFonts w:ascii="Times New Roman" w:hAnsi="Times New Roman" w:eastAsia="方正小标宋_GBK" w:cs="Times New Roman"/>
          <w:sz w:val="52"/>
          <w:szCs w:val="52"/>
        </w:rPr>
      </w:pPr>
    </w:p>
    <w:p w14:paraId="52B70BD5">
      <w:pPr>
        <w:pStyle w:val="16"/>
        <w:spacing w:line="360" w:lineRule="auto"/>
        <w:jc w:val="center"/>
        <w:rPr>
          <w:rFonts w:ascii="Times New Roman" w:hAnsi="Times New Roman" w:eastAsia="方正小标宋_GBK" w:cs="Times New Roman"/>
          <w:sz w:val="52"/>
          <w:szCs w:val="52"/>
        </w:rPr>
      </w:pPr>
    </w:p>
    <w:p w14:paraId="7A4A41F9">
      <w:pPr>
        <w:pStyle w:val="16"/>
        <w:spacing w:line="360" w:lineRule="auto"/>
        <w:jc w:val="center"/>
        <w:rPr>
          <w:rFonts w:ascii="Times New Roman" w:hAnsi="Times New Roman" w:eastAsia="方正小标宋_GBK" w:cs="Times New Roman"/>
          <w:sz w:val="52"/>
          <w:szCs w:val="52"/>
        </w:rPr>
      </w:pPr>
    </w:p>
    <w:p w14:paraId="79C580CF">
      <w:pPr>
        <w:pStyle w:val="16"/>
        <w:numPr>
          <w:ilvl w:val="0"/>
          <w:numId w:val="2"/>
        </w:numPr>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名词解释</w:t>
      </w:r>
    </w:p>
    <w:p w14:paraId="6FDE6036">
      <w:pPr>
        <w:widowControl/>
        <w:jc w:val="left"/>
        <w:rPr>
          <w:rFonts w:ascii="Times New Roman" w:hAnsi="Times New Roman" w:cs="Times New Roman"/>
          <w:color w:val="000000"/>
          <w:kern w:val="0"/>
          <w:sz w:val="32"/>
          <w:szCs w:val="32"/>
        </w:rPr>
      </w:pPr>
    </w:p>
    <w:p w14:paraId="5CF91D39">
      <w:pPr>
        <w:pStyle w:val="16"/>
        <w:jc w:val="center"/>
        <w:rPr>
          <w:rFonts w:ascii="Times New Roman" w:hAnsi="Times New Roman" w:cs="Times New Roman"/>
          <w:sz w:val="72"/>
          <w:szCs w:val="72"/>
        </w:rPr>
      </w:pPr>
    </w:p>
    <w:p w14:paraId="6EFA6907">
      <w:pPr>
        <w:pStyle w:val="16"/>
        <w:jc w:val="center"/>
        <w:rPr>
          <w:rFonts w:ascii="Times New Roman" w:hAnsi="Times New Roman" w:cs="Times New Roman"/>
          <w:sz w:val="72"/>
          <w:szCs w:val="72"/>
        </w:rPr>
      </w:pPr>
    </w:p>
    <w:p w14:paraId="4A0C63E3">
      <w:pPr>
        <w:pStyle w:val="16"/>
        <w:jc w:val="center"/>
        <w:rPr>
          <w:rFonts w:ascii="Times New Roman" w:hAnsi="Times New Roman" w:cs="Times New Roman"/>
          <w:sz w:val="72"/>
          <w:szCs w:val="72"/>
        </w:rPr>
      </w:pPr>
    </w:p>
    <w:p w14:paraId="62230FFA">
      <w:pPr>
        <w:pStyle w:val="16"/>
        <w:jc w:val="center"/>
        <w:rPr>
          <w:rFonts w:ascii="Times New Roman" w:hAnsi="Times New Roman" w:cs="Times New Roman"/>
          <w:sz w:val="72"/>
          <w:szCs w:val="72"/>
        </w:rPr>
      </w:pPr>
    </w:p>
    <w:p w14:paraId="642940D4">
      <w:pPr>
        <w:pStyle w:val="16"/>
        <w:jc w:val="center"/>
        <w:rPr>
          <w:rFonts w:ascii="Times New Roman" w:hAnsi="Times New Roman" w:cs="Times New Roman"/>
          <w:sz w:val="72"/>
          <w:szCs w:val="72"/>
        </w:rPr>
      </w:pPr>
    </w:p>
    <w:p w14:paraId="02620B10">
      <w:pPr>
        <w:pStyle w:val="16"/>
        <w:jc w:val="center"/>
        <w:rPr>
          <w:rFonts w:ascii="Times New Roman" w:hAnsi="Times New Roman" w:cs="Times New Roman"/>
          <w:sz w:val="72"/>
          <w:szCs w:val="72"/>
        </w:rPr>
      </w:pPr>
    </w:p>
    <w:p w14:paraId="737F62B2">
      <w:pPr>
        <w:pStyle w:val="16"/>
        <w:jc w:val="center"/>
        <w:rPr>
          <w:rFonts w:ascii="Times New Roman" w:hAnsi="Times New Roman" w:cs="Times New Roman"/>
          <w:sz w:val="72"/>
          <w:szCs w:val="72"/>
        </w:rPr>
      </w:pPr>
    </w:p>
    <w:p w14:paraId="381BDF70">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一、财政拨款收入：指财政当年拨付的资金。 </w:t>
      </w:r>
    </w:p>
    <w:p w14:paraId="31F7AA55">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14:paraId="2F0E69F9">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三、经营收入：指事业单位在专业业务活动及其辅助活动之外开展非独立核算经营活动取得的收入。如：中国财政杂志社广告收入等。 </w:t>
      </w:r>
    </w:p>
    <w:p w14:paraId="1C75CAED">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四、其他收入：指除上述“财政拨款收入”、“事业收入”、“经营收入”等以外的收入。主要是按规定动用的售房收入、存款利息收入等。 </w:t>
      </w:r>
    </w:p>
    <w:p w14:paraId="31A28AE3">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32C50D8C">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六、年初结转和结余：指以前年度尚未完成、结转到本年按有关规定继续使用的资金。 </w:t>
      </w:r>
    </w:p>
    <w:p w14:paraId="1035E550">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七、结余分配：指事业单位按规定提取的职工福利基金、事业基金和缴纳的所得税，以及建设单位按规定应交回的基本建设竣工项目结余资金。</w:t>
      </w:r>
    </w:p>
    <w:p w14:paraId="555A4BAC">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八、年末结转和结余：指本年度或以前年度预算安排、因客观条件发生变化无法按原计划实施，需要延迟到以后年度按有关规定继续使用的资金。 </w:t>
      </w:r>
    </w:p>
    <w:p w14:paraId="6D71DD0E">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九、基本支出：指为保障机构正常运转、完成日常工作任务而发生的人员支出和公用支出。 </w:t>
      </w:r>
    </w:p>
    <w:p w14:paraId="79D9BAB2">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十、项目支出：指在基本支出之外为完成特定行政任务和事业发展目标所发生的支出。 </w:t>
      </w:r>
    </w:p>
    <w:p w14:paraId="255F3D08">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十一、经营支出：指事业单位在专业业务活动及其辅助活动之外开展非独立核算经营活动发生的支出。 </w:t>
      </w:r>
    </w:p>
    <w:p w14:paraId="061CDE40">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5A4417C">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eastAsia="仿宋"/>
          <w:sz w:val="72"/>
          <w:szCs w:val="72"/>
          <w:lang w:eastAsia="zh-CN"/>
        </w:rPr>
      </w:pPr>
      <w:r>
        <w:rPr>
          <w:rFonts w:hint="eastAsia" w:ascii="仿宋" w:hAnsi="仿宋" w:eastAsia="仿宋" w:cs="仿宋"/>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color w:val="000000"/>
          <w:kern w:val="0"/>
          <w:sz w:val="32"/>
          <w:szCs w:val="32"/>
          <w:lang w:val="en-US" w:eastAsia="zh-CN"/>
        </w:rPr>
        <w:t>。</w:t>
      </w:r>
    </w:p>
    <w:p w14:paraId="0BB932B5">
      <w:pPr>
        <w:pStyle w:val="16"/>
        <w:jc w:val="center"/>
        <w:rPr>
          <w:rFonts w:ascii="Times New Roman" w:hAnsi="Times New Roman" w:cs="Times New Roman"/>
          <w:sz w:val="72"/>
          <w:szCs w:val="72"/>
        </w:rPr>
      </w:pPr>
    </w:p>
    <w:p w14:paraId="3DDC2AC5">
      <w:pPr>
        <w:pStyle w:val="16"/>
        <w:jc w:val="center"/>
        <w:rPr>
          <w:rFonts w:ascii="Times New Roman" w:hAnsi="Times New Roman" w:cs="Times New Roman"/>
          <w:sz w:val="72"/>
          <w:szCs w:val="72"/>
        </w:rPr>
      </w:pPr>
    </w:p>
    <w:p w14:paraId="7FB77BE2">
      <w:pPr>
        <w:pStyle w:val="16"/>
        <w:jc w:val="center"/>
        <w:rPr>
          <w:rFonts w:ascii="Times New Roman" w:hAnsi="Times New Roman" w:cs="Times New Roman"/>
          <w:sz w:val="72"/>
          <w:szCs w:val="72"/>
        </w:rPr>
      </w:pPr>
    </w:p>
    <w:p w14:paraId="0698AC8B">
      <w:pPr>
        <w:pStyle w:val="16"/>
        <w:jc w:val="both"/>
        <w:rPr>
          <w:rFonts w:ascii="Times New Roman" w:hAnsi="Times New Roman" w:cs="Times New Roman"/>
          <w:sz w:val="72"/>
          <w:szCs w:val="72"/>
        </w:rPr>
      </w:pPr>
    </w:p>
    <w:p w14:paraId="31875C5B">
      <w:pPr>
        <w:pStyle w:val="16"/>
        <w:jc w:val="center"/>
        <w:rPr>
          <w:rFonts w:ascii="Times New Roman" w:hAnsi="Times New Roman" w:cs="Times New Roman"/>
          <w:sz w:val="72"/>
          <w:szCs w:val="72"/>
        </w:rPr>
      </w:pPr>
    </w:p>
    <w:p w14:paraId="50D54CBD">
      <w:pPr>
        <w:pStyle w:val="16"/>
        <w:jc w:val="center"/>
        <w:rPr>
          <w:rFonts w:ascii="Times New Roman" w:hAnsi="Times New Roman" w:cs="Times New Roman"/>
          <w:sz w:val="72"/>
          <w:szCs w:val="72"/>
        </w:rPr>
      </w:pPr>
    </w:p>
    <w:p w14:paraId="5FA068F2">
      <w:pPr>
        <w:pStyle w:val="16"/>
        <w:jc w:val="both"/>
        <w:rPr>
          <w:rFonts w:ascii="Times New Roman" w:hAnsi="Times New Roman" w:cs="Times New Roman"/>
          <w:sz w:val="72"/>
          <w:szCs w:val="72"/>
        </w:rPr>
      </w:pPr>
    </w:p>
    <w:p w14:paraId="5BE0F02D">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433F4FAE">
      <w:pPr>
        <w:rPr>
          <w:rFonts w:ascii="Times New Roman" w:hAnsi="Times New Roman" w:cs="Times New Roman"/>
          <w:sz w:val="72"/>
          <w:szCs w:val="72"/>
        </w:rPr>
      </w:pPr>
    </w:p>
    <w:p w14:paraId="15A121E8">
      <w:pPr>
        <w:rPr>
          <w:rFonts w:ascii="Times New Roman" w:hAnsi="Times New Roman" w:cs="Times New Roman"/>
          <w:sz w:val="72"/>
          <w:szCs w:val="72"/>
        </w:rPr>
      </w:pPr>
    </w:p>
    <w:p w14:paraId="5B09E118">
      <w:pPr>
        <w:rPr>
          <w:rFonts w:ascii="Times New Roman" w:hAnsi="Times New Roman" w:cs="Times New Roman"/>
          <w:sz w:val="72"/>
          <w:szCs w:val="72"/>
        </w:rPr>
      </w:pPr>
    </w:p>
    <w:p w14:paraId="7F8E1FA0">
      <w:pPr>
        <w:rPr>
          <w:rFonts w:ascii="Times New Roman" w:hAnsi="Times New Roman" w:cs="Times New Roman"/>
          <w:sz w:val="72"/>
          <w:szCs w:val="72"/>
        </w:rPr>
      </w:pPr>
    </w:p>
    <w:p w14:paraId="27B4398A">
      <w:pPr>
        <w:rPr>
          <w:rFonts w:ascii="Times New Roman" w:hAnsi="Times New Roman" w:cs="Times New Roman"/>
          <w:sz w:val="72"/>
          <w:szCs w:val="72"/>
        </w:rPr>
      </w:pPr>
    </w:p>
    <w:p w14:paraId="7FBAFA79">
      <w:pPr>
        <w:rPr>
          <w:rFonts w:ascii="Times New Roman" w:hAnsi="Times New Roman" w:cs="Times New Roman"/>
          <w:sz w:val="72"/>
          <w:szCs w:val="72"/>
        </w:rPr>
      </w:pPr>
    </w:p>
    <w:p w14:paraId="3F5EE2FC">
      <w:pPr>
        <w:rPr>
          <w:rFonts w:ascii="Times New Roman" w:hAnsi="Times New Roman" w:cs="Times New Roman"/>
          <w:sz w:val="72"/>
          <w:szCs w:val="72"/>
        </w:rPr>
      </w:pPr>
    </w:p>
    <w:p w14:paraId="73B7E571">
      <w:pPr>
        <w:pStyle w:val="16"/>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77ADF484">
      <w:pPr>
        <w:pStyle w:val="16"/>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二、怀化市园林绿化服务中心2024年决算公开表</w:t>
      </w:r>
    </w:p>
    <w:p w14:paraId="7CE5326B">
      <w:pPr>
        <w:pStyle w:val="16"/>
        <w:jc w:val="center"/>
        <w:rPr>
          <w:rFonts w:ascii="Times New Roman" w:hAnsi="Times New Roman" w:cs="Times New Roman"/>
          <w:sz w:val="72"/>
          <w:szCs w:val="72"/>
        </w:rPr>
      </w:pPr>
    </w:p>
    <w:p w14:paraId="4303F5B7">
      <w:pPr>
        <w:pStyle w:val="16"/>
        <w:jc w:val="center"/>
        <w:rPr>
          <w:rFonts w:ascii="Times New Roman" w:hAnsi="Times New Roman" w:cs="Times New Roman"/>
          <w:sz w:val="72"/>
          <w:szCs w:val="72"/>
        </w:rPr>
      </w:pPr>
    </w:p>
    <w:p w14:paraId="341CFDD7">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A7C2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67F2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479F">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5F2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27EB3">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2F27EB3">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AE2D7"/>
    <w:multiLevelType w:val="singleLevel"/>
    <w:tmpl w:val="AA7AE2D7"/>
    <w:lvl w:ilvl="0" w:tentative="0">
      <w:start w:val="4"/>
      <w:numFmt w:val="chineseCounting"/>
      <w:suff w:val="space"/>
      <w:lvlText w:val="第%1部分"/>
      <w:lvlJc w:val="left"/>
      <w:rPr>
        <w:rFonts w:hint="eastAsia"/>
      </w:rPr>
    </w:lvl>
  </w:abstractNum>
  <w:abstractNum w:abstractNumId="1">
    <w:nsid w:val="7B404226"/>
    <w:multiLevelType w:val="singleLevel"/>
    <w:tmpl w:val="7B40422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E9C5239"/>
    <w:rsid w:val="11A078CF"/>
    <w:rsid w:val="1A2E1092"/>
    <w:rsid w:val="1D97DEFF"/>
    <w:rsid w:val="1DFF72E5"/>
    <w:rsid w:val="1EB37DB8"/>
    <w:rsid w:val="1EFC6F07"/>
    <w:rsid w:val="2FDF85B8"/>
    <w:rsid w:val="2FFFEE04"/>
    <w:rsid w:val="34DF85B0"/>
    <w:rsid w:val="38507FCD"/>
    <w:rsid w:val="3B8F36BC"/>
    <w:rsid w:val="42BA138B"/>
    <w:rsid w:val="47013BED"/>
    <w:rsid w:val="491FF225"/>
    <w:rsid w:val="4B0D6D5E"/>
    <w:rsid w:val="4FFD214C"/>
    <w:rsid w:val="50426915"/>
    <w:rsid w:val="5777D4F5"/>
    <w:rsid w:val="59DD8326"/>
    <w:rsid w:val="5C9F314E"/>
    <w:rsid w:val="5DEF592A"/>
    <w:rsid w:val="5FC6BB1E"/>
    <w:rsid w:val="5FF720F1"/>
    <w:rsid w:val="67FF5C0B"/>
    <w:rsid w:val="693531F6"/>
    <w:rsid w:val="6A1231B1"/>
    <w:rsid w:val="6C2951BD"/>
    <w:rsid w:val="6D286848"/>
    <w:rsid w:val="6EFC0924"/>
    <w:rsid w:val="6FB74722"/>
    <w:rsid w:val="6FEF8B7E"/>
    <w:rsid w:val="71A6591B"/>
    <w:rsid w:val="737D59BA"/>
    <w:rsid w:val="774A3197"/>
    <w:rsid w:val="77C37683"/>
    <w:rsid w:val="7975372A"/>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rPr>
      <w:rFonts w:ascii="Calibri" w:hAnsi="Calibri" w:eastAsia="宋体" w:cs="Arial"/>
    </w:rPr>
  </w:style>
  <w:style w:type="paragraph" w:styleId="3">
    <w:name w:val="toc 5"/>
    <w:basedOn w:val="1"/>
    <w:next w:val="1"/>
    <w:qFormat/>
    <w:uiPriority w:val="0"/>
    <w:pPr>
      <w:ind w:left="1680" w:leftChars="800"/>
    </w:pPr>
    <w:rPr>
      <w:rFonts w:ascii="Times New Roman" w:hAnsi="Times New Roman"/>
    </w:rPr>
  </w:style>
  <w:style w:type="paragraph" w:styleId="4">
    <w:name w:val="Body Text Indent"/>
    <w:basedOn w:val="1"/>
    <w:next w:val="1"/>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9"/>
    <w:semiHidden/>
    <w:qFormat/>
    <w:uiPriority w:val="0"/>
    <w:pPr>
      <w:snapToGrid w:val="0"/>
      <w:jc w:val="left"/>
    </w:pPr>
    <w:rPr>
      <w:sz w:val="18"/>
      <w:szCs w:val="18"/>
    </w:rPr>
  </w:style>
  <w:style w:type="paragraph" w:styleId="9">
    <w:name w:val="Body Text First Indent 2"/>
    <w:basedOn w:val="4"/>
    <w:next w:val="10"/>
    <w:unhideWhenUsed/>
    <w:qFormat/>
    <w:uiPriority w:val="99"/>
    <w:pPr>
      <w:ind w:firstLine="420" w:firstLineChars="200"/>
    </w:pPr>
  </w:style>
  <w:style w:type="paragraph" w:styleId="10">
    <w:name w:val="index 7"/>
    <w:basedOn w:val="1"/>
    <w:next w:val="1"/>
    <w:qFormat/>
    <w:uiPriority w:val="0"/>
    <w:pPr>
      <w:ind w:left="2520"/>
    </w:pPr>
    <w:rPr>
      <w:rFonts w:ascii="Calibri" w:hAnsi="Calibri" w:eastAsia="宋体" w:cs="Times New Roman"/>
      <w:szCs w:val="24"/>
    </w:rPr>
  </w:style>
  <w:style w:type="paragraph" w:styleId="11">
    <w:name w:val="Normal (Web)"/>
    <w:basedOn w:val="1"/>
    <w:qFormat/>
    <w:uiPriority w:val="0"/>
    <w:pPr>
      <w:widowControl/>
      <w:spacing w:before="100" w:beforeAutospacing="1" w:after="100" w:afterAutospacing="1"/>
      <w:jc w:val="left"/>
    </w:pPr>
    <w:rPr>
      <w:rFonts w:ascii="宋体" w:cs="宋体"/>
      <w:kern w:val="0"/>
      <w:sz w:val="24"/>
      <w:lang w:bidi="ar-SA"/>
    </w:rPr>
  </w:style>
  <w:style w:type="character" w:customStyle="1" w:styleId="14">
    <w:name w:val="页眉 Char"/>
    <w:basedOn w:val="13"/>
    <w:link w:val="7"/>
    <w:qFormat/>
    <w:uiPriority w:val="99"/>
    <w:rPr>
      <w:sz w:val="18"/>
      <w:szCs w:val="18"/>
    </w:rPr>
  </w:style>
  <w:style w:type="character" w:customStyle="1" w:styleId="15">
    <w:name w:val="页脚 Char"/>
    <w:basedOn w:val="13"/>
    <w:link w:val="6"/>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5"/>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4967</Words>
  <Characters>5582</Characters>
  <Lines>69</Lines>
  <Paragraphs>19</Paragraphs>
  <TotalTime>0</TotalTime>
  <ScaleCrop>false</ScaleCrop>
  <LinksUpToDate>false</LinksUpToDate>
  <CharactersWithSpaces>5610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靁靁</cp:lastModifiedBy>
  <cp:lastPrinted>2024-08-08T18:20:00Z</cp:lastPrinted>
  <dcterms:modified xsi:type="dcterms:W3CDTF">2025-09-24T07:28:12Z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eyJoZGlkIjoiODhjNjk1MTBkYzEwYTA5NjFjYTBlYWI5ZDI5MWVjYmEiLCJ1c2VySWQiOiIzNzI2NjY5NjgifQ==</vt:lpwstr>
  </property>
</Properties>
</file>