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0AEE3">
      <w:pPr>
        <w:pStyle w:val="12"/>
        <w:jc w:val="both"/>
        <w:rPr>
          <w:rFonts w:ascii="Times New Roman" w:hAnsi="Times New Roman" w:cs="Times New Roman"/>
          <w:sz w:val="56"/>
          <w:szCs w:val="56"/>
        </w:rPr>
      </w:pPr>
    </w:p>
    <w:p w14:paraId="1429D3ED">
      <w:pPr>
        <w:pStyle w:val="12"/>
        <w:jc w:val="center"/>
        <w:rPr>
          <w:rFonts w:ascii="Times New Roman" w:hAnsi="Times New Roman" w:cs="Times New Roman"/>
          <w:sz w:val="84"/>
          <w:szCs w:val="84"/>
        </w:rPr>
      </w:pPr>
    </w:p>
    <w:p w14:paraId="333A776D">
      <w:pPr>
        <w:pStyle w:val="12"/>
        <w:jc w:val="center"/>
        <w:rPr>
          <w:rFonts w:ascii="Times New Roman" w:hAnsi="Times New Roman" w:cs="Times New Roman"/>
          <w:sz w:val="84"/>
          <w:szCs w:val="84"/>
        </w:rPr>
      </w:pPr>
    </w:p>
    <w:p w14:paraId="4FB062DB">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2BCBE5C">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怀化市宏宇小学</w:t>
      </w:r>
      <w:r>
        <w:rPr>
          <w:rFonts w:ascii="Times New Roman" w:hAnsi="Times New Roman" w:eastAsia="方正小标宋简体" w:cs="Times New Roman"/>
          <w:sz w:val="72"/>
          <w:szCs w:val="72"/>
        </w:rPr>
        <w:t>部门决算</w:t>
      </w:r>
    </w:p>
    <w:p w14:paraId="4E029F64">
      <w:pPr>
        <w:pStyle w:val="12"/>
        <w:jc w:val="center"/>
        <w:rPr>
          <w:rFonts w:ascii="Times New Roman" w:hAnsi="Times New Roman" w:eastAsia="方正小标宋_GBK" w:cs="Times New Roman"/>
          <w:sz w:val="56"/>
          <w:szCs w:val="56"/>
        </w:rPr>
      </w:pPr>
    </w:p>
    <w:p w14:paraId="3C1CBAED">
      <w:pPr>
        <w:pStyle w:val="12"/>
        <w:jc w:val="center"/>
        <w:rPr>
          <w:rFonts w:ascii="Times New Roman" w:hAnsi="Times New Roman" w:cs="Times New Roman"/>
          <w:sz w:val="56"/>
          <w:szCs w:val="56"/>
        </w:rPr>
      </w:pPr>
    </w:p>
    <w:p w14:paraId="7F6C341A">
      <w:pPr>
        <w:pStyle w:val="12"/>
        <w:rPr>
          <w:rFonts w:ascii="Times New Roman" w:hAnsi="Times New Roman" w:cs="Times New Roman"/>
          <w:sz w:val="56"/>
          <w:szCs w:val="56"/>
        </w:rPr>
      </w:pPr>
    </w:p>
    <w:p w14:paraId="772EA236">
      <w:pPr>
        <w:pStyle w:val="12"/>
        <w:jc w:val="center"/>
        <w:rPr>
          <w:rFonts w:ascii="Times New Roman" w:hAnsi="Times New Roman" w:cs="Times New Roman"/>
          <w:sz w:val="32"/>
          <w:szCs w:val="32"/>
        </w:rPr>
      </w:pPr>
    </w:p>
    <w:p w14:paraId="0B239936">
      <w:pPr>
        <w:pStyle w:val="12"/>
        <w:jc w:val="center"/>
        <w:rPr>
          <w:rFonts w:ascii="Times New Roman" w:hAnsi="Times New Roman" w:cs="Times New Roman"/>
          <w:sz w:val="32"/>
          <w:szCs w:val="32"/>
        </w:rPr>
      </w:pPr>
    </w:p>
    <w:p w14:paraId="61603DF1">
      <w:pPr>
        <w:pStyle w:val="12"/>
        <w:jc w:val="center"/>
        <w:rPr>
          <w:rFonts w:ascii="Times New Roman" w:hAnsi="Times New Roman" w:cs="Times New Roman"/>
          <w:sz w:val="32"/>
          <w:szCs w:val="32"/>
        </w:rPr>
      </w:pPr>
    </w:p>
    <w:p w14:paraId="6B1794A2">
      <w:pPr>
        <w:pStyle w:val="12"/>
        <w:jc w:val="center"/>
        <w:rPr>
          <w:rFonts w:ascii="Times New Roman" w:hAnsi="Times New Roman" w:cs="Times New Roman"/>
          <w:sz w:val="32"/>
          <w:szCs w:val="32"/>
        </w:rPr>
      </w:pPr>
    </w:p>
    <w:p w14:paraId="16CE0041">
      <w:pPr>
        <w:pStyle w:val="12"/>
        <w:jc w:val="center"/>
        <w:rPr>
          <w:rFonts w:ascii="Times New Roman" w:hAnsi="Times New Roman" w:cs="Times New Roman"/>
          <w:sz w:val="32"/>
          <w:szCs w:val="32"/>
        </w:rPr>
      </w:pPr>
    </w:p>
    <w:p w14:paraId="18D06A54">
      <w:pPr>
        <w:pStyle w:val="12"/>
        <w:jc w:val="center"/>
        <w:rPr>
          <w:rFonts w:ascii="Times New Roman" w:hAnsi="Times New Roman" w:cs="Times New Roman"/>
          <w:sz w:val="32"/>
          <w:szCs w:val="32"/>
        </w:rPr>
      </w:pPr>
    </w:p>
    <w:p w14:paraId="0697F42E">
      <w:pPr>
        <w:pStyle w:val="12"/>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36FB60ED">
      <w:pPr>
        <w:pStyle w:val="12"/>
        <w:spacing w:line="600" w:lineRule="exact"/>
        <w:jc w:val="both"/>
        <w:rPr>
          <w:rFonts w:ascii="Times New Roman" w:hAnsi="Times New Roman" w:cs="Times New Roman"/>
          <w:b/>
          <w:sz w:val="36"/>
          <w:szCs w:val="28"/>
        </w:rPr>
      </w:pPr>
    </w:p>
    <w:p w14:paraId="2C99E1FA">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4826951">
      <w:pPr>
        <w:pStyle w:val="12"/>
        <w:spacing w:line="600" w:lineRule="exact"/>
        <w:jc w:val="center"/>
        <w:rPr>
          <w:rFonts w:ascii="Times New Roman" w:hAnsi="Times New Roman" w:cs="Times New Roman"/>
          <w:b/>
          <w:sz w:val="36"/>
          <w:szCs w:val="28"/>
        </w:rPr>
      </w:pPr>
    </w:p>
    <w:p w14:paraId="549B6589">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怀化市宏宇小学</w:t>
      </w:r>
      <w:r>
        <w:rPr>
          <w:rFonts w:ascii="Times New Roman" w:hAnsi="Times New Roman" w:cs="Times New Roman"/>
          <w:bCs/>
          <w:sz w:val="32"/>
          <w:szCs w:val="32"/>
        </w:rPr>
        <w:t>概况</w:t>
      </w:r>
    </w:p>
    <w:p w14:paraId="2F40AEB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F20DA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58E4D0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0859AB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FCB6E1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880DCA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E9BE91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EFADDB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43A819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5008FF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709BC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A32569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9EF9DA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519B03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8953B82">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3E462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7BDD1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94727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ABDECE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01064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6EC530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1CC34B6">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ascii="Times New Roman" w:hAnsi="Times New Roman" w:eastAsia="仿宋_GB2312" w:cs="Times New Roman"/>
          <w:color w:val="000000"/>
          <w:kern w:val="0"/>
          <w:sz w:val="32"/>
          <w:szCs w:val="32"/>
        </w:rPr>
        <w:t>八、政府性基金预算收入支出决算情况</w:t>
      </w:r>
      <w:r>
        <w:rPr>
          <w:rFonts w:hint="eastAsia" w:ascii="Times New Roman" w:hAnsi="Times New Roman" w:eastAsia="仿宋_GB2312" w:cs="Times New Roman"/>
          <w:color w:val="000000"/>
          <w:kern w:val="0"/>
          <w:sz w:val="32"/>
          <w:szCs w:val="32"/>
          <w:lang w:val="en-US" w:eastAsia="zh-CN"/>
        </w:rPr>
        <w:t>说明</w:t>
      </w:r>
    </w:p>
    <w:p w14:paraId="7E5623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bidi="ar-SA"/>
        </w:rPr>
        <w:t>国有资本经营预算收入支出决算情况说明</w:t>
      </w:r>
    </w:p>
    <w:p w14:paraId="34A359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7CFC57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87586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6EFB37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41FBB3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368095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3EF8EC6">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C58325F">
      <w:pPr>
        <w:pStyle w:val="12"/>
        <w:spacing w:line="600" w:lineRule="exact"/>
        <w:rPr>
          <w:rFonts w:ascii="Times New Roman" w:hAnsi="Times New Roman" w:cs="Times New Roman"/>
          <w:bCs/>
          <w:sz w:val="28"/>
          <w:szCs w:val="28"/>
        </w:rPr>
      </w:pPr>
    </w:p>
    <w:p w14:paraId="0E9999FC">
      <w:pPr>
        <w:jc w:val="center"/>
        <w:rPr>
          <w:rFonts w:ascii="Times New Roman" w:hAnsi="Times New Roman" w:cs="Times New Roman"/>
          <w:sz w:val="72"/>
          <w:szCs w:val="72"/>
        </w:rPr>
      </w:pPr>
    </w:p>
    <w:p w14:paraId="6BCB4E67">
      <w:pPr>
        <w:jc w:val="center"/>
        <w:rPr>
          <w:rFonts w:ascii="Times New Roman" w:hAnsi="Times New Roman" w:cs="Times New Roman"/>
          <w:sz w:val="72"/>
          <w:szCs w:val="72"/>
        </w:rPr>
      </w:pPr>
    </w:p>
    <w:p w14:paraId="71C70AA3">
      <w:pPr>
        <w:jc w:val="center"/>
        <w:rPr>
          <w:rFonts w:ascii="Times New Roman" w:hAnsi="Times New Roman" w:cs="Times New Roman"/>
          <w:sz w:val="72"/>
          <w:szCs w:val="72"/>
        </w:rPr>
      </w:pPr>
    </w:p>
    <w:p w14:paraId="05CF9970">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918B7F1">
      <w:pPr>
        <w:rPr>
          <w:rFonts w:ascii="Times New Roman" w:hAnsi="Times New Roman" w:eastAsia="方正小标宋_GBK" w:cs="Times New Roman"/>
          <w:sz w:val="72"/>
          <w:szCs w:val="72"/>
        </w:rPr>
      </w:pPr>
    </w:p>
    <w:p w14:paraId="6BE7FA4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03E076E">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怀化市宏宇小学</w:t>
      </w:r>
      <w:r>
        <w:rPr>
          <w:rFonts w:ascii="Times New Roman" w:hAnsi="Times New Roman" w:eastAsia="方正小标宋_GBK" w:cs="Times New Roman"/>
          <w:sz w:val="52"/>
          <w:szCs w:val="52"/>
        </w:rPr>
        <w:t>概况</w:t>
      </w:r>
    </w:p>
    <w:p w14:paraId="6C227905">
      <w:pPr>
        <w:pStyle w:val="3"/>
        <w:ind w:left="0" w:leftChars="0" w:firstLine="0" w:firstLineChars="0"/>
        <w:rPr>
          <w:rFonts w:ascii="Times New Roman" w:hAnsi="Times New Roman" w:cs="Times New Roman"/>
        </w:rPr>
      </w:pPr>
    </w:p>
    <w:p w14:paraId="3B37A2F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8D7CD67">
      <w:pPr>
        <w:spacing w:line="60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仿宋_GB2312"/>
          <w:sz w:val="32"/>
          <w:szCs w:val="32"/>
        </w:rPr>
        <w:t>怀化市宏宇小学是一所公办的全日制小学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学制六年</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属怀化市教育局直管</w:t>
      </w:r>
      <w:r>
        <w:rPr>
          <w:rFonts w:hint="eastAsia" w:ascii="Times New Roman" w:hAnsi="Times New Roman" w:eastAsia="仿宋_GB2312" w:cs="仿宋_GB2312"/>
          <w:sz w:val="32"/>
          <w:szCs w:val="32"/>
          <w:lang w:eastAsia="zh-CN"/>
        </w:rPr>
        <w:t>。</w:t>
      </w:r>
    </w:p>
    <w:p w14:paraId="4766AD09">
      <w:pPr>
        <w:spacing w:line="600" w:lineRule="exact"/>
        <w:ind w:firstLine="640" w:firstLineChars="200"/>
        <w:jc w:val="left"/>
      </w:pPr>
      <w:r>
        <w:rPr>
          <w:rFonts w:ascii="Times New Roman" w:hAnsi="Times New Roman" w:eastAsia="仿宋_GB2312" w:cs="Times New Roman"/>
          <w:sz w:val="32"/>
          <w:szCs w:val="32"/>
        </w:rPr>
        <w:t>（一）</w:t>
      </w:r>
      <w:r>
        <w:rPr>
          <w:rFonts w:hint="eastAsia" w:ascii="Times New Roman" w:hAnsi="Times New Roman" w:eastAsia="仿宋_GB2312" w:cs="仿宋_GB2312"/>
          <w:sz w:val="32"/>
          <w:szCs w:val="32"/>
        </w:rPr>
        <w:t>根据党的方针、政策和教育章程，全面实施小学义务教育，促进基础教育发展，保障辖区内适龄儿童入学及相关社会服务。培养德、智、体、美等方面全面发展的社会主义事业的建设者和接班人</w:t>
      </w:r>
      <w:r>
        <w:rPr>
          <w:rFonts w:hint="eastAsia" w:ascii="Times New Roman" w:hAnsi="Times New Roman" w:eastAsia="仿宋_GB2312" w:cs="仿宋_GB2312"/>
          <w:sz w:val="32"/>
          <w:szCs w:val="32"/>
          <w:lang w:eastAsia="zh-CN"/>
        </w:rPr>
        <w:t>。</w:t>
      </w:r>
    </w:p>
    <w:p w14:paraId="5BB77A51">
      <w:p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仿宋_GB2312"/>
          <w:sz w:val="32"/>
          <w:szCs w:val="32"/>
        </w:rPr>
        <w:t>根据教育规律、社会要求和学校实际，组织制定学校发展的远景规划、近期目标、学年和学期各项工作计划以及各项工作指标并组织实施</w:t>
      </w:r>
      <w:r>
        <w:rPr>
          <w:rFonts w:hint="eastAsia" w:ascii="Times New Roman" w:hAnsi="Times New Roman" w:eastAsia="仿宋_GB2312" w:cs="仿宋_GB2312"/>
          <w:sz w:val="32"/>
          <w:szCs w:val="32"/>
          <w:lang w:eastAsia="zh-CN"/>
        </w:rPr>
        <w:t>。</w:t>
      </w:r>
    </w:p>
    <w:p w14:paraId="0EBDF97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7D8B4AA">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sz w:val="32"/>
          <w:szCs w:val="32"/>
          <w:lang w:val="en-US" w:eastAsia="zh-CN"/>
        </w:rPr>
        <w:t>怀化市宏宇小学作为一级部门预算单位，机构设置情况如下：校长室、书记室、副校长室、党办、办公室、工会、纪检办、教务室、教科室、德育室、督导室、后勤总务室、校安办、财务室等。</w:t>
      </w:r>
    </w:p>
    <w:p w14:paraId="244CA479">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怀化市宏宇小学</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怀化市宏宇小学</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4AF404D7">
      <w:pPr>
        <w:jc w:val="left"/>
        <w:rPr>
          <w:rFonts w:ascii="Times New Roman" w:hAnsi="Times New Roman" w:eastAsia="仿宋_GB2312" w:cs="Times New Roman"/>
          <w:sz w:val="28"/>
          <w:szCs w:val="32"/>
        </w:rPr>
      </w:pPr>
    </w:p>
    <w:p w14:paraId="7788B078">
      <w:pPr>
        <w:jc w:val="center"/>
        <w:rPr>
          <w:rFonts w:ascii="Times New Roman" w:hAnsi="Times New Roman" w:eastAsia="黑体" w:cs="Times New Roman"/>
          <w:sz w:val="28"/>
          <w:szCs w:val="28"/>
        </w:rPr>
      </w:pPr>
    </w:p>
    <w:p w14:paraId="6174D328">
      <w:pPr>
        <w:jc w:val="center"/>
        <w:rPr>
          <w:rFonts w:ascii="Times New Roman" w:hAnsi="Times New Roman" w:eastAsia="黑体" w:cs="Times New Roman"/>
          <w:sz w:val="28"/>
          <w:szCs w:val="28"/>
        </w:rPr>
      </w:pPr>
    </w:p>
    <w:p w14:paraId="0402BDC2">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第二部分  </w:t>
      </w:r>
    </w:p>
    <w:p w14:paraId="577DB843">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0522B23E">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01142C7A">
      <w:pPr>
        <w:pStyle w:val="12"/>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见附件</w:t>
      </w:r>
      <w:r>
        <w:rPr>
          <w:rFonts w:hint="eastAsia" w:ascii="Times New Roman" w:hAnsi="Times New Roman" w:eastAsia="方正小标宋_GBK" w:cs="Times New Roman"/>
          <w:sz w:val="52"/>
          <w:szCs w:val="52"/>
          <w:lang w:eastAsia="zh-CN"/>
        </w:rPr>
        <w:t>）</w:t>
      </w:r>
    </w:p>
    <w:p w14:paraId="50E1C81F">
      <w:pPr>
        <w:jc w:val="center"/>
        <w:rPr>
          <w:rFonts w:ascii="Times New Roman" w:hAnsi="Times New Roman" w:eastAsia="黑体" w:cs="Times New Roman"/>
          <w:sz w:val="28"/>
          <w:szCs w:val="28"/>
        </w:rPr>
      </w:pPr>
    </w:p>
    <w:p w14:paraId="2A2598A8">
      <w:pPr>
        <w:jc w:val="center"/>
        <w:rPr>
          <w:rFonts w:ascii="Times New Roman" w:hAnsi="Times New Roman" w:eastAsia="黑体" w:cs="Times New Roman"/>
          <w:sz w:val="28"/>
          <w:szCs w:val="28"/>
        </w:rPr>
      </w:pPr>
    </w:p>
    <w:p w14:paraId="0C755724">
      <w:pPr>
        <w:jc w:val="center"/>
        <w:rPr>
          <w:rFonts w:ascii="Times New Roman" w:hAnsi="Times New Roman" w:eastAsia="黑体" w:cs="Times New Roman"/>
          <w:sz w:val="28"/>
          <w:szCs w:val="28"/>
        </w:rPr>
      </w:pPr>
    </w:p>
    <w:p w14:paraId="4BDCF578">
      <w:pPr>
        <w:pStyle w:val="2"/>
        <w:rPr>
          <w:rFonts w:ascii="Times New Roman" w:hAnsi="Times New Roman" w:cs="Times New Roman"/>
        </w:rPr>
        <w:sectPr>
          <w:footerReference r:id="rId5" w:type="default"/>
          <w:pgSz w:w="11906" w:h="16838"/>
          <w:pgMar w:top="1417" w:right="1588" w:bottom="1417" w:left="1588" w:header="851" w:footer="992" w:gutter="0"/>
          <w:pgNumType w:fmt="decimal" w:start="1"/>
          <w:cols w:space="425" w:num="1"/>
          <w:docGrid w:type="lines" w:linePitch="312" w:charSpace="0"/>
        </w:sectPr>
      </w:pPr>
    </w:p>
    <w:p w14:paraId="2C9FBC6E">
      <w:pPr>
        <w:pStyle w:val="12"/>
        <w:rPr>
          <w:rFonts w:ascii="Times New Roman" w:hAnsi="Times New Roman" w:cs="Times New Roman"/>
          <w:sz w:val="72"/>
          <w:szCs w:val="72"/>
        </w:rPr>
      </w:pPr>
    </w:p>
    <w:p w14:paraId="61DEA84F">
      <w:pPr>
        <w:pStyle w:val="12"/>
        <w:rPr>
          <w:rFonts w:ascii="Times New Roman" w:hAnsi="Times New Roman" w:cs="Times New Roman"/>
          <w:sz w:val="72"/>
          <w:szCs w:val="72"/>
        </w:rPr>
      </w:pPr>
    </w:p>
    <w:p w14:paraId="02628CD5">
      <w:pPr>
        <w:pStyle w:val="12"/>
        <w:rPr>
          <w:rFonts w:ascii="Times New Roman" w:hAnsi="Times New Roman" w:cs="Times New Roman"/>
          <w:sz w:val="72"/>
          <w:szCs w:val="72"/>
        </w:rPr>
      </w:pPr>
    </w:p>
    <w:p w14:paraId="272CA6CA">
      <w:pPr>
        <w:pStyle w:val="12"/>
        <w:jc w:val="center"/>
        <w:rPr>
          <w:rFonts w:ascii="Times New Roman" w:hAnsi="Times New Roman" w:cs="Times New Roman"/>
          <w:sz w:val="72"/>
          <w:szCs w:val="72"/>
        </w:rPr>
      </w:pPr>
    </w:p>
    <w:p w14:paraId="3E4D6CC5">
      <w:pPr>
        <w:pStyle w:val="12"/>
        <w:jc w:val="center"/>
        <w:rPr>
          <w:rFonts w:ascii="Times New Roman" w:hAnsi="Times New Roman" w:eastAsia="方正小标宋_GBK" w:cs="Times New Roman"/>
          <w:sz w:val="72"/>
          <w:szCs w:val="72"/>
        </w:rPr>
      </w:pPr>
    </w:p>
    <w:p w14:paraId="16F18C5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84D04F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51A740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95D277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93F7E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4247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19.86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参加课后服务学生人数增加，相关收支有所增长</w:t>
      </w:r>
      <w:r>
        <w:rPr>
          <w:rFonts w:hint="eastAsia" w:ascii="Times New Roman" w:hAnsi="Times New Roman" w:eastAsia="仿宋_GB2312" w:cs="Times New Roman"/>
          <w:sz w:val="32"/>
          <w:szCs w:val="32"/>
          <w:lang w:eastAsia="zh-CN"/>
        </w:rPr>
        <w:t>。</w:t>
      </w:r>
    </w:p>
    <w:p w14:paraId="5A9ED0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教育教学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校园安全保障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教师队伍建设</w:t>
      </w:r>
      <w:r>
        <w:rPr>
          <w:rFonts w:hint="eastAsia" w:ascii="Times New Roman" w:hAnsi="Times New Roman" w:eastAsia="仿宋_GB2312" w:cs="Times New Roman"/>
          <w:sz w:val="32"/>
          <w:szCs w:val="32"/>
          <w:lang w:eastAsia="zh-CN"/>
        </w:rPr>
        <w:t>等重点支出，体现在有关支出科目中。</w:t>
      </w:r>
    </w:p>
    <w:p w14:paraId="1293582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402E8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4247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3709.04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87.33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537.96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12.67</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519929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66E23A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4247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3297.95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77.65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949.06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22.35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D4BDDA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E0871FC">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3709.04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48.6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响应</w:t>
      </w:r>
      <w:r>
        <w:rPr>
          <w:rFonts w:hint="eastAsia" w:ascii="Times New Roman" w:hAnsi="Times New Roman" w:eastAsia="仿宋_GB2312" w:cs="Times New Roman"/>
          <w:sz w:val="32"/>
          <w:szCs w:val="32"/>
          <w:lang w:eastAsia="zh-CN"/>
        </w:rPr>
        <w:t>党政机关过紧日子</w:t>
      </w:r>
      <w:r>
        <w:rPr>
          <w:rFonts w:hint="eastAsia" w:ascii="Times New Roman" w:hAnsi="Times New Roman" w:eastAsia="仿宋_GB2312" w:cs="Times New Roman"/>
          <w:sz w:val="32"/>
          <w:szCs w:val="32"/>
          <w:lang w:val="en-US" w:eastAsia="zh-CN"/>
        </w:rPr>
        <w:t>号召，</w:t>
      </w:r>
      <w:r>
        <w:rPr>
          <w:rFonts w:hint="eastAsia" w:ascii="Times New Roman" w:hAnsi="Times New Roman" w:eastAsia="仿宋_GB2312" w:cs="Times New Roman"/>
          <w:sz w:val="32"/>
          <w:szCs w:val="32"/>
          <w:lang w:eastAsia="zh-CN"/>
        </w:rPr>
        <w:t>严控一般性支出。</w:t>
      </w:r>
    </w:p>
    <w:p w14:paraId="5D61CB7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A2381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614670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3709.04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87.33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响应</w:t>
      </w:r>
      <w:r>
        <w:rPr>
          <w:rFonts w:hint="eastAsia" w:ascii="Times New Roman" w:hAnsi="Times New Roman" w:eastAsia="仿宋_GB2312" w:cs="Times New Roman"/>
          <w:sz w:val="32"/>
          <w:szCs w:val="32"/>
          <w:lang w:eastAsia="zh-CN"/>
        </w:rPr>
        <w:t>党政机关过紧日子</w:t>
      </w:r>
      <w:r>
        <w:rPr>
          <w:rFonts w:hint="eastAsia" w:ascii="Times New Roman" w:hAnsi="Times New Roman" w:eastAsia="仿宋_GB2312" w:cs="Times New Roman"/>
          <w:sz w:val="32"/>
          <w:szCs w:val="32"/>
          <w:lang w:val="en-US" w:eastAsia="zh-CN"/>
        </w:rPr>
        <w:t>号召，</w:t>
      </w:r>
      <w:r>
        <w:rPr>
          <w:rFonts w:hint="eastAsia" w:ascii="Times New Roman" w:hAnsi="Times New Roman" w:eastAsia="仿宋_GB2312" w:cs="Times New Roman"/>
          <w:sz w:val="32"/>
          <w:szCs w:val="32"/>
          <w:lang w:eastAsia="zh-CN"/>
        </w:rPr>
        <w:t>严控一般性支出。</w:t>
      </w:r>
    </w:p>
    <w:p w14:paraId="29B7555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1F50CC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3709.04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313.93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2744.95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286.11万元，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7.71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113.72万元，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250.34万元，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6.75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AF4659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CF2010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2843.79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3709.04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130.43</w:t>
      </w:r>
      <w:r>
        <w:rPr>
          <w:rFonts w:ascii="Times New Roman" w:hAnsi="Times New Roman" w:eastAsia="仿宋_GB2312" w:cs="Times New Roman"/>
          <w:sz w:val="32"/>
          <w:szCs w:val="32"/>
        </w:rPr>
        <w:t>%，其中：</w:t>
      </w:r>
    </w:p>
    <w:p w14:paraId="6DC6C35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w:t>
      </w:r>
      <w:r>
        <w:rPr>
          <w:rFonts w:ascii="Times New Roman" w:hAnsi="Times New Roman" w:eastAsia="仿宋_GB2312" w:cs="Times New Roman"/>
          <w:sz w:val="32"/>
          <w:szCs w:val="32"/>
        </w:rPr>
        <w:t>（项）。</w:t>
      </w:r>
    </w:p>
    <w:p w14:paraId="1A3EFC7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313.93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sz w:val="32"/>
          <w:szCs w:val="32"/>
          <w:lang w:val="en-US" w:eastAsia="zh-CN"/>
        </w:rPr>
        <w:t>初预算未包括2025年</w:t>
      </w:r>
      <w:r>
        <w:rPr>
          <w:rFonts w:hint="eastAsia" w:ascii="Times New Roman" w:hAnsi="Times New Roman" w:eastAsia="仿宋_GB2312" w:cs="Times New Roman"/>
          <w:sz w:val="32"/>
          <w:szCs w:val="32"/>
          <w:lang w:val="en-US" w:eastAsia="zh-CN"/>
        </w:rPr>
        <w:t>年终绩效奖。</w:t>
      </w:r>
    </w:p>
    <w:p w14:paraId="526CDB5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小学教育</w:t>
      </w:r>
      <w:r>
        <w:rPr>
          <w:rFonts w:ascii="Times New Roman" w:hAnsi="Times New Roman" w:eastAsia="仿宋_GB2312" w:cs="Times New Roman"/>
          <w:sz w:val="32"/>
          <w:szCs w:val="32"/>
        </w:rPr>
        <w:t>（项）。</w:t>
      </w:r>
    </w:p>
    <w:p w14:paraId="4DA7225F">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2222.79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2731.98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122.91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sz w:val="32"/>
          <w:szCs w:val="32"/>
          <w:lang w:val="en-US" w:eastAsia="zh-CN"/>
        </w:rPr>
        <w:t>初预算未包括城乡义务教育保障机制补助资金。</w:t>
      </w:r>
    </w:p>
    <w:p w14:paraId="188E4C5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其他普通教育</w:t>
      </w:r>
      <w:r>
        <w:rPr>
          <w:rFonts w:ascii="Times New Roman" w:hAnsi="Times New Roman" w:eastAsia="仿宋_GB2312" w:cs="Times New Roman"/>
          <w:sz w:val="32"/>
          <w:szCs w:val="32"/>
        </w:rPr>
        <w:t>（项）。</w:t>
      </w:r>
    </w:p>
    <w:p w14:paraId="2120E9F7">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sz w:val="32"/>
          <w:szCs w:val="32"/>
          <w:lang w:val="en-US" w:eastAsia="zh-CN"/>
        </w:rPr>
        <w:t>初预算未包括国培计划经费。</w:t>
      </w:r>
    </w:p>
    <w:p w14:paraId="2DA50CE1">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4、教育支出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其他教育支出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其他教育支出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55CE96DA">
      <w:pPr>
        <w:pStyle w:val="12"/>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sz w:val="32"/>
          <w:szCs w:val="32"/>
          <w:lang w:val="en-US" w:eastAsia="zh-CN"/>
        </w:rPr>
        <w:t>初预算未包括监控系统升级改造经费。</w:t>
      </w:r>
    </w:p>
    <w:p w14:paraId="468C4AAD">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5、社会保障和就业支出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6CEFA11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276.84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286.11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103.35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年度工资调标养老保险基数上涨。</w:t>
      </w:r>
    </w:p>
    <w:p w14:paraId="37A43B5F">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6、卫生健康支出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行政单位医疗</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216A5E2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4.63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医疗保险费用年初预算口径为事业单位医疗。</w:t>
      </w:r>
    </w:p>
    <w:p w14:paraId="65641691">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7、卫生健康支出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3DD5F80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109.09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109.09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w:t>
      </w:r>
    </w:p>
    <w:p w14:paraId="27FC11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lang w:val="en-US" w:eastAsia="zh-CN"/>
        </w:rPr>
        <w:t>8、住房保障支出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住房公积金</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0B411026">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230.07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108.81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年度工资调标住房公积金基数上涨。</w:t>
      </w:r>
    </w:p>
    <w:p w14:paraId="1D8960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教育支出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小学教育</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2731.98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73.66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教职工工资发放</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学校日常运转、教师外出培训</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E362BD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38073F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3297.95</w:t>
      </w:r>
      <w:r>
        <w:rPr>
          <w:rFonts w:ascii="Times New Roman" w:hAnsi="Times New Roman" w:eastAsia="仿宋_GB2312" w:cs="Times New Roman"/>
          <w:sz w:val="32"/>
          <w:szCs w:val="32"/>
        </w:rPr>
        <w:t>万元，其中：</w:t>
      </w:r>
    </w:p>
    <w:p w14:paraId="7A11B96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3243.68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98.35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val="en-US" w:eastAsia="zh-CN"/>
        </w:rPr>
        <w:t>绩效工资、机关事业单位基本养老保险缴费、职工基本医疗缴费、其他社会保障缴费、住房公积金、其他工资福利支出、抚恤金、生活补助、其他对个人和家庭的补助</w:t>
      </w:r>
      <w:r>
        <w:rPr>
          <w:rFonts w:ascii="Times New Roman" w:hAnsi="Times New Roman" w:eastAsia="仿宋_GB2312" w:cs="Times New Roman"/>
          <w:sz w:val="32"/>
          <w:szCs w:val="32"/>
        </w:rPr>
        <w:t>。</w:t>
      </w:r>
    </w:p>
    <w:p w14:paraId="68B7E580">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54.27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1.65</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委托业务费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其他商品和服务支出</w:t>
      </w:r>
      <w:r>
        <w:rPr>
          <w:rFonts w:ascii="Times New Roman" w:hAnsi="Times New Roman" w:eastAsia="仿宋_GB2312" w:cs="Times New Roman"/>
          <w:sz w:val="32"/>
          <w:szCs w:val="32"/>
        </w:rPr>
        <w:t>。</w:t>
      </w:r>
    </w:p>
    <w:p w14:paraId="07C45234">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FB59B2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FCF4451">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val="en-US" w:eastAsia="zh-CN"/>
        </w:rPr>
        <w:t>厉行节约，严控“三公”开支</w:t>
      </w:r>
      <w:r>
        <w:rPr>
          <w:rFonts w:ascii="Times New Roman" w:hAnsi="Times New Roman" w:eastAsia="仿宋_GB2312" w:cs="Times New Roman"/>
          <w:sz w:val="32"/>
          <w:szCs w:val="32"/>
        </w:rPr>
        <w:t>。</w:t>
      </w:r>
    </w:p>
    <w:p w14:paraId="2A3301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5097FF">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eastAsia="zh-CN"/>
        </w:rPr>
        <w:t>本年度未安排因公出国（境）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C6930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。其中：</w:t>
      </w:r>
    </w:p>
    <w:p w14:paraId="72F6256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val="en-US" w:eastAsia="zh-CN"/>
        </w:rPr>
        <w:t>本单位无公务用车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怀化市宏宇小学</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10DCFCAD">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val="en-US" w:eastAsia="zh-CN"/>
        </w:rPr>
        <w:t>本单位无公务用车</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7E2DC0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无变化</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主要原因是</w:t>
      </w:r>
      <w:r>
        <w:rPr>
          <w:rFonts w:hint="eastAsia" w:ascii="Times New Roman" w:hAnsi="Times New Roman" w:eastAsia="仿宋_GB2312"/>
          <w:sz w:val="32"/>
          <w:szCs w:val="32"/>
          <w:lang w:val="en-US" w:eastAsia="zh-CN"/>
        </w:rPr>
        <w:t>本年度未安排公务接待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052C1F0">
      <w:pPr>
        <w:pStyle w:val="12"/>
        <w:overflowPunct w:val="0"/>
        <w:autoSpaceDE/>
        <w:autoSpaceDN/>
        <w:spacing w:line="600" w:lineRule="exact"/>
        <w:ind w:firstLine="640" w:firstLineChars="200"/>
        <w:jc w:val="both"/>
        <w:rPr>
          <w:rFonts w:hint="eastAsia" w:ascii="Times New Roman" w:hAnsi="Times New Roman" w:eastAsia="黑体" w:cs="Times New Roman"/>
          <w:bCs/>
          <w:sz w:val="32"/>
          <w:szCs w:val="32"/>
          <w:lang w:val="en-US" w:eastAsia="zh-CN"/>
        </w:rPr>
      </w:pPr>
      <w:r>
        <w:rPr>
          <w:rFonts w:ascii="Times New Roman" w:hAnsi="Times New Roman" w:cs="Times New Roman"/>
          <w:bCs/>
          <w:sz w:val="32"/>
          <w:szCs w:val="32"/>
        </w:rPr>
        <w:t>八、政府性基金预算收入支出决算情况</w:t>
      </w:r>
      <w:r>
        <w:rPr>
          <w:rFonts w:hint="eastAsia" w:ascii="Times New Roman" w:hAnsi="Times New Roman" w:cs="Times New Roman"/>
          <w:bCs/>
          <w:sz w:val="32"/>
          <w:szCs w:val="32"/>
          <w:lang w:val="en-US" w:eastAsia="zh-CN"/>
        </w:rPr>
        <w:t>说明</w:t>
      </w:r>
    </w:p>
    <w:p w14:paraId="6B861830">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val="en-US" w:eastAsia="zh-CN"/>
        </w:rPr>
        <w:t>本单位无政府性基金收支。</w:t>
      </w:r>
    </w:p>
    <w:p w14:paraId="0C8B2810">
      <w:pPr>
        <w:pStyle w:val="12"/>
        <w:overflowPunct w:val="0"/>
        <w:autoSpaceDE/>
        <w:autoSpaceDN/>
        <w:spacing w:line="600" w:lineRule="exact"/>
        <w:ind w:firstLine="640" w:firstLineChars="200"/>
        <w:jc w:val="both"/>
        <w:rPr>
          <w:rFonts w:hint="eastAsia" w:hAnsi="黑体" w:cs="黑体"/>
          <w:b w:val="0"/>
          <w:bCs/>
          <w:sz w:val="32"/>
          <w:szCs w:val="32"/>
          <w:lang w:val="en-US" w:eastAsia="zh-CN"/>
        </w:rPr>
      </w:pPr>
      <w:r>
        <w:rPr>
          <w:rFonts w:ascii="Times New Roman" w:hAnsi="Times New Roman" w:cs="Times New Roman"/>
          <w:bCs/>
          <w:sz w:val="32"/>
          <w:szCs w:val="32"/>
        </w:rPr>
        <w:t>九、</w:t>
      </w:r>
      <w:r>
        <w:rPr>
          <w:rFonts w:hint="eastAsia" w:ascii="黑体" w:hAnsi="黑体" w:eastAsia="黑体" w:cs="黑体"/>
          <w:b w:val="0"/>
          <w:bCs/>
          <w:sz w:val="32"/>
          <w:szCs w:val="32"/>
          <w:lang w:eastAsia="zh-CN"/>
        </w:rPr>
        <w:t>国有资本经营预算</w:t>
      </w:r>
      <w:r>
        <w:rPr>
          <w:rFonts w:hint="eastAsia" w:hAnsi="黑体" w:cs="黑体"/>
          <w:b w:val="0"/>
          <w:bCs/>
          <w:sz w:val="32"/>
          <w:szCs w:val="32"/>
          <w:lang w:val="en-US" w:eastAsia="zh-CN"/>
        </w:rPr>
        <w:t>收入</w:t>
      </w:r>
      <w:r>
        <w:rPr>
          <w:rFonts w:hint="eastAsia" w:ascii="黑体" w:hAnsi="黑体" w:eastAsia="黑体" w:cs="黑体"/>
          <w:b w:val="0"/>
          <w:bCs/>
          <w:sz w:val="32"/>
          <w:szCs w:val="32"/>
          <w:lang w:eastAsia="zh-CN"/>
        </w:rPr>
        <w:t>支出决算情况</w:t>
      </w:r>
      <w:r>
        <w:rPr>
          <w:rFonts w:hint="eastAsia" w:hAnsi="黑体" w:cs="黑体"/>
          <w:b w:val="0"/>
          <w:bCs/>
          <w:sz w:val="32"/>
          <w:szCs w:val="32"/>
          <w:lang w:val="en-US" w:eastAsia="zh-CN"/>
        </w:rPr>
        <w:t>说明</w:t>
      </w:r>
    </w:p>
    <w:p w14:paraId="4701EDEE">
      <w:pPr>
        <w:pStyle w:val="12"/>
        <w:overflowPunct w:val="0"/>
        <w:autoSpaceDE/>
        <w:autoSpaceDN/>
        <w:spacing w:line="600" w:lineRule="exact"/>
        <w:ind w:firstLine="640" w:firstLineChars="200"/>
        <w:jc w:val="both"/>
        <w:rPr>
          <w:rFonts w:hint="eastAsia" w:hAnsi="黑体" w:cs="黑体"/>
          <w:b w:val="0"/>
          <w:bCs/>
          <w:sz w:val="32"/>
          <w:szCs w:val="32"/>
          <w:lang w:val="en-US" w:eastAsia="zh-CN"/>
        </w:rPr>
      </w:pPr>
      <w:r>
        <w:rPr>
          <w:rFonts w:hint="eastAsia" w:ascii="Times New Roman" w:hAnsi="Times New Roman" w:eastAsia="仿宋_GB2312" w:cs="Times New Roman"/>
          <w:sz w:val="32"/>
          <w:szCs w:val="32"/>
          <w:lang w:val="en-US" w:eastAsia="zh-CN"/>
        </w:rPr>
        <w:t>2025年度本单位无国有资本经营预算收支。</w:t>
      </w:r>
    </w:p>
    <w:p w14:paraId="7DBC52F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DF6290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本单位不属于行政单位和参照公务员法管理的事业单位，无机关运行经费支出</w:t>
      </w:r>
      <w:r>
        <w:rPr>
          <w:rFonts w:ascii="Times New Roman" w:hAnsi="Times New Roman" w:eastAsia="仿宋_GB2312" w:cs="Times New Roman"/>
          <w:sz w:val="32"/>
          <w:szCs w:val="32"/>
        </w:rPr>
        <w:t>。</w:t>
      </w:r>
    </w:p>
    <w:p w14:paraId="079CACD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1EA71969">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w:t>
      </w:r>
    </w:p>
    <w:p w14:paraId="242B71E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F391B7D">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无政府采购</w:t>
      </w:r>
      <w:r>
        <w:rPr>
          <w:rFonts w:ascii="Times New Roman" w:hAnsi="Times New Roman" w:eastAsia="仿宋_GB2312" w:cs="Times New Roman"/>
          <w:color w:val="auto"/>
          <w:sz w:val="32"/>
          <w:szCs w:val="32"/>
        </w:rPr>
        <w:t>货物</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工程</w:t>
      </w:r>
      <w:r>
        <w:rPr>
          <w:rFonts w:hint="eastAsia" w:ascii="Times New Roman" w:hAnsi="Times New Roman" w:eastAsia="仿宋_GB2312" w:cs="Times New Roman"/>
          <w:color w:val="auto"/>
          <w:sz w:val="32"/>
          <w:szCs w:val="32"/>
          <w:lang w:val="en-US" w:eastAsia="zh-CN"/>
        </w:rPr>
        <w:t>及</w:t>
      </w:r>
      <w:r>
        <w:rPr>
          <w:rFonts w:ascii="Times New Roman" w:hAnsi="Times New Roman" w:eastAsia="仿宋_GB2312" w:cs="Times New Roman"/>
          <w:color w:val="auto"/>
          <w:sz w:val="32"/>
          <w:szCs w:val="32"/>
        </w:rPr>
        <w:t>服务</w:t>
      </w:r>
      <w:r>
        <w:rPr>
          <w:rFonts w:hint="eastAsia" w:ascii="Times New Roman" w:hAnsi="Times New Roman" w:eastAsia="仿宋_GB2312" w:cs="Times New Roman"/>
          <w:color w:val="auto"/>
          <w:sz w:val="32"/>
          <w:szCs w:val="32"/>
          <w:lang w:val="en-US" w:eastAsia="zh-CN"/>
        </w:rPr>
        <w:t>支出</w:t>
      </w:r>
      <w:r>
        <w:rPr>
          <w:rFonts w:ascii="Times New Roman" w:hAnsi="Times New Roman" w:eastAsia="仿宋_GB2312" w:cs="Times New Roman"/>
          <w:color w:val="auto"/>
          <w:sz w:val="32"/>
          <w:szCs w:val="32"/>
        </w:rPr>
        <w:t>。</w:t>
      </w:r>
    </w:p>
    <w:p w14:paraId="7BBA1159">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007FAF8F">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C6D3D8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8975950">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50.88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50.88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仿宋" w:hAnsi="仿宋" w:eastAsia="仿宋" w:cs="仿宋"/>
          <w:kern w:val="0"/>
          <w:sz w:val="32"/>
          <w:szCs w:val="32"/>
          <w:lang w:val="en-US" w:eastAsia="zh-CN" w:bidi="ar"/>
        </w:rPr>
        <w:t>义务教育薄弱环节改善与能力提升</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1个</w:t>
      </w:r>
      <w:r>
        <w:rPr>
          <w:rFonts w:ascii="Times New Roman" w:hAnsi="Times New Roman" w:eastAsia="仿宋_GB2312" w:cs="Times New Roman"/>
          <w:kern w:val="0"/>
          <w:sz w:val="32"/>
          <w:szCs w:val="32"/>
        </w:rPr>
        <w:t>项目开展了部门评价，涉及一般公共预算支出</w:t>
      </w:r>
      <w:r>
        <w:rPr>
          <w:rFonts w:hint="eastAsia" w:ascii="Times New Roman" w:hAnsi="Times New Roman" w:eastAsia="仿宋_GB2312" w:cs="Times New Roman"/>
          <w:sz w:val="32"/>
          <w:szCs w:val="32"/>
          <w:lang w:val="en-US" w:eastAsia="zh-CN"/>
        </w:rPr>
        <w:t>31.98</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50.88</w:t>
      </w:r>
      <w:r>
        <w:rPr>
          <w:rFonts w:ascii="Times New Roman" w:hAnsi="Times New Roman" w:eastAsia="仿宋_GB2312" w:cs="Times New Roman"/>
          <w:kern w:val="0"/>
          <w:sz w:val="32"/>
          <w:szCs w:val="32"/>
        </w:rPr>
        <w:t>万元。</w:t>
      </w:r>
    </w:p>
    <w:p w14:paraId="51DEF488">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4295.67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98.87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99.89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仿宋" w:hAnsi="仿宋" w:eastAsia="仿宋" w:cs="仿宋"/>
          <w:sz w:val="32"/>
          <w:szCs w:val="32"/>
          <w:lang w:val="en-US" w:eastAsia="zh-CN"/>
        </w:rPr>
        <w:t>各项支出围绕教育教学质量、学生健康发展、安全管理、教师队伍建设等核心目标进行。认真遵守各项财务规章制度，严格执行各项支出审批程序</w:t>
      </w:r>
      <w:r>
        <w:rPr>
          <w:rFonts w:ascii="Times New Roman" w:hAnsi="Times New Roman" w:eastAsia="仿宋_GB2312" w:cs="Times New Roman"/>
          <w:sz w:val="32"/>
          <w:szCs w:val="32"/>
        </w:rPr>
        <w:t>；二是</w:t>
      </w:r>
      <w:r>
        <w:rPr>
          <w:rFonts w:hint="eastAsia" w:ascii="仿宋" w:hAnsi="仿宋" w:eastAsia="仿宋" w:cs="仿宋"/>
          <w:kern w:val="0"/>
          <w:sz w:val="32"/>
          <w:szCs w:val="32"/>
          <w:lang w:val="en-US" w:eastAsia="zh-CN" w:bidi="ar"/>
        </w:rPr>
        <w:t>注重学生全面发展，</w:t>
      </w:r>
      <w:r>
        <w:rPr>
          <w:rFonts w:hint="eastAsia" w:ascii="仿宋_GB2312" w:hAnsi="仿宋_GB2312" w:eastAsia="仿宋_GB2312" w:cs="仿宋_GB2312"/>
          <w:color w:val="auto"/>
          <w:sz w:val="32"/>
          <w:szCs w:val="32"/>
        </w:rPr>
        <w:t>坚持规范主题教育活动，结合重要节庆日、纪念日组织宣传教育和实践活动，做到月月有主题，周周有重点</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学校资产种类多、数量大，对于需要移交、报废的资产，处置手续办理不够及时</w:t>
      </w:r>
      <w:r>
        <w:rPr>
          <w:rFonts w:ascii="Times New Roman" w:hAnsi="Times New Roman" w:eastAsia="仿宋_GB2312" w:cs="Times New Roman"/>
          <w:sz w:val="32"/>
          <w:szCs w:val="32"/>
        </w:rPr>
        <w:t>。下一步改进措施：</w:t>
      </w:r>
      <w:r>
        <w:rPr>
          <w:rFonts w:hint="eastAsia" w:ascii="仿宋" w:hAnsi="仿宋" w:eastAsia="仿宋"/>
          <w:spacing w:val="-2"/>
          <w:sz w:val="32"/>
          <w:szCs w:val="32"/>
          <w:lang w:val="en-US" w:eastAsia="zh-CN"/>
        </w:rPr>
        <w:t>加强资产管理力度，进一步完善资产管理制度，最大限度的提高资产使用效率</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仿宋" w:hAnsi="仿宋" w:eastAsia="仿宋" w:cs="仿宋"/>
          <w:kern w:val="0"/>
          <w:sz w:val="32"/>
          <w:szCs w:val="32"/>
          <w:lang w:val="en-US" w:eastAsia="zh-CN" w:bidi="ar"/>
        </w:rPr>
        <w:t>义务教育薄弱环节改善与能力提升</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31.98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99.94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”。发现的主要问题及原因</w:t>
      </w:r>
      <w:r>
        <w:rPr>
          <w:rFonts w:hint="eastAsia" w:ascii="仿宋" w:hAnsi="Calibri" w:eastAsia="仿宋" w:cs="Times New Roman"/>
          <w:kern w:val="2"/>
          <w:sz w:val="32"/>
          <w:szCs w:val="32"/>
          <w:lang w:val="en-US" w:eastAsia="zh-CN" w:bidi="ar-SA"/>
        </w:rPr>
        <w:t>项目验收环节的标准化程度有待提高，验收指标不够细化</w:t>
      </w:r>
      <w:r>
        <w:rPr>
          <w:rFonts w:ascii="Times New Roman" w:hAnsi="Times New Roman" w:eastAsia="仿宋_GB2312" w:cs="Times New Roman"/>
          <w:sz w:val="32"/>
          <w:szCs w:val="32"/>
        </w:rPr>
        <w:t>。下一步改进措施：</w:t>
      </w:r>
      <w:r>
        <w:rPr>
          <w:rFonts w:hint="eastAsia" w:ascii="仿宋" w:hAnsi="Calibri" w:eastAsia="仿宋" w:cs="Times New Roman"/>
          <w:kern w:val="2"/>
          <w:sz w:val="32"/>
          <w:szCs w:val="32"/>
          <w:lang w:val="en-US" w:eastAsia="zh-CN" w:bidi="ar-SA"/>
        </w:rPr>
        <w:t>制定详细的项目验收标准，明确验收指标和方法，提高验收工作的科学性和规范性，不断改进工作方法</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50.88</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CF1C914">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spacing w:val="-2"/>
          <w:sz w:val="32"/>
          <w:szCs w:val="32"/>
          <w:lang w:val="en-US" w:eastAsia="zh-CN"/>
        </w:rPr>
        <w:t>绩效自评结果作为下一年度预算安排和调整的重要依据。按照信息公开的有关要求，因本单位无门户网站，故将绩效自评报告在主管单位网站进行公开，接受社会监督，增强财政资金使用的透明度</w:t>
      </w:r>
      <w:r>
        <w:rPr>
          <w:rFonts w:ascii="Times New Roman" w:hAnsi="Times New Roman" w:eastAsia="仿宋_GB2312" w:cs="Times New Roman"/>
          <w:color w:val="auto"/>
          <w:sz w:val="32"/>
          <w:szCs w:val="32"/>
        </w:rPr>
        <w:t>。</w:t>
      </w:r>
    </w:p>
    <w:p w14:paraId="68FA5E46">
      <w:pPr>
        <w:pStyle w:val="12"/>
        <w:jc w:val="center"/>
        <w:rPr>
          <w:rFonts w:ascii="Times New Roman" w:hAnsi="Times New Roman" w:cs="Times New Roman"/>
          <w:sz w:val="72"/>
          <w:szCs w:val="72"/>
        </w:rPr>
      </w:pPr>
    </w:p>
    <w:p w14:paraId="587D93F5">
      <w:pPr>
        <w:pStyle w:val="12"/>
        <w:jc w:val="center"/>
        <w:rPr>
          <w:rFonts w:ascii="Times New Roman" w:hAnsi="Times New Roman" w:cs="Times New Roman"/>
          <w:sz w:val="72"/>
          <w:szCs w:val="72"/>
        </w:rPr>
      </w:pPr>
    </w:p>
    <w:p w14:paraId="2DD6299B">
      <w:pPr>
        <w:pStyle w:val="12"/>
        <w:jc w:val="center"/>
        <w:rPr>
          <w:rFonts w:ascii="Times New Roman" w:hAnsi="Times New Roman" w:cs="Times New Roman"/>
          <w:sz w:val="72"/>
          <w:szCs w:val="72"/>
        </w:rPr>
      </w:pPr>
    </w:p>
    <w:p w14:paraId="7C0CA3D0">
      <w:pPr>
        <w:pStyle w:val="12"/>
        <w:jc w:val="center"/>
        <w:rPr>
          <w:rFonts w:ascii="Times New Roman" w:hAnsi="Times New Roman" w:cs="Times New Roman"/>
          <w:sz w:val="72"/>
          <w:szCs w:val="72"/>
        </w:rPr>
      </w:pPr>
    </w:p>
    <w:p w14:paraId="5826C432">
      <w:pPr>
        <w:pStyle w:val="12"/>
        <w:jc w:val="center"/>
        <w:rPr>
          <w:rFonts w:ascii="Times New Roman" w:hAnsi="Times New Roman" w:cs="Times New Roman"/>
          <w:sz w:val="72"/>
          <w:szCs w:val="72"/>
        </w:rPr>
      </w:pPr>
    </w:p>
    <w:p w14:paraId="3E17E05C">
      <w:pPr>
        <w:pStyle w:val="12"/>
        <w:jc w:val="center"/>
        <w:rPr>
          <w:rFonts w:ascii="Times New Roman" w:hAnsi="Times New Roman" w:cs="Times New Roman"/>
          <w:sz w:val="72"/>
          <w:szCs w:val="72"/>
        </w:rPr>
      </w:pPr>
    </w:p>
    <w:p w14:paraId="1A829A3E">
      <w:pPr>
        <w:pStyle w:val="12"/>
        <w:jc w:val="center"/>
        <w:rPr>
          <w:rFonts w:ascii="Times New Roman" w:hAnsi="Times New Roman" w:cs="Times New Roman"/>
          <w:sz w:val="72"/>
          <w:szCs w:val="72"/>
        </w:rPr>
      </w:pPr>
    </w:p>
    <w:p w14:paraId="725D2DD8">
      <w:pPr>
        <w:pStyle w:val="12"/>
        <w:jc w:val="center"/>
        <w:rPr>
          <w:rFonts w:ascii="Times New Roman" w:hAnsi="Times New Roman" w:cs="Times New Roman"/>
          <w:sz w:val="72"/>
          <w:szCs w:val="72"/>
        </w:rPr>
      </w:pPr>
    </w:p>
    <w:p w14:paraId="38934BF3">
      <w:pPr>
        <w:pStyle w:val="12"/>
        <w:jc w:val="both"/>
        <w:rPr>
          <w:rFonts w:ascii="Times New Roman" w:hAnsi="Times New Roman" w:cs="Times New Roman"/>
          <w:sz w:val="72"/>
          <w:szCs w:val="72"/>
        </w:rPr>
      </w:pPr>
    </w:p>
    <w:p w14:paraId="133E296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687EC13">
      <w:pPr>
        <w:widowControl/>
        <w:jc w:val="left"/>
        <w:rPr>
          <w:rFonts w:ascii="Times New Roman" w:hAnsi="Times New Roman" w:cs="Times New Roman"/>
          <w:color w:val="000000"/>
          <w:kern w:val="0"/>
          <w:sz w:val="32"/>
          <w:szCs w:val="32"/>
        </w:rPr>
      </w:pPr>
    </w:p>
    <w:p w14:paraId="463171AB">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hint="eastAsia" w:ascii="Times New Roman" w:hAnsi="Times New Roman" w:eastAsia="仿宋_GB2312" w:cs="黑体"/>
          <w:color w:val="000000"/>
          <w:kern w:val="0"/>
          <w:sz w:val="32"/>
          <w:szCs w:val="32"/>
          <w:lang w:val="en-US" w:eastAsia="zh-CN" w:bidi="ar-SA"/>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37A249E">
      <w:pPr>
        <w:pStyle w:val="12"/>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lang w:val="en-US" w:eastAsia="zh-CN" w:bidi="ar-SA"/>
        </w:rPr>
        <w:t>二、</w:t>
      </w:r>
      <w:r>
        <w:rPr>
          <w:rFonts w:hint="eastAsia" w:ascii="Times New Roman" w:hAnsi="Times New Roman" w:eastAsia="仿宋_GB2312" w:cs="黑体"/>
          <w:color w:val="000000"/>
          <w:kern w:val="0"/>
          <w:sz w:val="32"/>
          <w:szCs w:val="32"/>
          <w:lang w:val="en-US" w:eastAsia="zh-CN" w:bidi="ar-SA"/>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E13ED84">
      <w:pPr>
        <w:pStyle w:val="12"/>
        <w:jc w:val="center"/>
        <w:rPr>
          <w:rFonts w:ascii="Times New Roman" w:hAnsi="Times New Roman" w:cs="Times New Roman"/>
          <w:sz w:val="72"/>
          <w:szCs w:val="72"/>
        </w:rPr>
      </w:pPr>
    </w:p>
    <w:p w14:paraId="2D055598">
      <w:pPr>
        <w:pStyle w:val="12"/>
        <w:jc w:val="center"/>
        <w:rPr>
          <w:rFonts w:ascii="Times New Roman" w:hAnsi="Times New Roman" w:cs="Times New Roman"/>
          <w:sz w:val="72"/>
          <w:szCs w:val="72"/>
        </w:rPr>
      </w:pPr>
    </w:p>
    <w:p w14:paraId="5AACC796">
      <w:pPr>
        <w:pStyle w:val="12"/>
        <w:jc w:val="center"/>
        <w:rPr>
          <w:rFonts w:ascii="Times New Roman" w:hAnsi="Times New Roman" w:cs="Times New Roman"/>
          <w:sz w:val="72"/>
          <w:szCs w:val="72"/>
        </w:rPr>
      </w:pPr>
    </w:p>
    <w:p w14:paraId="269FA442">
      <w:pPr>
        <w:pStyle w:val="12"/>
        <w:jc w:val="both"/>
        <w:rPr>
          <w:rFonts w:ascii="Times New Roman" w:hAnsi="Times New Roman" w:cs="Times New Roman"/>
          <w:sz w:val="72"/>
          <w:szCs w:val="72"/>
        </w:rPr>
      </w:pPr>
    </w:p>
    <w:p w14:paraId="4C559DE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91D3921">
      <w:pPr>
        <w:rPr>
          <w:rFonts w:ascii="Times New Roman" w:hAnsi="Times New Roman" w:cs="Times New Roman"/>
          <w:sz w:val="72"/>
          <w:szCs w:val="72"/>
        </w:rPr>
      </w:pPr>
    </w:p>
    <w:p w14:paraId="66E28B77">
      <w:pPr>
        <w:pStyle w:val="12"/>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rPr>
        <w:t>怀化市</w:t>
      </w:r>
      <w:r>
        <w:rPr>
          <w:rFonts w:hint="eastAsia" w:ascii="Times New Roman" w:hAnsi="Times New Roman" w:eastAsia="仿宋_GB2312"/>
          <w:sz w:val="32"/>
          <w:szCs w:val="32"/>
          <w:lang w:val="en-US" w:eastAsia="zh-CN"/>
        </w:rPr>
        <w:t>宏宇</w:t>
      </w:r>
      <w:r>
        <w:rPr>
          <w:rFonts w:hint="eastAsia" w:ascii="Times New Roman" w:hAnsi="Times New Roman" w:eastAsia="仿宋_GB2312"/>
          <w:sz w:val="32"/>
          <w:szCs w:val="32"/>
        </w:rPr>
        <w:t>小学202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年决算公开表。</w:t>
      </w:r>
    </w:p>
    <w:p w14:paraId="7A4A55B6">
      <w:pPr>
        <w:pStyle w:val="12"/>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二、</w:t>
      </w:r>
      <w:r>
        <w:rPr>
          <w:rFonts w:hint="eastAsia" w:ascii="Times New Roman" w:hAnsi="Times New Roman" w:eastAsia="仿宋_GB2312"/>
          <w:sz w:val="32"/>
          <w:szCs w:val="32"/>
        </w:rPr>
        <w:t>怀化市</w:t>
      </w:r>
      <w:r>
        <w:rPr>
          <w:rFonts w:hint="eastAsia" w:ascii="Times New Roman" w:hAnsi="Times New Roman" w:eastAsia="仿宋_GB2312"/>
          <w:sz w:val="32"/>
          <w:szCs w:val="32"/>
          <w:lang w:val="en-US" w:eastAsia="zh-CN"/>
        </w:rPr>
        <w:t>宏宇</w:t>
      </w:r>
      <w:r>
        <w:rPr>
          <w:rFonts w:hint="eastAsia" w:ascii="Times New Roman" w:hAnsi="Times New Roman" w:eastAsia="仿宋_GB2312"/>
          <w:sz w:val="32"/>
          <w:szCs w:val="32"/>
        </w:rPr>
        <w:t>小学</w:t>
      </w:r>
      <w:r>
        <w:rPr>
          <w:rFonts w:hint="eastAsia" w:ascii="Times New Roman" w:hAnsi="Times New Roman" w:eastAsia="仿宋_GB2312"/>
          <w:sz w:val="32"/>
          <w:szCs w:val="32"/>
          <w:lang w:val="en-US" w:eastAsia="zh-CN"/>
        </w:rPr>
        <w:t>2025年</w:t>
      </w:r>
      <w:r>
        <w:rPr>
          <w:rFonts w:hint="eastAsia" w:ascii="Times New Roman" w:hAnsi="Times New Roman" w:eastAsia="仿宋_GB2312"/>
          <w:sz w:val="32"/>
          <w:szCs w:val="32"/>
        </w:rPr>
        <w:t>整体支出绩效自评报告。</w:t>
      </w:r>
    </w:p>
    <w:p w14:paraId="7D57301D">
      <w:pPr>
        <w:pStyle w:val="12"/>
        <w:spacing w:line="600" w:lineRule="exact"/>
        <w:ind w:firstLine="640" w:firstLineChars="200"/>
      </w:pPr>
      <w:r>
        <w:rPr>
          <w:rFonts w:hint="eastAsia" w:ascii="楷体" w:hAnsi="楷体" w:eastAsia="楷体" w:cs="楷体"/>
          <w:b/>
          <w:bCs/>
          <w:sz w:val="32"/>
          <w:szCs w:val="32"/>
        </w:rPr>
        <w:t>三、</w:t>
      </w:r>
      <w:r>
        <w:rPr>
          <w:rFonts w:hint="eastAsia" w:ascii="Times New Roman" w:hAnsi="Times New Roman" w:eastAsia="仿宋_GB2312"/>
          <w:sz w:val="32"/>
          <w:szCs w:val="32"/>
        </w:rPr>
        <w:t>怀化市宏宇小学202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年项目支出自评结果汇总分析报告。</w:t>
      </w:r>
    </w:p>
    <w:p w14:paraId="01DA527D">
      <w:pPr>
        <w:pStyle w:val="12"/>
        <w:ind w:firstLine="1280" w:firstLineChars="400"/>
        <w:rPr>
          <w:rFonts w:ascii="Times New Roman" w:hAnsi="Times New Roman" w:eastAsia="仿宋_GB2312" w:cs="Times New Roman"/>
          <w:sz w:val="32"/>
          <w:szCs w:val="32"/>
        </w:rPr>
      </w:pPr>
      <w:bookmarkStart w:id="0" w:name="_GoBack"/>
      <w:bookmarkEnd w:id="0"/>
    </w:p>
    <w:p w14:paraId="752EB728">
      <w:pPr>
        <w:pStyle w:val="12"/>
        <w:spacing w:line="600" w:lineRule="exact"/>
        <w:ind w:firstLine="640" w:firstLineChars="200"/>
        <w:rPr>
          <w:rFonts w:ascii="Times New Roman" w:hAnsi="Times New Roman" w:eastAsia="仿宋_GB2312" w:cs="Times New Roman"/>
          <w:sz w:val="32"/>
          <w:szCs w:val="32"/>
        </w:rPr>
      </w:pPr>
    </w:p>
    <w:p w14:paraId="720DCDB4">
      <w:pPr>
        <w:pStyle w:val="12"/>
        <w:jc w:val="center"/>
        <w:rPr>
          <w:rFonts w:ascii="Times New Roman" w:hAnsi="Times New Roman" w:cs="Times New Roman"/>
          <w:sz w:val="72"/>
          <w:szCs w:val="72"/>
        </w:rPr>
      </w:pPr>
    </w:p>
    <w:p w14:paraId="5E1AB83A">
      <w:pPr>
        <w:pStyle w:val="12"/>
        <w:jc w:val="center"/>
        <w:rPr>
          <w:rFonts w:ascii="Times New Roman" w:hAnsi="Times New Roman" w:cs="Times New Roman"/>
          <w:sz w:val="72"/>
          <w:szCs w:val="72"/>
        </w:rPr>
      </w:pPr>
    </w:p>
    <w:p w14:paraId="44BF690B">
      <w:pPr>
        <w:jc w:val="left"/>
        <w:rPr>
          <w:rFonts w:ascii="Times New Roman" w:hAnsi="Times New Roman" w:cs="Times New Roman"/>
          <w:color w:val="000000"/>
          <w:kern w:val="0"/>
          <w:sz w:val="32"/>
          <w:szCs w:val="32"/>
        </w:rPr>
      </w:pPr>
    </w:p>
    <w:sectPr>
      <w:footerReference r:id="rId6" w:type="default"/>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F4C9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222C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5A21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F13D7">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3F13D7">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B898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9B480">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1F9B480">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400FE"/>
    <w:rsid w:val="01F3521E"/>
    <w:rsid w:val="02CB619B"/>
    <w:rsid w:val="04082AD7"/>
    <w:rsid w:val="05F94DCD"/>
    <w:rsid w:val="065169B7"/>
    <w:rsid w:val="0A5F6638"/>
    <w:rsid w:val="0C0A28A6"/>
    <w:rsid w:val="0C590F18"/>
    <w:rsid w:val="0CE265BB"/>
    <w:rsid w:val="0D0A78C0"/>
    <w:rsid w:val="0D264448"/>
    <w:rsid w:val="0D4A0C72"/>
    <w:rsid w:val="0D6E09AB"/>
    <w:rsid w:val="0ECE5049"/>
    <w:rsid w:val="0F037BD4"/>
    <w:rsid w:val="10326F5D"/>
    <w:rsid w:val="12490E8B"/>
    <w:rsid w:val="127E0301"/>
    <w:rsid w:val="18BF3C55"/>
    <w:rsid w:val="1AD339E7"/>
    <w:rsid w:val="1D97DEFF"/>
    <w:rsid w:val="1DFF72E5"/>
    <w:rsid w:val="1E521E5C"/>
    <w:rsid w:val="1EFC6F07"/>
    <w:rsid w:val="22A44038"/>
    <w:rsid w:val="23B1699D"/>
    <w:rsid w:val="24721326"/>
    <w:rsid w:val="25B56DD4"/>
    <w:rsid w:val="274E6E1D"/>
    <w:rsid w:val="2762237B"/>
    <w:rsid w:val="286478B1"/>
    <w:rsid w:val="2927387C"/>
    <w:rsid w:val="2A4A7581"/>
    <w:rsid w:val="2AA9206F"/>
    <w:rsid w:val="2B2C7F1E"/>
    <w:rsid w:val="2E5F307B"/>
    <w:rsid w:val="2FDF85B8"/>
    <w:rsid w:val="2FFFEE04"/>
    <w:rsid w:val="345F2A91"/>
    <w:rsid w:val="34DF85B0"/>
    <w:rsid w:val="374177D6"/>
    <w:rsid w:val="3B8F36BC"/>
    <w:rsid w:val="43496A57"/>
    <w:rsid w:val="444F55DD"/>
    <w:rsid w:val="456E5467"/>
    <w:rsid w:val="47242777"/>
    <w:rsid w:val="491FF225"/>
    <w:rsid w:val="496D4C9E"/>
    <w:rsid w:val="4B79120A"/>
    <w:rsid w:val="4E0F451C"/>
    <w:rsid w:val="4F552641"/>
    <w:rsid w:val="4FFD214C"/>
    <w:rsid w:val="52AA4A52"/>
    <w:rsid w:val="54A75BB9"/>
    <w:rsid w:val="568B6949"/>
    <w:rsid w:val="5777D4F5"/>
    <w:rsid w:val="587B083D"/>
    <w:rsid w:val="59DD8326"/>
    <w:rsid w:val="5AA61FA3"/>
    <w:rsid w:val="5B8C62B2"/>
    <w:rsid w:val="5D050F60"/>
    <w:rsid w:val="5DEF592A"/>
    <w:rsid w:val="5F7C4032"/>
    <w:rsid w:val="5FC6BB1E"/>
    <w:rsid w:val="5FF720F1"/>
    <w:rsid w:val="60886E4B"/>
    <w:rsid w:val="614B38A4"/>
    <w:rsid w:val="64671D6D"/>
    <w:rsid w:val="67713939"/>
    <w:rsid w:val="67FF5C0B"/>
    <w:rsid w:val="69AB46B3"/>
    <w:rsid w:val="6A234003"/>
    <w:rsid w:val="6A8676FB"/>
    <w:rsid w:val="6B6F018F"/>
    <w:rsid w:val="6CC25BE3"/>
    <w:rsid w:val="6CFC5A53"/>
    <w:rsid w:val="6D01750D"/>
    <w:rsid w:val="6E2C680B"/>
    <w:rsid w:val="6EFC0924"/>
    <w:rsid w:val="6FB74722"/>
    <w:rsid w:val="6FEF8B7E"/>
    <w:rsid w:val="71491BA2"/>
    <w:rsid w:val="71A6591B"/>
    <w:rsid w:val="737D59BA"/>
    <w:rsid w:val="74A215D5"/>
    <w:rsid w:val="74E05C5A"/>
    <w:rsid w:val="759224B5"/>
    <w:rsid w:val="763F235F"/>
    <w:rsid w:val="776808B4"/>
    <w:rsid w:val="77C37683"/>
    <w:rsid w:val="79D19834"/>
    <w:rsid w:val="79FF515B"/>
    <w:rsid w:val="7BF549BF"/>
    <w:rsid w:val="7E1A2753"/>
    <w:rsid w:val="7E9E1962"/>
    <w:rsid w:val="7E9F11B4"/>
    <w:rsid w:val="7F37EC1E"/>
    <w:rsid w:val="7F494CC5"/>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2541</Words>
  <Characters>2854</Characters>
  <Lines>69</Lines>
  <Paragraphs>19</Paragraphs>
  <TotalTime>7</TotalTime>
  <ScaleCrop>false</ScaleCrop>
  <LinksUpToDate>false</LinksUpToDate>
  <CharactersWithSpaces>2865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Lenovo</cp:lastModifiedBy>
  <cp:lastPrinted>2024-08-10T02:20:00Z</cp:lastPrinted>
  <dcterms:modified xsi:type="dcterms:W3CDTF">2026-09-18T02:31:22Z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55B94EEE95674B45B61F8BEEEA7AEB03_13</vt:lpwstr>
  </property>
  <property fmtid="{D5CDD505-2E9C-101B-9397-08002B2CF9AE}" pid="4" name="KSOTemplateDocerSaveRecord">
    <vt:lpwstr>eyJoZGlkIjoiZjI4MGY3NWU5ZmMyOWUwZmJhNTNiNTc1NDcyMDI1YTAifQ==</vt:lpwstr>
  </property>
</Properties>
</file>