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4" w:rsidRDefault="00110014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</w:p>
    <w:p w:rsidR="00110014" w:rsidRDefault="00110014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sz w:val="52"/>
          <w:szCs w:val="52"/>
          <w:shd w:val="clear" w:color="auto" w:fill="FFFFFF"/>
        </w:rPr>
        <w:t>2023年度怀化市湖天中学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sz w:val="52"/>
          <w:szCs w:val="52"/>
          <w:shd w:val="clear" w:color="auto" w:fill="FFFFFF"/>
        </w:rPr>
        <w:t>整体支出绩效</w:t>
      </w:r>
    </w:p>
    <w:p w:rsidR="00110014" w:rsidRDefault="00110014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sz w:val="52"/>
          <w:szCs w:val="52"/>
          <w:shd w:val="clear" w:color="auto" w:fill="FFFFFF"/>
        </w:rPr>
        <w:t>自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sz w:val="52"/>
          <w:szCs w:val="52"/>
          <w:shd w:val="clear" w:color="auto" w:fill="FFFFFF"/>
        </w:rPr>
        <w:t>评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52"/>
          <w:szCs w:val="5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sz w:val="52"/>
          <w:szCs w:val="52"/>
          <w:shd w:val="clear" w:color="auto" w:fill="FFFFFF"/>
        </w:rPr>
        <w:t>报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Times New Roman" w:hAnsi="Times New Roman"/>
          <w:color w:val="3D3D3D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D3D3D"/>
          <w:sz w:val="52"/>
          <w:szCs w:val="52"/>
          <w:shd w:val="clear" w:color="auto" w:fill="FFFFFF"/>
        </w:rPr>
        <w:t>告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Times New Roman" w:hAnsi="Times New Roman"/>
          <w:b/>
          <w:bCs/>
          <w:color w:val="3D3D3D"/>
          <w:sz w:val="32"/>
          <w:szCs w:val="32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Times New Roman" w:hAnsi="Times New Roman"/>
          <w:color w:val="3D3D3D"/>
          <w:sz w:val="21"/>
          <w:szCs w:val="21"/>
        </w:rPr>
      </w:pPr>
      <w:r>
        <w:rPr>
          <w:rFonts w:ascii="Times New Roman" w:hAnsi="Times New Roman"/>
          <w:color w:val="3D3D3D"/>
          <w:sz w:val="32"/>
          <w:szCs w:val="32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Times New Roman" w:hAnsi="Times New Roman"/>
          <w:color w:val="3D3D3D"/>
          <w:sz w:val="21"/>
          <w:szCs w:val="21"/>
        </w:rPr>
      </w:pPr>
      <w:r>
        <w:rPr>
          <w:rFonts w:ascii="Times New Roman" w:hAnsi="Times New Roman"/>
          <w:color w:val="3D3D3D"/>
          <w:sz w:val="32"/>
          <w:szCs w:val="32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Times New Roman" w:hAnsi="Times New Roman"/>
          <w:color w:val="3D3D3D"/>
          <w:sz w:val="32"/>
          <w:szCs w:val="32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Times New Roman" w:hAnsi="Times New Roman"/>
          <w:color w:val="3D3D3D"/>
          <w:sz w:val="21"/>
          <w:szCs w:val="21"/>
        </w:rPr>
      </w:pPr>
      <w:r>
        <w:rPr>
          <w:rFonts w:ascii="Times New Roman" w:hAnsi="Times New Roman"/>
          <w:color w:val="3D3D3D"/>
          <w:sz w:val="32"/>
          <w:szCs w:val="32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sz w:val="36"/>
          <w:szCs w:val="36"/>
          <w:shd w:val="clear" w:color="auto" w:fill="FFFFFF"/>
        </w:rPr>
        <w:t>单位名称：怀化市湖天中学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3D3D3D"/>
          <w:sz w:val="36"/>
          <w:szCs w:val="36"/>
          <w:shd w:val="clear" w:color="auto" w:fill="FFFFFF"/>
        </w:rPr>
        <w:t>2024</w:t>
      </w:r>
      <w:r>
        <w:rPr>
          <w:rFonts w:ascii="宋体" w:eastAsia="宋体" w:hAnsi="宋体" w:cs="宋体" w:hint="eastAsia"/>
          <w:b/>
          <w:bCs/>
          <w:color w:val="3D3D3D"/>
          <w:sz w:val="36"/>
          <w:szCs w:val="36"/>
          <w:shd w:val="clear" w:color="auto" w:fill="FFFFFF"/>
        </w:rPr>
        <w:t>年</w:t>
      </w:r>
      <w:r>
        <w:rPr>
          <w:rFonts w:ascii="宋体" w:eastAsia="宋体" w:hAnsi="宋体" w:cs="宋体"/>
          <w:b/>
          <w:bCs/>
          <w:color w:val="3D3D3D"/>
          <w:sz w:val="36"/>
          <w:szCs w:val="36"/>
          <w:shd w:val="clear" w:color="auto" w:fill="FFFFFF"/>
        </w:rPr>
        <w:t>6</w:t>
      </w:r>
      <w:r>
        <w:rPr>
          <w:rFonts w:ascii="宋体" w:eastAsia="宋体" w:hAnsi="宋体" w:cs="宋体" w:hint="eastAsia"/>
          <w:b/>
          <w:bCs/>
          <w:color w:val="3D3D3D"/>
          <w:sz w:val="36"/>
          <w:szCs w:val="36"/>
          <w:shd w:val="clear" w:color="auto" w:fill="FFFFFF"/>
        </w:rPr>
        <w:t>月</w:t>
      </w:r>
      <w:r>
        <w:rPr>
          <w:rFonts w:ascii="宋体" w:eastAsia="宋体" w:hAnsi="宋体" w:cs="宋体"/>
          <w:b/>
          <w:bCs/>
          <w:color w:val="3D3D3D"/>
          <w:sz w:val="36"/>
          <w:szCs w:val="36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3D3D3D"/>
          <w:sz w:val="36"/>
          <w:szCs w:val="36"/>
          <w:shd w:val="clear" w:color="auto" w:fill="FFFFFF"/>
        </w:rPr>
        <w:t>0日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Times New Roman" w:hAnsi="Times New Roman"/>
          <w:color w:val="3D3D3D"/>
          <w:sz w:val="21"/>
          <w:szCs w:val="21"/>
        </w:rPr>
      </w:pPr>
      <w:r>
        <w:rPr>
          <w:rFonts w:ascii="Times New Roman" w:hAnsi="Times New Roman"/>
          <w:color w:val="3D3D3D"/>
          <w:sz w:val="32"/>
          <w:szCs w:val="32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480" w:lineRule="atLeast"/>
        <w:jc w:val="both"/>
        <w:rPr>
          <w:rFonts w:ascii="Times New Roman" w:hAnsi="Times New Roman"/>
          <w:color w:val="3D3D3D"/>
        </w:rPr>
      </w:pPr>
      <w:r>
        <w:rPr>
          <w:rFonts w:ascii="方正小标宋_GBK" w:eastAsia="方正小标宋_GBK" w:hAnsi="方正小标宋_GBK" w:cs="方正小标宋_GBK"/>
          <w:color w:val="000000"/>
          <w:sz w:val="32"/>
          <w:szCs w:val="32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both"/>
        <w:rPr>
          <w:rFonts w:ascii="宋体" w:eastAsia="宋体" w:hAnsi="宋体" w:cs="宋体"/>
          <w:b/>
          <w:bCs/>
          <w:color w:val="3D3D3D"/>
          <w:sz w:val="44"/>
          <w:szCs w:val="44"/>
          <w:shd w:val="clear" w:color="auto" w:fill="FFFFFF"/>
        </w:rPr>
      </w:pPr>
      <w:r>
        <w:rPr>
          <w:rFonts w:ascii="Times New Roman" w:hAnsi="Times New Roman"/>
          <w:color w:val="3D3D3D"/>
          <w:sz w:val="21"/>
          <w:szCs w:val="21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sz w:val="36"/>
          <w:szCs w:val="36"/>
          <w:shd w:val="clear" w:color="auto" w:fill="FFFFFF"/>
        </w:rPr>
        <w:lastRenderedPageBreak/>
        <w:t>怀化市湖天中学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450" w:lineRule="atLeast"/>
        <w:jc w:val="center"/>
        <w:rPr>
          <w:rFonts w:ascii="Times New Roman" w:hAnsi="Times New Roman"/>
          <w:color w:val="3D3D3D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D3D3D"/>
          <w:sz w:val="36"/>
          <w:szCs w:val="36"/>
          <w:shd w:val="clear" w:color="auto" w:fill="FFFFFF"/>
        </w:rPr>
        <w:t>2023年部门整体支出绩效自评报告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jc w:val="center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一、部门、单位基本情况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（一）机构设置情况</w:t>
      </w:r>
    </w:p>
    <w:p w:rsidR="00110014" w:rsidRDefault="00A40FF5">
      <w:pPr>
        <w:widowControl/>
        <w:shd w:val="clear" w:color="auto" w:fill="FFFFFF"/>
        <w:spacing w:line="600" w:lineRule="atLeast"/>
        <w:ind w:firstLineChars="200" w:firstLine="640"/>
        <w:rPr>
          <w:rFonts w:eastAsia="仿宋" w:hAnsi="仿宋"/>
          <w:color w:val="000000"/>
          <w:kern w:val="0"/>
          <w:sz w:val="32"/>
          <w:szCs w:val="32"/>
        </w:rPr>
      </w:pPr>
      <w:r>
        <w:rPr>
          <w:rFonts w:eastAsia="仿宋" w:hAnsi="仿宋"/>
          <w:color w:val="000000"/>
          <w:kern w:val="0"/>
          <w:sz w:val="32"/>
          <w:szCs w:val="32"/>
        </w:rPr>
        <w:t>怀化市湖天中学作为一级部门预算单位，内设科室为：办公室、教务处、学生处、教研处、现代教育技术室、总务处。</w:t>
      </w:r>
    </w:p>
    <w:p w:rsidR="00110014" w:rsidRDefault="00A40FF5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="75" w:afterAutospacing="0" w:line="520" w:lineRule="atLeast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人员编制情况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2023年年初编制预算人数为242人，年初实有人数231人，在职人数224人，退休人员7人；年末人员编制为242人，年末实有人数230人，在职人数223人，退休人员7人，在职人员控制率92.15%，未超过编制数，控制较好。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（三）主要职能职责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eastAsia="仿宋" w:hAnsi="仿宋" w:hint="eastAsia"/>
          <w:color w:val="000000"/>
          <w:sz w:val="32"/>
          <w:szCs w:val="32"/>
        </w:rPr>
        <w:t>贯彻执行党和国家的教育方针、政策、法律法规，坚持依法治教、依法治学。实施高中阶段学生的学业及素质教育、培养德智体美等全面发展的学生，促进教育发展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（四）绩效目标设定情况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</w:rPr>
        <w:t>20</w:t>
      </w:r>
      <w:r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3年是湖天中学开启新征程的一年。</w:t>
      </w:r>
      <w:r w:rsidRPr="004A3C84">
        <w:rPr>
          <w:rFonts w:ascii="仿宋" w:eastAsia="仿宋" w:hAnsi="仿宋" w:hint="eastAsia"/>
          <w:sz w:val="32"/>
        </w:rPr>
        <w:t>在市委、市政府的亲切关怀下，在市教育局的坚强领导下，</w:t>
      </w:r>
      <w:r w:rsidR="004A3C84" w:rsidRPr="004A3C84">
        <w:rPr>
          <w:rFonts w:eastAsia="仿宋" w:hAnsi="仿宋"/>
          <w:sz w:val="32"/>
          <w:szCs w:val="32"/>
        </w:rPr>
        <w:t>我校坚持“以人为本，卓越发展”的办学理念，恪守“格物致知、和而不同”的校训</w:t>
      </w:r>
      <w:r w:rsidRPr="004A3C84">
        <w:rPr>
          <w:rFonts w:ascii="仿宋" w:eastAsia="仿宋" w:hAnsi="仿宋" w:hint="eastAsia"/>
          <w:sz w:val="32"/>
        </w:rPr>
        <w:t>，全面贯彻党的教育方针和落实立德树人</w:t>
      </w:r>
      <w:r>
        <w:rPr>
          <w:rFonts w:ascii="仿宋" w:eastAsia="仿宋" w:hAnsi="仿宋" w:hint="eastAsia"/>
          <w:sz w:val="32"/>
        </w:rPr>
        <w:t>根本任务，深</w:t>
      </w:r>
      <w:r>
        <w:rPr>
          <w:rFonts w:eastAsia="仿宋" w:hAnsi="仿宋" w:hint="eastAsia"/>
          <w:color w:val="000000"/>
          <w:sz w:val="32"/>
          <w:szCs w:val="32"/>
        </w:rPr>
        <w:t>入学习贯</w:t>
      </w:r>
      <w:r>
        <w:rPr>
          <w:rFonts w:eastAsia="仿宋" w:hAnsi="仿宋" w:hint="eastAsia"/>
          <w:color w:val="000000"/>
          <w:sz w:val="32"/>
          <w:szCs w:val="32"/>
        </w:rPr>
        <w:lastRenderedPageBreak/>
        <w:t>彻党的二十大精神，深刻领悟“两个确立”的决定性意义，增强“四个意识”，坚定“四个自信”、坚决做到“两个维护”，凝聚全体师生智慧和力量，坚定信心，开拓创新，笃定前行。</w:t>
      </w:r>
      <w:r w:rsidR="004A3C84" w:rsidRPr="009C4A04">
        <w:rPr>
          <w:rFonts w:eastAsia="仿宋" w:hAnsi="仿宋"/>
          <w:color w:val="000000"/>
          <w:sz w:val="32"/>
          <w:szCs w:val="32"/>
        </w:rPr>
        <w:t>深化教育改革，坚持稳中求进，培养德智体美全面发展的社会主义建设者和接班人</w:t>
      </w:r>
      <w:r w:rsidR="004A3C84">
        <w:rPr>
          <w:rFonts w:eastAsia="仿宋" w:hAnsi="仿宋" w:hint="eastAsia"/>
          <w:color w:val="000000"/>
          <w:sz w:val="32"/>
          <w:szCs w:val="32"/>
        </w:rPr>
        <w:t>，</w:t>
      </w:r>
      <w:r>
        <w:rPr>
          <w:rFonts w:eastAsia="仿宋" w:hAnsi="仿宋" w:hint="eastAsia"/>
          <w:color w:val="000000"/>
          <w:sz w:val="32"/>
          <w:szCs w:val="32"/>
        </w:rPr>
        <w:t>努力办好人民满意的教育。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520" w:lineRule="atLeast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二、部门整体支出管理及使用情况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（一）预算执行、使用、管理总体情况。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2023年部门预算整体支出为5477.95万元。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按支出性质分类，基本支出3429.70万元，包括基本工资、津贴补贴等人员经费以及工会经费等日常公用经费。项目支出2048.25万元，指单位为完成特定行政工作任务或事业发展目标而发生的支出，包括有关事业发展专项、专项业务费、基本建设支出等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按支出经济分类，工资福利支出4655.26万元，商品和服务支出615.13万元，对个人和家庭的补助30.50万元，资本性支出177.06万元。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（二）部门预算执行情况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eastAsia="仿宋" w:hAnsi="仿宋"/>
          <w:color w:val="000000"/>
          <w:sz w:val="32"/>
          <w:szCs w:val="32"/>
        </w:rPr>
      </w:pPr>
      <w:r>
        <w:rPr>
          <w:rFonts w:eastAsia="仿宋" w:hAnsi="仿宋" w:hint="eastAsia"/>
          <w:color w:val="000000"/>
          <w:sz w:val="32"/>
          <w:szCs w:val="32"/>
        </w:rPr>
        <w:t>1.</w:t>
      </w:r>
      <w:r>
        <w:rPr>
          <w:rFonts w:eastAsia="仿宋" w:hAnsi="仿宋" w:hint="eastAsia"/>
          <w:color w:val="000000"/>
          <w:sz w:val="32"/>
          <w:szCs w:val="32"/>
        </w:rPr>
        <w:t>基本支出情况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eastAsia="仿宋" w:hAnsi="仿宋"/>
          <w:color w:val="000000"/>
          <w:sz w:val="32"/>
          <w:szCs w:val="32"/>
        </w:rPr>
      </w:pPr>
      <w:r>
        <w:rPr>
          <w:rFonts w:eastAsia="仿宋" w:hAnsi="仿宋" w:hint="eastAsia"/>
          <w:color w:val="000000"/>
          <w:sz w:val="32"/>
          <w:szCs w:val="32"/>
        </w:rPr>
        <w:t>基本支出指保障单位正常运转，完成日常工作任务而发生的支出。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lastRenderedPageBreak/>
        <w:t>2023年基本支出5125.40万元。其中工资福利支出4312.63万元，商品和服务支出725.66万元，对个人和家庭的补助58.05万元，资本性支出29.06万元。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我校严格按照资金管理要求，加强资金管理，严格遵守中央和省、市各项财经规章制度，严格支出标准和范围，切实提高资金使用效益。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2.项目支出情况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我校项目支出638.70万元。其中财政专项业务工作经费59.25万元（含校园保安经费32.59万元，校方责任险4.16万元,联合办学经费15万元，高考考点经费7.5万元），学校体育场馆改造61.17万元(拨入170万元，实际支付61.17万元），其他资金支付的课后服务费等518.28万元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 xml:space="preserve"> 我校严格执行《怀化市本级财政专项资金管理办法》、</w:t>
      </w:r>
      <w:r>
        <w:rPr>
          <w:rFonts w:ascii="Times New Roman" w:eastAsia="仿宋" w:hAnsi="仿宋" w:hint="eastAsia"/>
          <w:color w:val="000000"/>
          <w:sz w:val="32"/>
          <w:szCs w:val="32"/>
        </w:rPr>
        <w:t>《怀化市本级政府投资项目工程预结（决）算管理办法》等相关制度，坚持“专款专用，严格把关”的原则，由专人负责监督专项资金的开支，规范专项资金管理，保证资金安全、高效运行。政府限额及</w:t>
      </w:r>
      <w:r>
        <w:rPr>
          <w:rFonts w:ascii="Times New Roman" w:eastAsia="仿宋" w:hAnsi="仿宋"/>
          <w:color w:val="000000"/>
          <w:sz w:val="32"/>
          <w:szCs w:val="32"/>
        </w:rPr>
        <w:t>以上</w:t>
      </w:r>
      <w:r>
        <w:rPr>
          <w:rFonts w:ascii="Times New Roman" w:eastAsia="仿宋" w:hAnsi="仿宋" w:hint="eastAsia"/>
          <w:color w:val="000000"/>
          <w:sz w:val="32"/>
          <w:szCs w:val="32"/>
        </w:rPr>
        <w:t>的</w:t>
      </w:r>
      <w:r>
        <w:rPr>
          <w:rFonts w:ascii="Times New Roman" w:eastAsia="仿宋" w:hAnsi="仿宋"/>
          <w:color w:val="000000"/>
          <w:sz w:val="32"/>
          <w:szCs w:val="32"/>
        </w:rPr>
        <w:t>工程项目、采购或服务</w:t>
      </w:r>
      <w:r>
        <w:rPr>
          <w:rFonts w:ascii="Times New Roman" w:eastAsia="仿宋" w:hAnsi="仿宋" w:hint="eastAsia"/>
          <w:color w:val="000000"/>
          <w:sz w:val="32"/>
          <w:szCs w:val="32"/>
        </w:rPr>
        <w:t>都</w:t>
      </w:r>
      <w:r>
        <w:rPr>
          <w:rFonts w:ascii="Times New Roman" w:eastAsia="仿宋" w:hAnsi="仿宋"/>
          <w:color w:val="000000"/>
          <w:sz w:val="32"/>
          <w:szCs w:val="32"/>
        </w:rPr>
        <w:t>申报投资评审办或政府采购办审核，挂网公开招标或政府采购，履行了公开公平公正的原则，节约了成本，保证了质量。各项专项资金，做到了及时到位，专款专用，无截留、卡扣、占用和挪用等情况。</w:t>
      </w:r>
    </w:p>
    <w:p w:rsidR="00110014" w:rsidRDefault="00A40FF5">
      <w:pPr>
        <w:pStyle w:val="a4"/>
        <w:spacing w:line="360" w:lineRule="auto"/>
        <w:ind w:firstLineChars="200" w:firstLine="640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（三）"三公"经费使用和管理情况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lastRenderedPageBreak/>
        <w:t>2023年“三公”经费预算2.7万元,实际支出0.99万元：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1.公务接待费用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2023年学校未发生公务接待开支。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2.公款出国（境）费用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eastAsia="仿宋" w:hAnsi="Times New Roman"/>
          <w:color w:val="3D3D3D"/>
          <w:sz w:val="21"/>
          <w:szCs w:val="21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2023年学校无公款出国（境）费用。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eastAsia="仿宋" w:hAnsi="Times New Roman"/>
          <w:color w:val="3D3D3D"/>
          <w:sz w:val="21"/>
          <w:szCs w:val="21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3.公车购置费用及公务用车运行维护费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未购置车辆。公车运行维护费0.99万元，为车辆保险费、维修养护费等。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学校在公务接待上，严格执行中央“中央八项规定”和上级有关文件要求，积极响应国家廉政号召，努力做到“三公”零开支。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三、政府性基金预算支出情况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2023年本单位政府性基金预算支出61.17万元，为体育场馆改造款。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四、国有资本经营预算支出情况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2023年本单位无国有资本经营预算支出。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五、社会保险基金预算支出情况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2023年本单位无社会保险基金预算支出。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六、部门整体支出绩效情况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（一）综合评价结论。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eastAsia="仿宋" w:hAnsi="Times New Roman"/>
          <w:color w:val="0000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lastRenderedPageBreak/>
        <w:t>2023年湖天中学履职效益情况良好，认真遵守各项财务规章制度，严格执行各项支出审批程序，确保专款专用，无截留、挤占或挪用。“三公”经费响应零开支号召、厉行勤俭节约。项目按计划组织实施，确保专项资金合理使用，切实提高资金效益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（二）评价指标分析（或综合评价情况）。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1</w:t>
      </w:r>
      <w:r>
        <w:rPr>
          <w:rFonts w:eastAsia="仿宋" w:hAnsi="仿宋" w:hint="eastAsia"/>
          <w:color w:val="000000"/>
          <w:sz w:val="32"/>
          <w:szCs w:val="32"/>
        </w:rPr>
        <w:t>.</w:t>
      </w:r>
      <w:r>
        <w:rPr>
          <w:rFonts w:eastAsia="仿宋" w:hAnsi="仿宋" w:hint="eastAsia"/>
          <w:color w:val="000000"/>
          <w:sz w:val="32"/>
          <w:szCs w:val="32"/>
        </w:rPr>
        <w:t>经济性分析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2023年依据部门预算，严格控制日常开支，确保日常开支在厉行节约指标数内。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截至2023年12月31日，我校核定编制数242人，在编223人，控制率92.15%。预算执行方面：预算控制率、</w:t>
      </w:r>
      <w:r>
        <w:rPr>
          <w:rFonts w:eastAsia="仿宋" w:hAnsi="仿宋"/>
          <w:color w:val="000000"/>
          <w:sz w:val="32"/>
          <w:szCs w:val="32"/>
        </w:rPr>
        <w:t>预</w:t>
      </w:r>
      <w:r>
        <w:rPr>
          <w:rFonts w:ascii="仿宋" w:eastAsia="仿宋" w:hAnsi="仿宋" w:cs="仿宋" w:hint="eastAsia"/>
          <w:sz w:val="32"/>
          <w:szCs w:val="32"/>
        </w:rPr>
        <w:t>算收入完成率、预算支出完成率、公用经费控制率、“三公”经费总体控制都达要求。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2023年“三公”经费预算2.7万元，实际支出0.99万元。支出与去年相比，减少1.01万元。学校严格执行党政机关公务接待管理规定，尽力压缩“三公”经费等行政支出。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2.效率性、有效性分析</w:t>
      </w:r>
    </w:p>
    <w:p w:rsidR="00110014" w:rsidRDefault="00A40FF5">
      <w:pPr>
        <w:pStyle w:val="a4"/>
        <w:widowControl/>
        <w:shd w:val="clear" w:color="auto" w:fill="FFFFFF"/>
        <w:spacing w:beforeAutospacing="0" w:afterAutospacing="0" w:line="600" w:lineRule="atLeast"/>
        <w:ind w:firstLine="640"/>
        <w:jc w:val="both"/>
        <w:rPr>
          <w:rFonts w:ascii="Times New Roman" w:hAnsi="Times New Roman"/>
          <w:color w:val="3D3D3D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2023年我校各项工作进展顺利，成效良好。学校坚决贯彻执行国家教育方针，加强资金管理，贯彻落实中央“中央八项规定”精神，切实提高资金使用效益，保障学校可持续运转。学校注重学生全面发展，坚持规范主题教育活动，结合开学第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一课、九一八、宪法日、国家公祭日等各类主题教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育活动，</w:t>
      </w:r>
      <w:r>
        <w:rPr>
          <w:rFonts w:ascii="仿宋" w:eastAsia="仿宋" w:hAnsi="仿宋" w:hint="eastAsia"/>
          <w:color w:val="000000"/>
          <w:sz w:val="32"/>
          <w:szCs w:val="32"/>
        </w:rPr>
        <w:t>对学生进行爱国主义教育、法治教育和中华优秀传统文化教育；</w:t>
      </w:r>
      <w:r>
        <w:rPr>
          <w:rFonts w:ascii="仿宋" w:eastAsia="仿宋" w:hAnsi="仿宋" w:cs="仿宋" w:hint="eastAsia"/>
          <w:sz w:val="32"/>
          <w:szCs w:val="32"/>
        </w:rPr>
        <w:t>艺体教育成绩斐然，特别是体育方面，女子篮球队3月荣获2022-2023耐克中国高中篮球联赛湖南基础赛第二名 ，4月荣获2022-2023耐克中国高中篮球联赛南区赛第四名，并创造了怀化市女子篮球最好成绩；狠抓过程管理，两考质量有所提升，做到了让学生得以全方位成长、让家长对教育成果满意。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3.可持续性分析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学校坚持以人为本，科研兴校，特色办学，全面推进素质教育，全面贯彻党的教育方针和落实立德树人根本任务，引导和培养学生德智体美劳等方面全面发展，全体湖天人躬耕教坛，砥砺前行。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七、存在的问题及原因分析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theme="minorBidi"/>
          <w:kern w:val="2"/>
          <w:sz w:val="32"/>
          <w:szCs w:val="32"/>
        </w:rPr>
        <w:t>部门预算编制不够具体，预算执行存在偏差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。绩效指标设置有待进一步完善，指标未能全面、精确反映整体绩效水平。</w:t>
      </w:r>
      <w:r>
        <w:rPr>
          <w:rFonts w:ascii="仿宋" w:eastAsia="仿宋" w:hAnsi="仿宋" w:cstheme="minorBidi"/>
          <w:kern w:val="2"/>
          <w:sz w:val="32"/>
          <w:szCs w:val="32"/>
        </w:rPr>
        <w:t>有些资金年底才拨款，造成当年无法支付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八、下一步改进措施</w:t>
      </w:r>
    </w:p>
    <w:p w:rsidR="00110014" w:rsidRDefault="00A40FF5">
      <w:pPr>
        <w:widowControl/>
        <w:shd w:val="clear" w:color="auto" w:fill="FFFFFF"/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/>
          <w:sz w:val="32"/>
          <w:szCs w:val="32"/>
        </w:rPr>
        <w:t>细化预算编制工作，规范部门预算收支核算，认真做好预算的编制。进一步加强预算管理意识，严格按照预算编制的相关制度和要求进行预算编制。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</w:t>
      </w:r>
      <w:r>
        <w:rPr>
          <w:rFonts w:ascii="仿宋" w:eastAsia="仿宋" w:hAnsi="仿宋"/>
          <w:sz w:val="32"/>
          <w:szCs w:val="32"/>
        </w:rPr>
        <w:t>加强财务管理，严格财务审核。进一步完善和改进各项财务制度，合理配置校内各项教育资源，提高学校财务管理的水平与效率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鼓</w:t>
      </w:r>
      <w:r>
        <w:rPr>
          <w:rFonts w:ascii="仿宋" w:eastAsia="仿宋" w:hAnsi="仿宋" w:hint="eastAsia"/>
          <w:sz w:val="32"/>
          <w:szCs w:val="32"/>
        </w:rPr>
        <w:t>励相关工作人员多参与业务培训及学习活动，面对新形势、新机遇和新挑战，进一步树立信心，理清思路，突出重点，勤奋工作，讲究实效，为提升业务水平而不懈努力。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九、其他需要说明的情况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ind w:firstLine="640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无。</w:t>
      </w:r>
    </w:p>
    <w:p w:rsidR="00110014" w:rsidRDefault="00A40FF5">
      <w:pPr>
        <w:pStyle w:val="a4"/>
        <w:widowControl/>
        <w:shd w:val="clear" w:color="auto" w:fill="FFFFFF"/>
        <w:spacing w:beforeAutospacing="0" w:after="75" w:afterAutospacing="0" w:line="520" w:lineRule="atLeast"/>
        <w:rPr>
          <w:rFonts w:ascii="Times New Roman" w:hAnsi="Times New Roman"/>
          <w:color w:val="3D3D3D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 </w:t>
      </w:r>
    </w:p>
    <w:p w:rsidR="00110014" w:rsidRDefault="00110014"/>
    <w:sectPr w:rsidR="00110014" w:rsidSect="009A2DEC">
      <w:pgSz w:w="11906" w:h="16838"/>
      <w:pgMar w:top="1531" w:right="1418" w:bottom="1531" w:left="179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599"/>
    <w:multiLevelType w:val="singleLevel"/>
    <w:tmpl w:val="6E66059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Q3MDg1MTUxYmI4MWEwMTRiNjE3YjM5YjI2NGMwMjcifQ=="/>
  </w:docVars>
  <w:rsids>
    <w:rsidRoot w:val="00110014"/>
    <w:rsid w:val="00110014"/>
    <w:rsid w:val="004A3C84"/>
    <w:rsid w:val="009A2DEC"/>
    <w:rsid w:val="00A40FF5"/>
    <w:rsid w:val="00AB72FE"/>
    <w:rsid w:val="00B505AC"/>
    <w:rsid w:val="00FE3184"/>
    <w:rsid w:val="15CD6797"/>
    <w:rsid w:val="1936313D"/>
    <w:rsid w:val="26FF0DC0"/>
    <w:rsid w:val="28983111"/>
    <w:rsid w:val="2D9A75CB"/>
    <w:rsid w:val="331D0713"/>
    <w:rsid w:val="3E722F8B"/>
    <w:rsid w:val="41E460D8"/>
    <w:rsid w:val="424505BB"/>
    <w:rsid w:val="44234760"/>
    <w:rsid w:val="45921C25"/>
    <w:rsid w:val="46B910DE"/>
    <w:rsid w:val="4C63431C"/>
    <w:rsid w:val="4E4D2898"/>
    <w:rsid w:val="5042118E"/>
    <w:rsid w:val="65C126CF"/>
    <w:rsid w:val="67F63DB0"/>
    <w:rsid w:val="681022D1"/>
    <w:rsid w:val="718B54B4"/>
    <w:rsid w:val="73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100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110014"/>
    <w:pPr>
      <w:spacing w:before="50"/>
      <w:ind w:left="1065"/>
      <w:outlineLvl w:val="1"/>
    </w:pPr>
    <w:rPr>
      <w:rFonts w:ascii="PMingLiU" w:eastAsia="PMingLiU" w:hAnsi="PMingLiU" w:cs="PMingLiU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rsid w:val="00110014"/>
    <w:pPr>
      <w:spacing w:before="240" w:after="60"/>
      <w:jc w:val="center"/>
      <w:outlineLvl w:val="0"/>
    </w:pPr>
    <w:rPr>
      <w:rFonts w:ascii="Arial" w:hAnsi="Arial"/>
      <w:b/>
      <w:bCs/>
      <w:szCs w:val="32"/>
    </w:rPr>
  </w:style>
  <w:style w:type="paragraph" w:styleId="a4">
    <w:name w:val="Normal (Web)"/>
    <w:basedOn w:val="a"/>
    <w:qFormat/>
    <w:rsid w:val="0011001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2024-06-30T01:56:00Z</cp:lastPrinted>
  <dcterms:created xsi:type="dcterms:W3CDTF">2024-07-10T01:21:00Z</dcterms:created>
  <dcterms:modified xsi:type="dcterms:W3CDTF">2024-06-30T01:58:00Z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729D11D2E3B04F1EA94EB4ACABF32ECC_12</vt:lpwstr>
  </property>
</Properties>
</file>