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E20C8">
      <w:pPr>
        <w:pStyle w:val="10"/>
        <w:jc w:val="center"/>
        <w:rPr>
          <w:sz w:val="56"/>
          <w:szCs w:val="56"/>
        </w:rPr>
      </w:pPr>
    </w:p>
    <w:p w14:paraId="779282C5">
      <w:pPr>
        <w:pStyle w:val="10"/>
        <w:jc w:val="center"/>
        <w:rPr>
          <w:sz w:val="56"/>
          <w:szCs w:val="56"/>
        </w:rPr>
      </w:pPr>
    </w:p>
    <w:p w14:paraId="169F9551">
      <w:pPr>
        <w:pStyle w:val="10"/>
        <w:jc w:val="center"/>
        <w:rPr>
          <w:sz w:val="84"/>
          <w:szCs w:val="84"/>
        </w:rPr>
      </w:pPr>
    </w:p>
    <w:p w14:paraId="016BBA71">
      <w:pPr>
        <w:pStyle w:val="10"/>
        <w:jc w:val="center"/>
        <w:rPr>
          <w:sz w:val="84"/>
          <w:szCs w:val="84"/>
        </w:rPr>
      </w:pPr>
    </w:p>
    <w:p w14:paraId="0B0423AD">
      <w:pPr>
        <w:pStyle w:val="10"/>
        <w:jc w:val="center"/>
        <w:rPr>
          <w:sz w:val="56"/>
          <w:szCs w:val="56"/>
        </w:rPr>
      </w:pPr>
      <w:r>
        <w:rPr>
          <w:rFonts w:hint="eastAsia"/>
          <w:sz w:val="56"/>
          <w:szCs w:val="56"/>
        </w:rPr>
        <w:t>202</w:t>
      </w:r>
      <w:r>
        <w:rPr>
          <w:rFonts w:hint="eastAsia"/>
          <w:sz w:val="56"/>
          <w:szCs w:val="56"/>
          <w:lang w:val="en-US" w:eastAsia="zh-CN"/>
        </w:rPr>
        <w:t>4</w:t>
      </w:r>
      <w:r>
        <w:rPr>
          <w:rFonts w:hint="eastAsia"/>
          <w:sz w:val="56"/>
          <w:szCs w:val="56"/>
        </w:rPr>
        <w:t>年度</w:t>
      </w:r>
    </w:p>
    <w:p w14:paraId="5690260A">
      <w:pPr>
        <w:widowControl/>
        <w:ind w:left="2800" w:hanging="2800" w:hangingChars="500"/>
        <w:jc w:val="center"/>
        <w:rPr>
          <w:rFonts w:eastAsia="方正小标宋_GBK"/>
          <w:bCs/>
          <w:kern w:val="0"/>
          <w:sz w:val="56"/>
          <w:szCs w:val="56"/>
        </w:rPr>
      </w:pPr>
      <w:r>
        <w:rPr>
          <w:rFonts w:hint="eastAsia" w:eastAsia="方正小标宋_GBK"/>
          <w:bCs/>
          <w:kern w:val="0"/>
          <w:sz w:val="56"/>
          <w:szCs w:val="56"/>
        </w:rPr>
        <w:t>怀化市委市政府机关幼儿园</w:t>
      </w:r>
    </w:p>
    <w:p w14:paraId="6C8C3BE4">
      <w:pPr>
        <w:widowControl/>
        <w:ind w:left="2800" w:hanging="2800" w:hangingChars="500"/>
        <w:jc w:val="center"/>
        <w:rPr>
          <w:rFonts w:eastAsia="方正小标宋_GBK"/>
          <w:bCs/>
          <w:kern w:val="0"/>
          <w:sz w:val="56"/>
          <w:szCs w:val="56"/>
        </w:rPr>
      </w:pPr>
      <w:r>
        <w:rPr>
          <w:rFonts w:hint="eastAsia" w:eastAsia="方正小标宋_GBK"/>
          <w:bCs/>
          <w:kern w:val="0"/>
          <w:sz w:val="56"/>
          <w:szCs w:val="56"/>
        </w:rPr>
        <w:t>部门决算</w:t>
      </w:r>
    </w:p>
    <w:p w14:paraId="3044FD72">
      <w:pPr>
        <w:pStyle w:val="10"/>
        <w:jc w:val="center"/>
        <w:rPr>
          <w:sz w:val="56"/>
          <w:szCs w:val="56"/>
        </w:rPr>
      </w:pPr>
    </w:p>
    <w:p w14:paraId="110A22E0">
      <w:pPr>
        <w:pStyle w:val="10"/>
        <w:jc w:val="center"/>
        <w:rPr>
          <w:sz w:val="56"/>
          <w:szCs w:val="56"/>
        </w:rPr>
      </w:pPr>
    </w:p>
    <w:p w14:paraId="2809187F">
      <w:pPr>
        <w:pStyle w:val="10"/>
        <w:jc w:val="center"/>
        <w:rPr>
          <w:sz w:val="56"/>
          <w:szCs w:val="56"/>
        </w:rPr>
      </w:pPr>
    </w:p>
    <w:p w14:paraId="2EC35A98">
      <w:pPr>
        <w:pStyle w:val="10"/>
        <w:jc w:val="center"/>
        <w:rPr>
          <w:sz w:val="56"/>
          <w:szCs w:val="56"/>
        </w:rPr>
      </w:pPr>
    </w:p>
    <w:p w14:paraId="3F9BC182">
      <w:pPr>
        <w:pStyle w:val="10"/>
        <w:jc w:val="center"/>
        <w:rPr>
          <w:sz w:val="56"/>
          <w:szCs w:val="56"/>
        </w:rPr>
      </w:pPr>
    </w:p>
    <w:p w14:paraId="18514822">
      <w:pPr>
        <w:pStyle w:val="10"/>
        <w:jc w:val="center"/>
        <w:rPr>
          <w:sz w:val="56"/>
          <w:szCs w:val="56"/>
        </w:rPr>
      </w:pPr>
    </w:p>
    <w:p w14:paraId="45FB6FF1">
      <w:pPr>
        <w:pStyle w:val="10"/>
        <w:jc w:val="center"/>
        <w:rPr>
          <w:sz w:val="56"/>
          <w:szCs w:val="56"/>
        </w:rPr>
      </w:pPr>
    </w:p>
    <w:p w14:paraId="1A422C78">
      <w:pPr>
        <w:pStyle w:val="10"/>
        <w:jc w:val="center"/>
        <w:rPr>
          <w:sz w:val="56"/>
          <w:szCs w:val="56"/>
        </w:rPr>
      </w:pPr>
    </w:p>
    <w:p w14:paraId="1C9FD3EB">
      <w:pPr>
        <w:pStyle w:val="10"/>
        <w:spacing w:line="520" w:lineRule="exact"/>
        <w:jc w:val="center"/>
        <w:rPr>
          <w:sz w:val="48"/>
          <w:szCs w:val="48"/>
        </w:rPr>
      </w:pPr>
      <w:r>
        <w:rPr>
          <w:rFonts w:hint="eastAsia"/>
          <w:sz w:val="48"/>
          <w:szCs w:val="48"/>
        </w:rPr>
        <w:t>目录</w:t>
      </w:r>
    </w:p>
    <w:p w14:paraId="7BDC8627">
      <w:pPr>
        <w:pStyle w:val="10"/>
        <w:spacing w:line="520" w:lineRule="exact"/>
        <w:rPr>
          <w:rFonts w:ascii="仿宋_GB2312" w:hAnsi="仿宋_GB2312" w:cs="仿宋_GB2312"/>
          <w:b/>
        </w:rPr>
      </w:pPr>
      <w:r>
        <w:rPr>
          <w:rFonts w:hint="eastAsia"/>
          <w:b/>
        </w:rPr>
        <w:t>第一部分机关幼儿园单位概况</w:t>
      </w:r>
    </w:p>
    <w:p w14:paraId="0BD6593B">
      <w:pPr>
        <w:pStyle w:val="10"/>
        <w:spacing w:line="520" w:lineRule="exact"/>
        <w:ind w:firstLine="600" w:firstLineChars="250"/>
        <w:rPr>
          <w:rFonts w:cs="仿宋_GB2312" w:asciiTheme="minorEastAsia" w:hAnsiTheme="minorEastAsia" w:eastAsiaTheme="minorEastAsia"/>
        </w:rPr>
      </w:pPr>
      <w:r>
        <w:rPr>
          <w:rFonts w:cs="仿宋_GB2312" w:asciiTheme="minorEastAsia" w:hAnsiTheme="minorEastAsia" w:eastAsiaTheme="minorEastAsia"/>
        </w:rPr>
        <w:t>一、部门职责</w:t>
      </w:r>
    </w:p>
    <w:p w14:paraId="017766CC">
      <w:pPr>
        <w:pStyle w:val="10"/>
        <w:spacing w:line="520" w:lineRule="exact"/>
        <w:ind w:firstLine="600" w:firstLineChars="250"/>
        <w:rPr>
          <w:rFonts w:cs="仿宋_GB2312" w:asciiTheme="minorEastAsia" w:hAnsiTheme="minorEastAsia" w:eastAsiaTheme="minorEastAsia"/>
        </w:rPr>
      </w:pPr>
      <w:r>
        <w:rPr>
          <w:rFonts w:cs="仿宋_GB2312" w:asciiTheme="minorEastAsia" w:hAnsiTheme="minorEastAsia" w:eastAsiaTheme="minorEastAsia"/>
        </w:rPr>
        <w:t>二、机构设置</w:t>
      </w:r>
    </w:p>
    <w:p w14:paraId="7F822275">
      <w:pPr>
        <w:pStyle w:val="10"/>
        <w:spacing w:line="520" w:lineRule="exact"/>
        <w:rPr>
          <w:rFonts w:ascii="仿宋_GB2312" w:hAnsi="仿宋_GB2312" w:cs="仿宋_GB2312"/>
          <w:b/>
        </w:rPr>
      </w:pPr>
      <w:r>
        <w:rPr>
          <w:rFonts w:hint="eastAsia" w:hAnsi="仿宋_GB2312"/>
          <w:b/>
        </w:rPr>
        <w:t>第二部分</w:t>
      </w:r>
      <w:r>
        <w:rPr>
          <w:rFonts w:hAnsi="仿宋_GB2312"/>
          <w:b/>
        </w:rPr>
        <w:t>20</w:t>
      </w:r>
      <w:r>
        <w:rPr>
          <w:rFonts w:hint="eastAsia" w:hAnsi="仿宋_GB2312"/>
          <w:b/>
        </w:rPr>
        <w:t>2</w:t>
      </w:r>
      <w:r>
        <w:rPr>
          <w:rFonts w:hint="eastAsia" w:hAnsi="仿宋_GB2312"/>
          <w:b/>
          <w:lang w:val="en-US" w:eastAsia="zh-CN"/>
        </w:rPr>
        <w:t>4</w:t>
      </w:r>
      <w:r>
        <w:rPr>
          <w:rFonts w:hint="eastAsia" w:hAnsi="仿宋_GB2312"/>
          <w:b/>
        </w:rPr>
        <w:t>年度部门决算表</w:t>
      </w:r>
    </w:p>
    <w:p w14:paraId="37F1BA8B">
      <w:pPr>
        <w:pStyle w:val="10"/>
        <w:spacing w:line="520" w:lineRule="exact"/>
        <w:ind w:firstLine="500" w:firstLineChars="250"/>
        <w:rPr>
          <w:rFonts w:cs="仿宋_GB2312" w:asciiTheme="minorEastAsia" w:hAnsiTheme="minorEastAsia" w:eastAsiaTheme="minorEastAsia"/>
          <w:sz w:val="20"/>
          <w:szCs w:val="20"/>
        </w:rPr>
      </w:pPr>
      <w:r>
        <w:rPr>
          <w:rFonts w:cs="仿宋_GB2312" w:asciiTheme="minorEastAsia" w:hAnsiTheme="minorEastAsia" w:eastAsiaTheme="minorEastAsia"/>
          <w:sz w:val="20"/>
          <w:szCs w:val="20"/>
        </w:rPr>
        <w:t>一、收入支出决算总表</w:t>
      </w:r>
    </w:p>
    <w:p w14:paraId="72D8FB7A">
      <w:pPr>
        <w:pStyle w:val="10"/>
        <w:spacing w:line="520" w:lineRule="exact"/>
        <w:ind w:firstLine="500" w:firstLineChars="250"/>
        <w:rPr>
          <w:rFonts w:cs="仿宋_GB2312" w:asciiTheme="minorEastAsia" w:hAnsiTheme="minorEastAsia" w:eastAsiaTheme="minorEastAsia"/>
          <w:sz w:val="20"/>
          <w:szCs w:val="20"/>
        </w:rPr>
      </w:pPr>
      <w:r>
        <w:rPr>
          <w:rFonts w:cs="仿宋_GB2312" w:asciiTheme="minorEastAsia" w:hAnsiTheme="minorEastAsia" w:eastAsiaTheme="minorEastAsia"/>
          <w:sz w:val="20"/>
          <w:szCs w:val="20"/>
        </w:rPr>
        <w:t>二、收入决算表</w:t>
      </w:r>
    </w:p>
    <w:p w14:paraId="3F48ABA9">
      <w:pPr>
        <w:pStyle w:val="10"/>
        <w:spacing w:line="520" w:lineRule="exact"/>
        <w:ind w:firstLine="500" w:firstLineChars="250"/>
        <w:rPr>
          <w:rFonts w:cs="仿宋_GB2312" w:asciiTheme="minorEastAsia" w:hAnsiTheme="minorEastAsia" w:eastAsiaTheme="minorEastAsia"/>
          <w:sz w:val="20"/>
          <w:szCs w:val="20"/>
        </w:rPr>
      </w:pPr>
      <w:r>
        <w:rPr>
          <w:rFonts w:cs="仿宋_GB2312" w:asciiTheme="minorEastAsia" w:hAnsiTheme="minorEastAsia" w:eastAsiaTheme="minorEastAsia"/>
          <w:sz w:val="20"/>
          <w:szCs w:val="20"/>
        </w:rPr>
        <w:t>三、支出决算表</w:t>
      </w:r>
    </w:p>
    <w:p w14:paraId="37918950">
      <w:pPr>
        <w:pStyle w:val="10"/>
        <w:spacing w:line="520" w:lineRule="exact"/>
        <w:ind w:firstLine="500" w:firstLineChars="250"/>
        <w:rPr>
          <w:rFonts w:cs="仿宋_GB2312" w:asciiTheme="minorEastAsia" w:hAnsiTheme="minorEastAsia" w:eastAsiaTheme="minorEastAsia"/>
          <w:sz w:val="20"/>
          <w:szCs w:val="20"/>
        </w:rPr>
      </w:pPr>
      <w:r>
        <w:rPr>
          <w:rFonts w:cs="仿宋_GB2312" w:asciiTheme="minorEastAsia" w:hAnsiTheme="minorEastAsia" w:eastAsiaTheme="minorEastAsia"/>
          <w:sz w:val="20"/>
          <w:szCs w:val="20"/>
        </w:rPr>
        <w:t>四、财政拨款收入支出决算总表</w:t>
      </w:r>
    </w:p>
    <w:p w14:paraId="53966641">
      <w:pPr>
        <w:pStyle w:val="10"/>
        <w:spacing w:line="520" w:lineRule="exact"/>
        <w:ind w:firstLine="500" w:firstLineChars="250"/>
        <w:rPr>
          <w:rFonts w:cs="仿宋_GB2312" w:asciiTheme="minorEastAsia" w:hAnsiTheme="minorEastAsia" w:eastAsiaTheme="minorEastAsia"/>
          <w:sz w:val="20"/>
          <w:szCs w:val="20"/>
        </w:rPr>
      </w:pPr>
      <w:r>
        <w:rPr>
          <w:rFonts w:cs="仿宋_GB2312" w:asciiTheme="minorEastAsia" w:hAnsiTheme="minorEastAsia" w:eastAsiaTheme="minorEastAsia"/>
          <w:sz w:val="20"/>
          <w:szCs w:val="20"/>
        </w:rPr>
        <w:t>五、一般公共预算财政拨款支出决算表</w:t>
      </w:r>
    </w:p>
    <w:p w14:paraId="640455AD">
      <w:pPr>
        <w:pStyle w:val="10"/>
        <w:spacing w:line="520" w:lineRule="exact"/>
        <w:ind w:firstLine="500" w:firstLineChars="250"/>
        <w:rPr>
          <w:rFonts w:cs="仿宋_GB2312" w:asciiTheme="minorEastAsia" w:hAnsiTheme="minorEastAsia" w:eastAsiaTheme="minorEastAsia"/>
          <w:sz w:val="20"/>
          <w:szCs w:val="20"/>
        </w:rPr>
      </w:pPr>
      <w:r>
        <w:rPr>
          <w:rFonts w:cs="仿宋_GB2312" w:asciiTheme="minorEastAsia" w:hAnsiTheme="minorEastAsia" w:eastAsiaTheme="minorEastAsia"/>
          <w:sz w:val="20"/>
          <w:szCs w:val="20"/>
        </w:rPr>
        <w:t>六、一般公共预算财政拨款基本支出决算表</w:t>
      </w:r>
    </w:p>
    <w:p w14:paraId="59625348">
      <w:pPr>
        <w:pStyle w:val="10"/>
        <w:spacing w:line="520" w:lineRule="exact"/>
        <w:ind w:firstLine="500" w:firstLineChars="250"/>
        <w:rPr>
          <w:rFonts w:cs="仿宋_GB2312" w:asciiTheme="minorEastAsia" w:hAnsiTheme="minorEastAsia" w:eastAsiaTheme="minorEastAsia"/>
          <w:sz w:val="20"/>
          <w:szCs w:val="20"/>
        </w:rPr>
      </w:pPr>
      <w:r>
        <w:rPr>
          <w:rFonts w:cs="仿宋_GB2312" w:asciiTheme="minorEastAsia" w:hAnsiTheme="minorEastAsia" w:eastAsiaTheme="minorEastAsia"/>
          <w:sz w:val="20"/>
          <w:szCs w:val="20"/>
        </w:rPr>
        <w:t>七、一般公共预算财政拨款“三公”经费支出决算表</w:t>
      </w:r>
    </w:p>
    <w:p w14:paraId="5F143A3B">
      <w:pPr>
        <w:pStyle w:val="10"/>
        <w:spacing w:line="520" w:lineRule="exact"/>
        <w:ind w:firstLine="500" w:firstLineChars="250"/>
        <w:rPr>
          <w:rFonts w:cs="仿宋_GB2312" w:asciiTheme="minorEastAsia" w:hAnsiTheme="minorEastAsia" w:eastAsiaTheme="minorEastAsia"/>
          <w:sz w:val="20"/>
          <w:szCs w:val="20"/>
        </w:rPr>
      </w:pPr>
      <w:r>
        <w:rPr>
          <w:rFonts w:cs="仿宋_GB2312" w:asciiTheme="minorEastAsia" w:hAnsiTheme="minorEastAsia" w:eastAsiaTheme="minorEastAsia"/>
          <w:sz w:val="20"/>
          <w:szCs w:val="20"/>
        </w:rPr>
        <w:t>八、政府性基金预算财政拨款收入支出决算表</w:t>
      </w:r>
    </w:p>
    <w:p w14:paraId="2FFE74A5">
      <w:pPr>
        <w:pStyle w:val="10"/>
        <w:spacing w:line="52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w:t>
      </w:r>
      <w:r>
        <w:rPr>
          <w:rFonts w:hint="eastAsia" w:hAnsi="仿宋_GB2312"/>
          <w:b/>
          <w:sz w:val="28"/>
          <w:szCs w:val="28"/>
          <w:lang w:val="en-US" w:eastAsia="zh-CN"/>
        </w:rPr>
        <w:t>4</w:t>
      </w:r>
      <w:r>
        <w:rPr>
          <w:rFonts w:hint="eastAsia" w:hAnsi="仿宋_GB2312"/>
          <w:b/>
          <w:sz w:val="28"/>
          <w:szCs w:val="28"/>
        </w:rPr>
        <w:t>年度部门决算情况说明</w:t>
      </w:r>
    </w:p>
    <w:p w14:paraId="79719621">
      <w:pPr>
        <w:pStyle w:val="10"/>
        <w:spacing w:line="520" w:lineRule="exact"/>
        <w:ind w:firstLine="500" w:firstLineChars="250"/>
        <w:rPr>
          <w:rFonts w:cs="仿宋_GB2312" w:asciiTheme="minorEastAsia" w:hAnsiTheme="minorEastAsia" w:eastAsiaTheme="minorEastAsia"/>
          <w:sz w:val="20"/>
          <w:szCs w:val="20"/>
        </w:rPr>
      </w:pPr>
      <w:r>
        <w:rPr>
          <w:rFonts w:cs="仿宋_GB2312" w:asciiTheme="minorEastAsia" w:hAnsiTheme="minorEastAsia" w:eastAsiaTheme="minorEastAsia"/>
          <w:sz w:val="20"/>
          <w:szCs w:val="20"/>
        </w:rPr>
        <w:t>一、收入支出决算总体情况说明</w:t>
      </w:r>
    </w:p>
    <w:p w14:paraId="68C3EDBF">
      <w:pPr>
        <w:spacing w:line="520" w:lineRule="exact"/>
        <w:ind w:firstLine="500" w:firstLineChars="250"/>
        <w:jc w:val="left"/>
        <w:rPr>
          <w:rFonts w:ascii="仿宋_GB2312" w:hAnsi="仿宋_GB2312" w:cs="仿宋_GB2312"/>
          <w:sz w:val="20"/>
          <w:szCs w:val="20"/>
        </w:rPr>
      </w:pPr>
      <w:r>
        <w:rPr>
          <w:rFonts w:ascii="仿宋_GB2312" w:hAnsi="仿宋_GB2312" w:cs="仿宋_GB2312"/>
          <w:sz w:val="20"/>
          <w:szCs w:val="20"/>
        </w:rPr>
        <w:t>二、收入决算情况说明</w:t>
      </w:r>
    </w:p>
    <w:p w14:paraId="0A094DB8">
      <w:pPr>
        <w:autoSpaceDE w:val="0"/>
        <w:autoSpaceDN w:val="0"/>
        <w:adjustRightInd w:val="0"/>
        <w:spacing w:line="520" w:lineRule="exact"/>
        <w:ind w:firstLine="500" w:firstLineChars="250"/>
        <w:jc w:val="left"/>
        <w:rPr>
          <w:rFonts w:ascii="仿宋_GB2312" w:hAnsi="仿宋_GB2312" w:cs="仿宋_GB2312"/>
          <w:color w:val="000000"/>
          <w:kern w:val="0"/>
          <w:sz w:val="20"/>
          <w:szCs w:val="20"/>
        </w:rPr>
      </w:pPr>
      <w:r>
        <w:rPr>
          <w:rFonts w:ascii="仿宋_GB2312" w:hAnsi="仿宋_GB2312" w:cs="仿宋_GB2312"/>
          <w:color w:val="000000"/>
          <w:kern w:val="0"/>
          <w:sz w:val="20"/>
          <w:szCs w:val="20"/>
        </w:rPr>
        <w:t>三、支出决算情况说明</w:t>
      </w:r>
    </w:p>
    <w:p w14:paraId="11D186C0">
      <w:pPr>
        <w:autoSpaceDE w:val="0"/>
        <w:autoSpaceDN w:val="0"/>
        <w:adjustRightInd w:val="0"/>
        <w:spacing w:line="520" w:lineRule="exact"/>
        <w:ind w:firstLine="500" w:firstLineChars="250"/>
        <w:jc w:val="left"/>
        <w:rPr>
          <w:rFonts w:ascii="仿宋_GB2312" w:hAnsi="仿宋_GB2312" w:cs="仿宋_GB2312"/>
          <w:color w:val="000000"/>
          <w:kern w:val="0"/>
          <w:sz w:val="20"/>
          <w:szCs w:val="20"/>
        </w:rPr>
      </w:pPr>
      <w:r>
        <w:rPr>
          <w:rFonts w:ascii="仿宋_GB2312" w:hAnsi="仿宋_GB2312" w:cs="仿宋_GB2312"/>
          <w:color w:val="000000"/>
          <w:kern w:val="0"/>
          <w:sz w:val="20"/>
          <w:szCs w:val="20"/>
        </w:rPr>
        <w:t>四、财政拨款收入支出决算总体情况说明</w:t>
      </w:r>
    </w:p>
    <w:p w14:paraId="51F57BD7">
      <w:pPr>
        <w:autoSpaceDE w:val="0"/>
        <w:autoSpaceDN w:val="0"/>
        <w:adjustRightInd w:val="0"/>
        <w:spacing w:line="520" w:lineRule="exact"/>
        <w:ind w:firstLine="500" w:firstLineChars="250"/>
        <w:jc w:val="left"/>
        <w:rPr>
          <w:rFonts w:ascii="仿宋_GB2312" w:hAnsi="仿宋_GB2312" w:cs="仿宋_GB2312"/>
          <w:color w:val="000000"/>
          <w:kern w:val="0"/>
          <w:sz w:val="20"/>
          <w:szCs w:val="20"/>
        </w:rPr>
      </w:pPr>
      <w:r>
        <w:rPr>
          <w:rFonts w:ascii="仿宋_GB2312" w:hAnsi="仿宋_GB2312" w:cs="仿宋_GB2312"/>
          <w:color w:val="000000"/>
          <w:kern w:val="0"/>
          <w:sz w:val="20"/>
          <w:szCs w:val="20"/>
        </w:rPr>
        <w:t>五、一般公共预算财政拨款支出决算情况说明</w:t>
      </w:r>
    </w:p>
    <w:p w14:paraId="530EFE08">
      <w:pPr>
        <w:autoSpaceDE w:val="0"/>
        <w:autoSpaceDN w:val="0"/>
        <w:adjustRightInd w:val="0"/>
        <w:spacing w:line="520" w:lineRule="exact"/>
        <w:ind w:firstLine="500" w:firstLineChars="250"/>
        <w:jc w:val="left"/>
        <w:rPr>
          <w:rFonts w:ascii="仿宋_GB2312" w:hAnsi="仿宋_GB2312" w:cs="仿宋_GB2312"/>
          <w:color w:val="000000"/>
          <w:kern w:val="0"/>
          <w:sz w:val="20"/>
          <w:szCs w:val="20"/>
        </w:rPr>
      </w:pPr>
      <w:r>
        <w:rPr>
          <w:rFonts w:ascii="仿宋_GB2312" w:hAnsi="仿宋_GB2312" w:cs="仿宋_GB2312"/>
          <w:color w:val="000000"/>
          <w:kern w:val="0"/>
          <w:sz w:val="20"/>
          <w:szCs w:val="20"/>
        </w:rPr>
        <w:t>六、一般公共预算财政拨款基本支出决算情况说明</w:t>
      </w:r>
    </w:p>
    <w:p w14:paraId="081E80A9">
      <w:pPr>
        <w:autoSpaceDE w:val="0"/>
        <w:autoSpaceDN w:val="0"/>
        <w:adjustRightInd w:val="0"/>
        <w:spacing w:line="520" w:lineRule="exact"/>
        <w:ind w:firstLine="500" w:firstLineChars="250"/>
        <w:jc w:val="left"/>
        <w:rPr>
          <w:rFonts w:ascii="仿宋_GB2312" w:hAnsi="仿宋_GB2312" w:cs="仿宋_GB2312"/>
          <w:color w:val="000000"/>
          <w:kern w:val="0"/>
          <w:sz w:val="20"/>
          <w:szCs w:val="20"/>
        </w:rPr>
      </w:pPr>
      <w:r>
        <w:rPr>
          <w:rFonts w:ascii="仿宋_GB2312" w:hAnsi="仿宋_GB2312" w:cs="仿宋_GB2312"/>
          <w:color w:val="000000"/>
          <w:kern w:val="0"/>
          <w:sz w:val="20"/>
          <w:szCs w:val="20"/>
        </w:rPr>
        <w:t>七、一般公共预算财政拨款三公经费支出决算情况说明</w:t>
      </w:r>
    </w:p>
    <w:p w14:paraId="63944567">
      <w:pPr>
        <w:autoSpaceDE w:val="0"/>
        <w:autoSpaceDN w:val="0"/>
        <w:adjustRightInd w:val="0"/>
        <w:spacing w:line="520" w:lineRule="exact"/>
        <w:ind w:firstLine="500" w:firstLineChars="250"/>
        <w:jc w:val="left"/>
        <w:rPr>
          <w:rFonts w:ascii="仿宋_GB2312" w:hAnsi="仿宋_GB2312" w:cs="仿宋_GB2312"/>
          <w:color w:val="000000"/>
          <w:kern w:val="0"/>
          <w:sz w:val="20"/>
          <w:szCs w:val="20"/>
        </w:rPr>
      </w:pPr>
      <w:r>
        <w:rPr>
          <w:rFonts w:hint="eastAsia" w:ascii="仿宋_GB2312" w:hAnsi="仿宋_GB2312" w:cs="仿宋_GB2312"/>
          <w:color w:val="000000"/>
          <w:kern w:val="0"/>
          <w:sz w:val="20"/>
          <w:szCs w:val="20"/>
        </w:rPr>
        <w:t>八</w:t>
      </w:r>
      <w:r>
        <w:rPr>
          <w:rFonts w:ascii="仿宋_GB2312" w:hAnsi="仿宋_GB2312" w:cs="仿宋_GB2312"/>
          <w:color w:val="000000"/>
          <w:kern w:val="0"/>
          <w:sz w:val="20"/>
          <w:szCs w:val="20"/>
        </w:rPr>
        <w:t>、</w:t>
      </w:r>
      <w:r>
        <w:rPr>
          <w:rFonts w:hint="eastAsia" w:ascii="仿宋_GB2312" w:hAnsi="仿宋_GB2312" w:cs="仿宋_GB2312"/>
          <w:color w:val="000000"/>
          <w:kern w:val="0"/>
          <w:sz w:val="20"/>
          <w:szCs w:val="20"/>
        </w:rPr>
        <w:t>政府性基金预算收入支出决算情况</w:t>
      </w:r>
    </w:p>
    <w:p w14:paraId="2ECAEB8B">
      <w:pPr>
        <w:pStyle w:val="5"/>
        <w:widowControl/>
        <w:numPr>
          <w:ilvl w:val="0"/>
          <w:numId w:val="0"/>
        </w:numPr>
        <w:spacing w:line="240" w:lineRule="atLeast"/>
        <w:ind w:left="560" w:leftChars="0"/>
        <w:jc w:val="both"/>
        <w:rPr>
          <w:rFonts w:hint="eastAsia" w:ascii="宋体" w:hAnsi="宋体" w:cs="仿宋_GB2312"/>
          <w:color w:val="000000"/>
          <w:sz w:val="20"/>
          <w:szCs w:val="20"/>
          <w:lang w:eastAsia="zh-CN"/>
        </w:rPr>
      </w:pPr>
      <w:r>
        <w:rPr>
          <w:rFonts w:hint="eastAsia" w:ascii="仿宋_GB2312" w:hAnsi="仿宋_GB2312" w:cs="仿宋_GB2312"/>
          <w:color w:val="000000"/>
          <w:kern w:val="0"/>
          <w:sz w:val="20"/>
          <w:szCs w:val="20"/>
        </w:rPr>
        <w:t>九</w:t>
      </w:r>
      <w:r>
        <w:rPr>
          <w:rFonts w:ascii="仿宋_GB2312" w:hAnsi="仿宋_GB2312" w:cs="仿宋_GB2312"/>
          <w:color w:val="000000"/>
          <w:kern w:val="0"/>
          <w:sz w:val="20"/>
          <w:szCs w:val="20"/>
        </w:rPr>
        <w:t>、</w:t>
      </w:r>
      <w:r>
        <w:rPr>
          <w:rFonts w:hint="eastAsia" w:ascii="宋体" w:hAnsi="宋体" w:cs="仿宋_GB2312"/>
          <w:color w:val="000000"/>
          <w:sz w:val="20"/>
          <w:szCs w:val="20"/>
        </w:rPr>
        <w:t>国有资本经营预算财政拨款收入支出决算</w:t>
      </w:r>
      <w:r>
        <w:rPr>
          <w:rFonts w:hint="eastAsia" w:ascii="宋体" w:hAnsi="宋体" w:cs="仿宋_GB2312"/>
          <w:color w:val="000000"/>
          <w:sz w:val="20"/>
          <w:szCs w:val="20"/>
          <w:lang w:eastAsia="zh-CN"/>
        </w:rPr>
        <w:t>情况说明</w:t>
      </w:r>
    </w:p>
    <w:p w14:paraId="7D76B7DC">
      <w:pPr>
        <w:pStyle w:val="5"/>
        <w:widowControl/>
        <w:numPr>
          <w:ilvl w:val="0"/>
          <w:numId w:val="0"/>
        </w:numPr>
        <w:spacing w:line="240" w:lineRule="atLeast"/>
        <w:ind w:left="560" w:leftChars="0"/>
        <w:jc w:val="both"/>
        <w:rPr>
          <w:rFonts w:ascii="仿宋_GB2312" w:hAnsi="仿宋_GB2312" w:cs="仿宋_GB2312"/>
          <w:color w:val="000000"/>
          <w:kern w:val="0"/>
          <w:sz w:val="20"/>
          <w:szCs w:val="20"/>
        </w:rPr>
      </w:pPr>
      <w:r>
        <w:rPr>
          <w:rFonts w:hint="eastAsia" w:ascii="仿宋_GB2312" w:hAnsi="仿宋_GB2312" w:cs="仿宋_GB2312"/>
          <w:color w:val="000000"/>
          <w:kern w:val="0"/>
          <w:sz w:val="20"/>
          <w:szCs w:val="20"/>
          <w:lang w:eastAsia="zh-CN"/>
        </w:rPr>
        <w:t>十、</w:t>
      </w:r>
      <w:r>
        <w:rPr>
          <w:rFonts w:ascii="仿宋_GB2312" w:hAnsi="仿宋_GB2312" w:cs="仿宋_GB2312"/>
          <w:color w:val="000000"/>
          <w:kern w:val="0"/>
          <w:sz w:val="20"/>
          <w:szCs w:val="20"/>
        </w:rPr>
        <w:t>预算绩效情况说明</w:t>
      </w:r>
    </w:p>
    <w:p w14:paraId="6A51A4D3">
      <w:pPr>
        <w:pStyle w:val="5"/>
        <w:widowControl/>
        <w:numPr>
          <w:ilvl w:val="0"/>
          <w:numId w:val="0"/>
        </w:numPr>
        <w:spacing w:line="240" w:lineRule="atLeast"/>
        <w:ind w:left="560" w:leftChars="0"/>
        <w:jc w:val="both"/>
        <w:rPr>
          <w:rFonts w:ascii="仿宋_GB2312" w:hAnsi="仿宋_GB2312" w:cs="仿宋_GB2312"/>
          <w:color w:val="000000"/>
          <w:kern w:val="0"/>
          <w:sz w:val="20"/>
          <w:szCs w:val="20"/>
        </w:rPr>
      </w:pPr>
      <w:r>
        <w:rPr>
          <w:rFonts w:hint="eastAsia" w:ascii="仿宋_GB2312" w:hAnsi="仿宋_GB2312" w:cs="仿宋_GB2312"/>
          <w:color w:val="000000"/>
          <w:kern w:val="0"/>
          <w:sz w:val="20"/>
          <w:szCs w:val="20"/>
        </w:rPr>
        <w:t>十</w:t>
      </w:r>
      <w:r>
        <w:rPr>
          <w:rFonts w:hint="eastAsia" w:ascii="仿宋_GB2312" w:hAnsi="仿宋_GB2312" w:cs="仿宋_GB2312"/>
          <w:color w:val="000000"/>
          <w:kern w:val="0"/>
          <w:sz w:val="20"/>
          <w:szCs w:val="20"/>
          <w:lang w:eastAsia="zh-CN"/>
        </w:rPr>
        <w:t>一</w:t>
      </w:r>
      <w:r>
        <w:rPr>
          <w:rFonts w:ascii="仿宋_GB2312" w:hAnsi="仿宋_GB2312" w:cs="仿宋_GB2312"/>
          <w:color w:val="000000"/>
          <w:kern w:val="0"/>
          <w:sz w:val="20"/>
          <w:szCs w:val="20"/>
        </w:rPr>
        <w:t>、其他重要事项情况说明</w:t>
      </w:r>
    </w:p>
    <w:p w14:paraId="497CAB25">
      <w:pPr>
        <w:autoSpaceDE w:val="0"/>
        <w:autoSpaceDN w:val="0"/>
        <w:adjustRightInd w:val="0"/>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第四部分名词解释</w:t>
      </w:r>
    </w:p>
    <w:p w14:paraId="0865D142">
      <w:pPr>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第五部分附件</w:t>
      </w:r>
    </w:p>
    <w:p w14:paraId="5AD1EE0A">
      <w:pPr>
        <w:jc w:val="center"/>
        <w:rPr>
          <w:sz w:val="72"/>
          <w:szCs w:val="72"/>
        </w:rPr>
      </w:pPr>
    </w:p>
    <w:p w14:paraId="783BD415">
      <w:pPr>
        <w:jc w:val="center"/>
        <w:rPr>
          <w:sz w:val="72"/>
          <w:szCs w:val="72"/>
        </w:rPr>
      </w:pPr>
    </w:p>
    <w:p w14:paraId="4470027E">
      <w:pPr>
        <w:jc w:val="center"/>
        <w:rPr>
          <w:sz w:val="72"/>
          <w:szCs w:val="72"/>
        </w:rPr>
      </w:pPr>
    </w:p>
    <w:p w14:paraId="0B2FF692">
      <w:pPr>
        <w:jc w:val="center"/>
        <w:rPr>
          <w:sz w:val="72"/>
          <w:szCs w:val="72"/>
        </w:rPr>
      </w:pPr>
    </w:p>
    <w:p w14:paraId="02BB7A63">
      <w:pPr>
        <w:rPr>
          <w:sz w:val="72"/>
          <w:szCs w:val="72"/>
        </w:rPr>
      </w:pPr>
    </w:p>
    <w:p w14:paraId="3F422F88">
      <w:pPr>
        <w:rPr>
          <w:sz w:val="72"/>
          <w:szCs w:val="72"/>
        </w:rPr>
      </w:pPr>
    </w:p>
    <w:p w14:paraId="0D390E1D">
      <w:pPr>
        <w:rPr>
          <w:sz w:val="72"/>
          <w:szCs w:val="72"/>
        </w:rPr>
      </w:pPr>
    </w:p>
    <w:p w14:paraId="2E87FBC4">
      <w:pPr>
        <w:rPr>
          <w:sz w:val="72"/>
          <w:szCs w:val="72"/>
        </w:rPr>
      </w:pPr>
    </w:p>
    <w:p w14:paraId="5D95C4A4">
      <w:pPr>
        <w:pStyle w:val="10"/>
        <w:jc w:val="center"/>
        <w:rPr>
          <w:sz w:val="56"/>
          <w:szCs w:val="56"/>
        </w:rPr>
      </w:pPr>
      <w:r>
        <w:rPr>
          <w:rFonts w:hint="eastAsia"/>
          <w:sz w:val="56"/>
          <w:szCs w:val="56"/>
        </w:rPr>
        <w:t>第一部分</w:t>
      </w:r>
      <w:r>
        <w:rPr>
          <w:sz w:val="56"/>
          <w:szCs w:val="56"/>
        </w:rPr>
        <w:t xml:space="preserve"> </w:t>
      </w:r>
    </w:p>
    <w:p w14:paraId="4C39C37E">
      <w:pPr>
        <w:pStyle w:val="10"/>
        <w:jc w:val="center"/>
        <w:rPr>
          <w:sz w:val="56"/>
          <w:szCs w:val="56"/>
        </w:rPr>
      </w:pPr>
    </w:p>
    <w:p w14:paraId="0C6E05C3">
      <w:pPr>
        <w:pStyle w:val="10"/>
        <w:jc w:val="center"/>
        <w:rPr>
          <w:sz w:val="56"/>
          <w:szCs w:val="56"/>
        </w:rPr>
      </w:pPr>
      <w:r>
        <w:rPr>
          <w:rFonts w:hint="eastAsia"/>
          <w:sz w:val="56"/>
          <w:szCs w:val="56"/>
        </w:rPr>
        <w:t>机关幼儿园概况</w:t>
      </w:r>
    </w:p>
    <w:p w14:paraId="71B96A2D">
      <w:pPr>
        <w:jc w:val="center"/>
        <w:rPr>
          <w:sz w:val="72"/>
          <w:szCs w:val="72"/>
        </w:rPr>
      </w:pPr>
    </w:p>
    <w:p w14:paraId="5E79C8CA">
      <w:pPr>
        <w:jc w:val="center"/>
        <w:rPr>
          <w:sz w:val="72"/>
          <w:szCs w:val="72"/>
        </w:rPr>
      </w:pPr>
    </w:p>
    <w:p w14:paraId="57ED6AD5">
      <w:pPr>
        <w:jc w:val="center"/>
        <w:rPr>
          <w:sz w:val="72"/>
          <w:szCs w:val="72"/>
        </w:rPr>
      </w:pPr>
    </w:p>
    <w:p w14:paraId="5BBCCBBA">
      <w:pPr>
        <w:jc w:val="center"/>
        <w:rPr>
          <w:sz w:val="72"/>
          <w:szCs w:val="72"/>
        </w:rPr>
      </w:pPr>
    </w:p>
    <w:p w14:paraId="398028A2">
      <w:pPr>
        <w:jc w:val="center"/>
        <w:rPr>
          <w:sz w:val="72"/>
          <w:szCs w:val="72"/>
        </w:rPr>
      </w:pPr>
    </w:p>
    <w:p w14:paraId="73AFADB9">
      <w:pPr>
        <w:jc w:val="center"/>
        <w:rPr>
          <w:sz w:val="72"/>
          <w:szCs w:val="72"/>
        </w:rPr>
      </w:pPr>
    </w:p>
    <w:p w14:paraId="12DA5164">
      <w:pPr>
        <w:jc w:val="center"/>
        <w:rPr>
          <w:sz w:val="72"/>
          <w:szCs w:val="72"/>
        </w:rPr>
      </w:pPr>
    </w:p>
    <w:p w14:paraId="6F2D2FA9">
      <w:pPr>
        <w:pStyle w:val="11"/>
        <w:ind w:left="720" w:firstLine="0" w:firstLineChars="0"/>
        <w:jc w:val="left"/>
        <w:rPr>
          <w:rFonts w:ascii="黑体" w:hAnsi="黑体" w:eastAsia="黑体"/>
          <w:sz w:val="32"/>
          <w:szCs w:val="32"/>
        </w:rPr>
      </w:pPr>
    </w:p>
    <w:p w14:paraId="36A6CB8B">
      <w:pPr>
        <w:pStyle w:val="11"/>
        <w:numPr>
          <w:ilvl w:val="0"/>
          <w:numId w:val="1"/>
        </w:numPr>
        <w:ind w:firstLineChars="0"/>
        <w:jc w:val="left"/>
        <w:rPr>
          <w:rFonts w:ascii="宋体" w:hAnsi="宋体" w:eastAsia="宋体"/>
          <w:sz w:val="28"/>
          <w:szCs w:val="28"/>
        </w:rPr>
      </w:pPr>
      <w:r>
        <w:rPr>
          <w:rFonts w:ascii="宋体" w:hAnsi="宋体" w:eastAsia="宋体"/>
          <w:sz w:val="28"/>
          <w:szCs w:val="28"/>
        </w:rPr>
        <w:t>部门职责</w:t>
      </w:r>
    </w:p>
    <w:p w14:paraId="1971BE26">
      <w:pPr>
        <w:ind w:firstLine="420" w:firstLineChars="150"/>
        <w:rPr>
          <w:rFonts w:ascii="宋体"/>
          <w:sz w:val="28"/>
          <w:szCs w:val="28"/>
        </w:rPr>
      </w:pPr>
      <w:r>
        <w:rPr>
          <w:rFonts w:hint="eastAsia" w:asciiTheme="minorEastAsia" w:hAnsiTheme="minorEastAsia"/>
          <w:sz w:val="28"/>
          <w:szCs w:val="28"/>
        </w:rPr>
        <w:t>怀化市委市政府机关幼儿园</w:t>
      </w:r>
      <w:r>
        <w:rPr>
          <w:rFonts w:hint="eastAsia" w:ascii="宋体" w:hAnsi="宋体"/>
          <w:sz w:val="28"/>
          <w:szCs w:val="28"/>
        </w:rPr>
        <w:t>认真贯彻执行党和国家的有关法律法规、方针、政策，坚持民主管理，依法办园，执行上级主管部门的指示和决定。实行保育和教育相结合的原则，对幼儿实施体、智、德、美诸方面全面发展的教育，促进其身心和谐发展。为家长解除后顾之忧，热忱为家长服务，向家长开展多种形式的早期教育宣传、指导等服务，促进家庭教育质量的不断提高。</w:t>
      </w:r>
    </w:p>
    <w:p w14:paraId="5B01DC88">
      <w:pPr>
        <w:ind w:firstLine="280" w:firstLineChars="100"/>
        <w:jc w:val="left"/>
        <w:rPr>
          <w:rFonts w:ascii="宋体" w:hAnsi="宋体" w:eastAsia="宋体"/>
          <w:sz w:val="28"/>
          <w:szCs w:val="28"/>
        </w:rPr>
      </w:pPr>
      <w:r>
        <w:rPr>
          <w:rFonts w:hint="eastAsia" w:ascii="宋体" w:hAnsi="宋体" w:eastAsia="宋体"/>
          <w:bCs/>
          <w:kern w:val="0"/>
          <w:sz w:val="28"/>
          <w:szCs w:val="28"/>
        </w:rPr>
        <w:t>二、机构设置及决算单位构成</w:t>
      </w:r>
    </w:p>
    <w:p w14:paraId="2FE90537">
      <w:pPr>
        <w:rPr>
          <w:sz w:val="28"/>
          <w:szCs w:val="28"/>
        </w:rPr>
      </w:pPr>
      <w:r>
        <w:rPr>
          <w:rFonts w:hint="eastAsia"/>
          <w:sz w:val="28"/>
          <w:szCs w:val="28"/>
        </w:rPr>
        <w:t>（一）内设机构设置。怀化市委市政府机关幼儿园内设机构包括办公室、保教部、财务室、保健室及炊事班。</w:t>
      </w:r>
    </w:p>
    <w:p w14:paraId="088C1276">
      <w:pPr>
        <w:rPr>
          <w:sz w:val="28"/>
          <w:szCs w:val="28"/>
        </w:rPr>
      </w:pPr>
      <w:r>
        <w:rPr>
          <w:rFonts w:hint="eastAsia"/>
          <w:sz w:val="28"/>
          <w:szCs w:val="28"/>
        </w:rPr>
        <w:t>（二）决算单位构成。市委市政府机关幼儿园</w:t>
      </w:r>
      <w:r>
        <w:rPr>
          <w:sz w:val="28"/>
          <w:szCs w:val="28"/>
        </w:rPr>
        <w:t>20</w:t>
      </w:r>
      <w:r>
        <w:rPr>
          <w:rFonts w:hint="eastAsia"/>
          <w:sz w:val="28"/>
          <w:szCs w:val="28"/>
        </w:rPr>
        <w:t>2</w:t>
      </w:r>
      <w:r>
        <w:rPr>
          <w:rFonts w:hint="eastAsia"/>
          <w:sz w:val="28"/>
          <w:szCs w:val="28"/>
          <w:lang w:val="en-US" w:eastAsia="zh-CN"/>
        </w:rPr>
        <w:t>4</w:t>
      </w:r>
      <w:r>
        <w:rPr>
          <w:rFonts w:hint="eastAsia"/>
          <w:sz w:val="28"/>
          <w:szCs w:val="28"/>
        </w:rPr>
        <w:t>年部门决算汇总公开单位构成包括：怀化市委市政府机关幼儿园市本级，为一级部门预算单位。</w:t>
      </w:r>
    </w:p>
    <w:p w14:paraId="243041D8">
      <w:pPr>
        <w:jc w:val="left"/>
        <w:rPr>
          <w:rFonts w:ascii="仿宋_GB2312" w:eastAsia="仿宋_GB2312" w:hAnsiTheme="minorEastAsia"/>
          <w:sz w:val="28"/>
          <w:szCs w:val="32"/>
        </w:rPr>
      </w:pPr>
    </w:p>
    <w:p w14:paraId="2690A763">
      <w:pPr>
        <w:jc w:val="center"/>
        <w:rPr>
          <w:rFonts w:ascii="黑体" w:hAnsi="黑体" w:eastAsia="黑体"/>
          <w:sz w:val="28"/>
          <w:szCs w:val="28"/>
        </w:rPr>
      </w:pPr>
    </w:p>
    <w:p w14:paraId="7435BC84">
      <w:pPr>
        <w:jc w:val="center"/>
        <w:rPr>
          <w:rFonts w:ascii="黑体" w:hAnsi="黑体" w:eastAsia="黑体"/>
          <w:sz w:val="28"/>
          <w:szCs w:val="28"/>
        </w:rPr>
      </w:pPr>
    </w:p>
    <w:p w14:paraId="7D98DB6A">
      <w:pPr>
        <w:jc w:val="center"/>
        <w:rPr>
          <w:rFonts w:ascii="黑体" w:hAnsi="黑体" w:eastAsia="黑体"/>
          <w:sz w:val="28"/>
          <w:szCs w:val="28"/>
        </w:rPr>
      </w:pPr>
    </w:p>
    <w:p w14:paraId="4500D3F6">
      <w:pPr>
        <w:jc w:val="center"/>
        <w:rPr>
          <w:rFonts w:ascii="黑体" w:hAnsi="黑体" w:eastAsia="黑体"/>
          <w:sz w:val="28"/>
          <w:szCs w:val="28"/>
        </w:rPr>
      </w:pPr>
    </w:p>
    <w:p w14:paraId="693E5D7E">
      <w:pPr>
        <w:jc w:val="center"/>
        <w:rPr>
          <w:rFonts w:ascii="黑体" w:hAnsi="黑体" w:eastAsia="黑体"/>
          <w:sz w:val="28"/>
          <w:szCs w:val="28"/>
        </w:rPr>
      </w:pPr>
    </w:p>
    <w:p w14:paraId="76205A32">
      <w:pPr>
        <w:jc w:val="center"/>
        <w:rPr>
          <w:rFonts w:ascii="黑体" w:hAnsi="黑体" w:eastAsia="黑体"/>
          <w:sz w:val="28"/>
          <w:szCs w:val="28"/>
        </w:rPr>
      </w:pPr>
    </w:p>
    <w:p w14:paraId="1C09D1A6">
      <w:pPr>
        <w:jc w:val="center"/>
        <w:rPr>
          <w:rFonts w:ascii="黑体" w:hAnsi="黑体" w:eastAsia="黑体"/>
          <w:sz w:val="28"/>
          <w:szCs w:val="28"/>
        </w:rPr>
      </w:pPr>
    </w:p>
    <w:p w14:paraId="607C3938">
      <w:pPr>
        <w:jc w:val="center"/>
        <w:rPr>
          <w:rFonts w:ascii="黑体" w:hAnsi="黑体" w:eastAsia="黑体"/>
          <w:sz w:val="28"/>
          <w:szCs w:val="28"/>
        </w:rPr>
      </w:pPr>
    </w:p>
    <w:p w14:paraId="0BADCFD3">
      <w:pPr>
        <w:jc w:val="center"/>
        <w:rPr>
          <w:rFonts w:ascii="黑体" w:hAnsi="黑体" w:eastAsia="黑体"/>
          <w:sz w:val="28"/>
          <w:szCs w:val="28"/>
        </w:rPr>
      </w:pPr>
    </w:p>
    <w:p w14:paraId="3B49AB84">
      <w:pPr>
        <w:jc w:val="center"/>
        <w:rPr>
          <w:rFonts w:ascii="黑体" w:hAnsi="黑体" w:eastAsia="黑体"/>
          <w:sz w:val="28"/>
          <w:szCs w:val="28"/>
        </w:rPr>
      </w:pPr>
    </w:p>
    <w:p w14:paraId="321D4ED8">
      <w:pPr>
        <w:jc w:val="center"/>
        <w:rPr>
          <w:rFonts w:ascii="黑体" w:hAnsi="黑体" w:eastAsia="黑体"/>
          <w:sz w:val="28"/>
          <w:szCs w:val="28"/>
        </w:rPr>
      </w:pPr>
    </w:p>
    <w:p w14:paraId="55CCB410">
      <w:pPr>
        <w:jc w:val="center"/>
        <w:rPr>
          <w:rFonts w:ascii="黑体" w:hAnsi="黑体" w:eastAsia="黑体"/>
          <w:sz w:val="28"/>
          <w:szCs w:val="28"/>
        </w:rPr>
      </w:pPr>
    </w:p>
    <w:p w14:paraId="6B8EE2B8">
      <w:pPr>
        <w:jc w:val="center"/>
        <w:rPr>
          <w:sz w:val="72"/>
          <w:szCs w:val="72"/>
        </w:rPr>
      </w:pPr>
    </w:p>
    <w:p w14:paraId="74F350AE">
      <w:pPr>
        <w:jc w:val="center"/>
        <w:rPr>
          <w:rFonts w:ascii="黑体" w:hAnsi="黑体" w:eastAsia="黑体" w:cs="黑体"/>
          <w:sz w:val="56"/>
          <w:szCs w:val="56"/>
        </w:rPr>
      </w:pPr>
    </w:p>
    <w:p w14:paraId="5003E9CD">
      <w:pPr>
        <w:jc w:val="center"/>
        <w:rPr>
          <w:rFonts w:ascii="黑体" w:hAnsi="黑体" w:eastAsia="黑体" w:cs="黑体"/>
          <w:sz w:val="56"/>
          <w:szCs w:val="56"/>
        </w:rPr>
      </w:pPr>
    </w:p>
    <w:p w14:paraId="76B13A33">
      <w:pPr>
        <w:jc w:val="center"/>
        <w:rPr>
          <w:rFonts w:ascii="黑体" w:hAnsi="黑体" w:eastAsia="黑体" w:cs="黑体"/>
          <w:sz w:val="56"/>
          <w:szCs w:val="56"/>
        </w:rPr>
      </w:pPr>
    </w:p>
    <w:p w14:paraId="4E694197">
      <w:pPr>
        <w:jc w:val="center"/>
        <w:rPr>
          <w:rFonts w:ascii="黑体" w:hAnsi="黑体" w:eastAsia="黑体" w:cs="黑体"/>
          <w:sz w:val="56"/>
          <w:szCs w:val="56"/>
        </w:rPr>
      </w:pPr>
    </w:p>
    <w:p w14:paraId="785250AF">
      <w:pPr>
        <w:jc w:val="center"/>
        <w:rPr>
          <w:rFonts w:ascii="黑体" w:hAnsi="黑体" w:eastAsia="黑体" w:cs="黑体"/>
          <w:sz w:val="56"/>
          <w:szCs w:val="56"/>
        </w:rPr>
      </w:pPr>
    </w:p>
    <w:p w14:paraId="703ACBAF">
      <w:pPr>
        <w:jc w:val="center"/>
        <w:rPr>
          <w:rFonts w:ascii="黑体" w:hAnsi="黑体" w:eastAsia="黑体" w:cs="黑体"/>
          <w:sz w:val="56"/>
          <w:szCs w:val="56"/>
        </w:rPr>
      </w:pPr>
      <w:r>
        <w:rPr>
          <w:rFonts w:hint="eastAsia" w:ascii="黑体" w:hAnsi="黑体" w:eastAsia="黑体" w:cs="黑体"/>
          <w:sz w:val="56"/>
          <w:szCs w:val="56"/>
        </w:rPr>
        <w:t>第二部分</w:t>
      </w:r>
    </w:p>
    <w:p w14:paraId="7063E57E">
      <w:pPr>
        <w:jc w:val="center"/>
        <w:rPr>
          <w:rFonts w:ascii="黑体" w:hAnsi="黑体" w:eastAsia="黑体" w:cs="黑体"/>
          <w:sz w:val="56"/>
          <w:szCs w:val="56"/>
        </w:rPr>
      </w:pPr>
    </w:p>
    <w:p w14:paraId="74C16566">
      <w:pPr>
        <w:jc w:val="center"/>
        <w:rPr>
          <w:rFonts w:ascii="黑体" w:hAnsi="黑体" w:eastAsia="黑体" w:cs="黑体"/>
          <w:sz w:val="56"/>
          <w:szCs w:val="56"/>
        </w:rPr>
      </w:pPr>
      <w:r>
        <w:rPr>
          <w:rFonts w:hint="eastAsia" w:ascii="黑体" w:hAnsi="黑体" w:eastAsia="黑体" w:cs="黑体"/>
          <w:sz w:val="56"/>
          <w:szCs w:val="56"/>
        </w:rPr>
        <w:t>部门决算表</w:t>
      </w:r>
    </w:p>
    <w:p w14:paraId="45ADEBBD">
      <w:pPr>
        <w:jc w:val="center"/>
        <w:rPr>
          <w:sz w:val="72"/>
          <w:szCs w:val="72"/>
        </w:rPr>
      </w:pPr>
    </w:p>
    <w:p w14:paraId="63FDA4BB">
      <w:pPr>
        <w:jc w:val="center"/>
        <w:rPr>
          <w:sz w:val="72"/>
          <w:szCs w:val="72"/>
        </w:rPr>
      </w:pPr>
    </w:p>
    <w:p w14:paraId="1B8F5C8A">
      <w:pPr>
        <w:jc w:val="center"/>
        <w:rPr>
          <w:sz w:val="72"/>
          <w:szCs w:val="72"/>
        </w:rPr>
      </w:pPr>
    </w:p>
    <w:p w14:paraId="4FEDE2DC">
      <w:pPr>
        <w:jc w:val="center"/>
        <w:rPr>
          <w:sz w:val="72"/>
          <w:szCs w:val="72"/>
        </w:rPr>
      </w:pPr>
    </w:p>
    <w:p w14:paraId="50FC5EC8">
      <w:pPr>
        <w:jc w:val="center"/>
        <w:rPr>
          <w:sz w:val="72"/>
          <w:szCs w:val="72"/>
        </w:rPr>
      </w:pPr>
    </w:p>
    <w:p w14:paraId="4A5ED399">
      <w:pPr>
        <w:jc w:val="center"/>
        <w:rPr>
          <w:sz w:val="72"/>
          <w:szCs w:val="72"/>
        </w:rPr>
      </w:pPr>
    </w:p>
    <w:p w14:paraId="6546E52B">
      <w:pPr>
        <w:jc w:val="left"/>
        <w:rPr>
          <w:sz w:val="32"/>
          <w:szCs w:val="32"/>
        </w:rPr>
      </w:pPr>
    </w:p>
    <w:p w14:paraId="524B7F08">
      <w:pPr>
        <w:pStyle w:val="10"/>
        <w:jc w:val="center"/>
        <w:rPr>
          <w:rFonts w:hAnsi="Calibri"/>
          <w:sz w:val="56"/>
          <w:szCs w:val="56"/>
        </w:rPr>
      </w:pPr>
    </w:p>
    <w:p w14:paraId="1CDB2BA2">
      <w:pPr>
        <w:pStyle w:val="10"/>
        <w:jc w:val="center"/>
        <w:rPr>
          <w:rFonts w:hAnsi="Calibri"/>
          <w:sz w:val="56"/>
          <w:szCs w:val="56"/>
        </w:rPr>
      </w:pPr>
      <w:r>
        <w:rPr>
          <w:rFonts w:hint="eastAsia" w:hAnsi="Calibri"/>
          <w:sz w:val="56"/>
          <w:szCs w:val="56"/>
        </w:rPr>
        <w:t xml:space="preserve">                                               </w:t>
      </w:r>
    </w:p>
    <w:p w14:paraId="58762D64">
      <w:pPr>
        <w:pStyle w:val="10"/>
        <w:jc w:val="center"/>
        <w:rPr>
          <w:rFonts w:hAnsi="Calibri"/>
          <w:sz w:val="56"/>
          <w:szCs w:val="56"/>
        </w:rPr>
      </w:pPr>
    </w:p>
    <w:p w14:paraId="003C83DA">
      <w:pPr>
        <w:pStyle w:val="10"/>
        <w:jc w:val="center"/>
        <w:rPr>
          <w:rFonts w:hAnsi="Calibri"/>
          <w:sz w:val="56"/>
          <w:szCs w:val="56"/>
        </w:rPr>
      </w:pPr>
    </w:p>
    <w:p w14:paraId="292EDB74">
      <w:pPr>
        <w:pStyle w:val="10"/>
        <w:jc w:val="center"/>
        <w:rPr>
          <w:rFonts w:hAnsi="Calibri"/>
          <w:sz w:val="56"/>
          <w:szCs w:val="56"/>
        </w:rPr>
      </w:pPr>
    </w:p>
    <w:p w14:paraId="618E9301">
      <w:pPr>
        <w:pStyle w:val="10"/>
        <w:jc w:val="center"/>
        <w:rPr>
          <w:rFonts w:hAnsi="Calibri"/>
          <w:sz w:val="56"/>
          <w:szCs w:val="56"/>
        </w:rPr>
      </w:pPr>
    </w:p>
    <w:p w14:paraId="7945E0F9">
      <w:pPr>
        <w:pStyle w:val="10"/>
        <w:jc w:val="center"/>
        <w:rPr>
          <w:rFonts w:hAnsi="Calibri"/>
          <w:sz w:val="56"/>
          <w:szCs w:val="56"/>
        </w:rPr>
      </w:pPr>
    </w:p>
    <w:p w14:paraId="4FD85B1E">
      <w:pPr>
        <w:pStyle w:val="10"/>
        <w:jc w:val="center"/>
        <w:rPr>
          <w:rFonts w:hAnsi="Calibri"/>
          <w:sz w:val="56"/>
          <w:szCs w:val="56"/>
        </w:rPr>
      </w:pPr>
      <w:r>
        <w:rPr>
          <w:rFonts w:hint="eastAsia" w:hAnsi="Calibri"/>
          <w:sz w:val="56"/>
          <w:szCs w:val="56"/>
        </w:rPr>
        <w:t>第三部分</w:t>
      </w:r>
    </w:p>
    <w:p w14:paraId="42393DC0">
      <w:pPr>
        <w:jc w:val="center"/>
        <w:rPr>
          <w:rFonts w:ascii="黑体" w:hAnsi="黑体" w:eastAsia="黑体"/>
          <w:sz w:val="56"/>
          <w:szCs w:val="56"/>
        </w:rPr>
      </w:pPr>
      <w:r>
        <w:rPr>
          <w:rFonts w:hint="eastAsia" w:ascii="黑体" w:hAnsi="黑体" w:eastAsia="黑体"/>
          <w:sz w:val="56"/>
          <w:szCs w:val="56"/>
        </w:rPr>
        <w:t>202</w:t>
      </w:r>
      <w:r>
        <w:rPr>
          <w:rFonts w:hint="eastAsia" w:ascii="黑体" w:hAnsi="黑体" w:eastAsia="黑体"/>
          <w:sz w:val="56"/>
          <w:szCs w:val="56"/>
          <w:lang w:val="en-US" w:eastAsia="zh-CN"/>
        </w:rPr>
        <w:t>4</w:t>
      </w:r>
      <w:r>
        <w:rPr>
          <w:rFonts w:hint="eastAsia" w:ascii="黑体" w:hAnsi="黑体" w:eastAsia="黑体"/>
          <w:sz w:val="56"/>
          <w:szCs w:val="56"/>
        </w:rPr>
        <w:t>年度部门决算情况说明</w:t>
      </w:r>
    </w:p>
    <w:p w14:paraId="0FB2F4AA">
      <w:pPr>
        <w:widowControl/>
        <w:jc w:val="left"/>
        <w:rPr>
          <w:rFonts w:ascii="黑体" w:hAnsi="黑体" w:eastAsia="黑体"/>
          <w:sz w:val="56"/>
          <w:szCs w:val="56"/>
        </w:rPr>
      </w:pPr>
    </w:p>
    <w:p w14:paraId="10F1DDB9">
      <w:pPr>
        <w:widowControl/>
        <w:jc w:val="left"/>
        <w:rPr>
          <w:rFonts w:ascii="黑体" w:hAnsi="黑体" w:eastAsia="黑体"/>
          <w:sz w:val="56"/>
          <w:szCs w:val="56"/>
        </w:rPr>
      </w:pPr>
    </w:p>
    <w:p w14:paraId="435C2B91">
      <w:pPr>
        <w:widowControl/>
        <w:jc w:val="left"/>
        <w:rPr>
          <w:rFonts w:ascii="黑体" w:hAnsi="黑体" w:eastAsia="黑体"/>
          <w:sz w:val="56"/>
          <w:szCs w:val="56"/>
        </w:rPr>
      </w:pPr>
    </w:p>
    <w:p w14:paraId="204C7030">
      <w:pPr>
        <w:widowControl/>
        <w:jc w:val="left"/>
        <w:rPr>
          <w:rFonts w:ascii="黑体" w:hAnsi="黑体" w:eastAsia="黑体"/>
          <w:sz w:val="56"/>
          <w:szCs w:val="56"/>
        </w:rPr>
      </w:pPr>
    </w:p>
    <w:p w14:paraId="0E346AEA">
      <w:pPr>
        <w:widowControl/>
        <w:jc w:val="left"/>
        <w:rPr>
          <w:rFonts w:ascii="黑体" w:hAnsi="黑体" w:eastAsia="黑体"/>
          <w:sz w:val="56"/>
          <w:szCs w:val="56"/>
        </w:rPr>
      </w:pPr>
    </w:p>
    <w:p w14:paraId="00FE54ED">
      <w:pPr>
        <w:widowControl/>
        <w:jc w:val="left"/>
        <w:rPr>
          <w:rFonts w:ascii="黑体" w:hAnsi="黑体" w:eastAsia="黑体"/>
          <w:sz w:val="56"/>
          <w:szCs w:val="56"/>
        </w:rPr>
      </w:pPr>
    </w:p>
    <w:p w14:paraId="29AAB9AC">
      <w:pPr>
        <w:widowControl/>
        <w:jc w:val="left"/>
        <w:rPr>
          <w:rFonts w:ascii="黑体" w:hAnsi="黑体" w:eastAsia="黑体"/>
          <w:sz w:val="56"/>
          <w:szCs w:val="56"/>
        </w:rPr>
      </w:pPr>
    </w:p>
    <w:p w14:paraId="2046C1A8">
      <w:pPr>
        <w:widowControl/>
        <w:ind w:firstLine="560" w:firstLineChars="200"/>
        <w:jc w:val="left"/>
        <w:rPr>
          <w:rFonts w:ascii="宋体" w:hAnsi="宋体" w:eastAsia="宋体" w:cs="黑体"/>
          <w:color w:val="000000"/>
          <w:kern w:val="0"/>
          <w:sz w:val="28"/>
          <w:szCs w:val="28"/>
        </w:rPr>
      </w:pPr>
      <w:r>
        <w:rPr>
          <w:rFonts w:ascii="宋体" w:hAnsi="宋体" w:eastAsia="宋体"/>
          <w:bCs/>
          <w:kern w:val="0"/>
          <w:sz w:val="28"/>
          <w:szCs w:val="28"/>
        </w:rPr>
        <w:t>20</w:t>
      </w:r>
      <w:r>
        <w:rPr>
          <w:rFonts w:hint="eastAsia" w:ascii="宋体" w:hAnsi="宋体" w:eastAsia="宋体"/>
          <w:bCs/>
          <w:kern w:val="0"/>
          <w:sz w:val="28"/>
          <w:szCs w:val="28"/>
        </w:rPr>
        <w:t>2</w:t>
      </w:r>
      <w:r>
        <w:rPr>
          <w:rFonts w:hint="eastAsia" w:ascii="宋体" w:hAnsi="宋体" w:eastAsia="宋体"/>
          <w:bCs/>
          <w:kern w:val="0"/>
          <w:sz w:val="28"/>
          <w:szCs w:val="28"/>
          <w:lang w:val="en-US" w:eastAsia="zh-CN"/>
        </w:rPr>
        <w:t>4</w:t>
      </w:r>
      <w:r>
        <w:rPr>
          <w:rFonts w:ascii="宋体" w:hAnsi="宋体" w:eastAsia="宋体"/>
          <w:bCs/>
          <w:kern w:val="0"/>
          <w:sz w:val="28"/>
          <w:szCs w:val="28"/>
        </w:rPr>
        <w:t>年度部门决算</w:t>
      </w:r>
      <w:r>
        <w:rPr>
          <w:rFonts w:hint="eastAsia" w:ascii="宋体" w:hAnsi="宋体" w:eastAsia="宋体"/>
          <w:bCs/>
          <w:kern w:val="0"/>
          <w:sz w:val="28"/>
          <w:szCs w:val="28"/>
        </w:rPr>
        <w:t>包括单位本级的汇总情况</w:t>
      </w:r>
    </w:p>
    <w:p w14:paraId="195BBA84">
      <w:pPr>
        <w:widowControl/>
        <w:spacing w:line="600" w:lineRule="exact"/>
        <w:ind w:firstLine="840" w:firstLineChars="300"/>
        <w:rPr>
          <w:rFonts w:ascii="宋体" w:hAnsi="宋体" w:eastAsia="宋体"/>
          <w:b/>
          <w:bCs/>
          <w:kern w:val="0"/>
          <w:sz w:val="28"/>
          <w:szCs w:val="28"/>
        </w:rPr>
      </w:pPr>
      <w:r>
        <w:rPr>
          <w:rFonts w:ascii="宋体" w:hAnsi="宋体" w:eastAsia="宋体"/>
          <w:kern w:val="0"/>
          <w:sz w:val="28"/>
          <w:szCs w:val="28"/>
        </w:rPr>
        <w:t>一、收入支出决算总体情况说明</w:t>
      </w:r>
    </w:p>
    <w:p w14:paraId="664BAD06">
      <w:pPr>
        <w:ind w:firstLine="560"/>
        <w:rPr>
          <w:rFonts w:ascii="宋体" w:hAnsi="宋体" w:eastAsia="宋体"/>
          <w:kern w:val="0"/>
          <w:sz w:val="28"/>
          <w:szCs w:val="28"/>
        </w:rPr>
      </w:pPr>
      <w:r>
        <w:rPr>
          <w:rFonts w:hint="eastAsia" w:ascii="宋体" w:hAnsi="宋体" w:eastAsia="宋体"/>
          <w:kern w:val="0"/>
          <w:sz w:val="28"/>
          <w:szCs w:val="28"/>
        </w:rPr>
        <w:t>202</w:t>
      </w:r>
      <w:r>
        <w:rPr>
          <w:rFonts w:hint="eastAsia" w:ascii="宋体" w:hAnsi="宋体" w:eastAsia="宋体"/>
          <w:kern w:val="0"/>
          <w:sz w:val="28"/>
          <w:szCs w:val="28"/>
          <w:lang w:val="en-US" w:eastAsia="zh-CN"/>
        </w:rPr>
        <w:t>4</w:t>
      </w:r>
      <w:r>
        <w:rPr>
          <w:rFonts w:hint="eastAsia" w:ascii="宋体" w:hAnsi="宋体" w:eastAsia="宋体"/>
          <w:kern w:val="0"/>
          <w:sz w:val="28"/>
          <w:szCs w:val="28"/>
        </w:rPr>
        <w:t>年度收、支</w:t>
      </w:r>
      <w:r>
        <w:rPr>
          <w:rFonts w:hint="eastAsia" w:ascii="宋体" w:hAnsi="宋体" w:eastAsia="宋体"/>
          <w:kern w:val="0"/>
          <w:sz w:val="28"/>
          <w:szCs w:val="28"/>
          <w:lang w:val="en-US" w:eastAsia="zh-CN"/>
        </w:rPr>
        <w:t>472.16</w:t>
      </w:r>
      <w:r>
        <w:rPr>
          <w:rFonts w:hint="eastAsia" w:ascii="宋体" w:hAnsi="宋体" w:eastAsia="宋体"/>
          <w:kern w:val="0"/>
          <w:sz w:val="28"/>
          <w:szCs w:val="28"/>
        </w:rPr>
        <w:t>万元，与</w:t>
      </w:r>
      <w:r>
        <w:rPr>
          <w:rFonts w:hint="eastAsia" w:ascii="宋体" w:hAnsi="宋体" w:eastAsia="宋体"/>
          <w:sz w:val="28"/>
          <w:szCs w:val="28"/>
        </w:rPr>
        <w:t>20</w:t>
      </w:r>
      <w:r>
        <w:rPr>
          <w:rFonts w:hint="eastAsia" w:ascii="宋体" w:hAnsi="宋体" w:eastAsia="宋体"/>
          <w:sz w:val="28"/>
          <w:szCs w:val="28"/>
          <w:lang w:val="en-US" w:eastAsia="zh-CN"/>
        </w:rPr>
        <w:t>23</w:t>
      </w:r>
      <w:r>
        <w:rPr>
          <w:rFonts w:hint="eastAsia" w:ascii="宋体" w:hAnsi="宋体" w:eastAsia="宋体"/>
          <w:sz w:val="28"/>
          <w:szCs w:val="28"/>
        </w:rPr>
        <w:t>年度相比，</w:t>
      </w:r>
      <w:bookmarkStart w:id="0" w:name="OLE_LINK2"/>
      <w:r>
        <w:rPr>
          <w:rFonts w:hint="eastAsia" w:ascii="宋体" w:hAnsi="宋体" w:eastAsia="宋体"/>
          <w:sz w:val="28"/>
          <w:szCs w:val="28"/>
          <w:lang w:eastAsia="zh-CN"/>
        </w:rPr>
        <w:t>增加</w:t>
      </w:r>
      <w:r>
        <w:rPr>
          <w:rFonts w:hint="eastAsia" w:ascii="宋体" w:hAnsi="宋体" w:eastAsia="宋体"/>
          <w:sz w:val="28"/>
          <w:szCs w:val="28"/>
          <w:lang w:val="en-US" w:eastAsia="zh-CN"/>
        </w:rPr>
        <w:t>11.92</w:t>
      </w:r>
      <w:r>
        <w:rPr>
          <w:rFonts w:hint="eastAsia" w:ascii="宋体" w:hAnsi="宋体" w:eastAsia="宋体"/>
          <w:kern w:val="0"/>
          <w:sz w:val="28"/>
          <w:szCs w:val="28"/>
        </w:rPr>
        <w:t>万元，</w:t>
      </w:r>
      <w:r>
        <w:rPr>
          <w:rFonts w:hint="eastAsia" w:ascii="宋体" w:hAnsi="宋体" w:eastAsia="宋体"/>
          <w:kern w:val="0"/>
          <w:sz w:val="28"/>
          <w:szCs w:val="28"/>
          <w:lang w:eastAsia="zh-CN"/>
        </w:rPr>
        <w:t>增加</w:t>
      </w:r>
      <w:r>
        <w:rPr>
          <w:rFonts w:hint="eastAsia" w:ascii="宋体" w:hAnsi="宋体" w:eastAsia="宋体"/>
          <w:kern w:val="0"/>
          <w:sz w:val="28"/>
          <w:szCs w:val="28"/>
          <w:lang w:val="en-US" w:eastAsia="zh-CN"/>
        </w:rPr>
        <w:t>2.59</w:t>
      </w:r>
      <w:r>
        <w:rPr>
          <w:rFonts w:hint="eastAsia" w:ascii="宋体" w:hAnsi="宋体" w:eastAsia="宋体"/>
          <w:kern w:val="0"/>
          <w:sz w:val="28"/>
          <w:szCs w:val="28"/>
        </w:rPr>
        <w:t>%。主要原因是：</w:t>
      </w:r>
      <w:r>
        <w:rPr>
          <w:rFonts w:hint="eastAsia" w:ascii="宋体" w:hAnsi="宋体" w:eastAsia="宋体"/>
          <w:sz w:val="28"/>
          <w:szCs w:val="28"/>
        </w:rPr>
        <w:t>幼儿数量</w:t>
      </w:r>
      <w:r>
        <w:rPr>
          <w:rFonts w:hint="eastAsia" w:ascii="宋体" w:hAnsi="宋体" w:eastAsia="宋体"/>
          <w:sz w:val="28"/>
          <w:szCs w:val="28"/>
          <w:lang w:eastAsia="zh-CN"/>
        </w:rPr>
        <w:t>增加，非税收入增加</w:t>
      </w:r>
      <w:r>
        <w:rPr>
          <w:rFonts w:hint="eastAsia" w:ascii="宋体" w:hAnsi="宋体" w:eastAsia="宋体"/>
          <w:sz w:val="28"/>
          <w:szCs w:val="28"/>
        </w:rPr>
        <w:t>。</w:t>
      </w:r>
    </w:p>
    <w:bookmarkEnd w:id="0"/>
    <w:p w14:paraId="7BAA79AE">
      <w:pPr>
        <w:widowControl/>
        <w:spacing w:line="600" w:lineRule="exact"/>
        <w:ind w:firstLine="840" w:firstLineChars="300"/>
        <w:rPr>
          <w:rFonts w:ascii="宋体" w:hAnsi="宋体" w:eastAsia="宋体"/>
          <w:kern w:val="0"/>
          <w:sz w:val="28"/>
          <w:szCs w:val="28"/>
        </w:rPr>
      </w:pPr>
      <w:r>
        <w:rPr>
          <w:rFonts w:ascii="宋体" w:hAnsi="宋体" w:eastAsia="宋体"/>
          <w:kern w:val="0"/>
          <w:sz w:val="28"/>
          <w:szCs w:val="28"/>
        </w:rPr>
        <w:t>二、收入决算情况说明</w:t>
      </w:r>
    </w:p>
    <w:p w14:paraId="7056790E">
      <w:pPr>
        <w:widowControl/>
        <w:spacing w:line="600" w:lineRule="exact"/>
        <w:ind w:firstLine="560" w:firstLineChars="200"/>
        <w:rPr>
          <w:rFonts w:ascii="宋体" w:hAnsi="宋体" w:eastAsia="宋体"/>
          <w:kern w:val="0"/>
          <w:sz w:val="28"/>
          <w:szCs w:val="28"/>
        </w:rPr>
      </w:pPr>
      <w:r>
        <w:rPr>
          <w:rFonts w:ascii="宋体" w:hAnsi="宋体" w:eastAsia="宋体" w:cs="仿宋_GB2312"/>
          <w:color w:val="333333"/>
          <w:sz w:val="28"/>
          <w:szCs w:val="28"/>
        </w:rPr>
        <w:t>本年收入</w:t>
      </w:r>
      <w:r>
        <w:rPr>
          <w:rFonts w:hint="eastAsia" w:ascii="宋体" w:hAnsi="宋体" w:eastAsia="宋体" w:cs="仿宋_GB2312"/>
          <w:color w:val="333333"/>
          <w:sz w:val="28"/>
          <w:szCs w:val="28"/>
        </w:rPr>
        <w:t>合计</w:t>
      </w:r>
      <w:r>
        <w:rPr>
          <w:rFonts w:hint="eastAsia" w:ascii="宋体" w:hAnsi="宋体" w:eastAsia="宋体" w:cs="仿宋_GB2312"/>
          <w:color w:val="333333"/>
          <w:sz w:val="28"/>
          <w:szCs w:val="28"/>
          <w:lang w:val="en-US" w:eastAsia="zh-CN"/>
        </w:rPr>
        <w:t>472.16</w:t>
      </w:r>
      <w:r>
        <w:rPr>
          <w:rFonts w:ascii="宋体" w:hAnsi="宋体" w:eastAsia="宋体" w:cs="仿宋_GB2312"/>
          <w:color w:val="333333"/>
          <w:sz w:val="28"/>
          <w:szCs w:val="28"/>
        </w:rPr>
        <w:t>万元，其中：财政拨款收入</w:t>
      </w:r>
      <w:r>
        <w:rPr>
          <w:rFonts w:hint="eastAsia" w:ascii="宋体" w:hAnsi="宋体" w:eastAsia="宋体" w:cs="仿宋_GB2312"/>
          <w:color w:val="333333"/>
          <w:sz w:val="28"/>
          <w:szCs w:val="28"/>
          <w:lang w:val="en-US" w:eastAsia="zh-CN"/>
        </w:rPr>
        <w:t>472.16</w:t>
      </w:r>
      <w:r>
        <w:rPr>
          <w:rFonts w:ascii="宋体" w:hAnsi="宋体" w:eastAsia="宋体" w:cs="仿宋_GB2312"/>
          <w:color w:val="333333"/>
          <w:sz w:val="28"/>
          <w:szCs w:val="28"/>
        </w:rPr>
        <w:t>万元，占比</w:t>
      </w:r>
      <w:r>
        <w:rPr>
          <w:rFonts w:hint="eastAsia" w:ascii="宋体" w:hAnsi="宋体" w:eastAsia="宋体" w:cs="仿宋_GB2312"/>
          <w:color w:val="333333"/>
          <w:sz w:val="28"/>
          <w:szCs w:val="28"/>
          <w:lang w:val="en-US" w:eastAsia="zh-CN"/>
        </w:rPr>
        <w:t>100</w:t>
      </w:r>
      <w:r>
        <w:rPr>
          <w:rFonts w:ascii="宋体" w:hAnsi="宋体" w:eastAsia="宋体" w:cs="仿宋_GB2312"/>
          <w:color w:val="333333"/>
          <w:sz w:val="28"/>
          <w:szCs w:val="28"/>
        </w:rPr>
        <w:t>%</w:t>
      </w:r>
      <w:r>
        <w:rPr>
          <w:rFonts w:ascii="宋体" w:hAnsi="宋体" w:eastAsia="宋体" w:cs="仿宋_GB2312"/>
          <w:color w:val="000000"/>
          <w:kern w:val="0"/>
          <w:sz w:val="28"/>
          <w:szCs w:val="28"/>
        </w:rPr>
        <w:t>；上级补助收入0万元，占0%；事业收入0万元，占0%；经营收入0万元，占0%；附属单位上缴收入0万元，占0%；</w:t>
      </w:r>
      <w:r>
        <w:rPr>
          <w:rFonts w:hint="eastAsia" w:ascii="宋体" w:hAnsi="宋体" w:eastAsia="宋体" w:cs="仿宋_GB2312"/>
          <w:color w:val="333333"/>
          <w:sz w:val="28"/>
          <w:szCs w:val="28"/>
        </w:rPr>
        <w:t>其他收入</w:t>
      </w:r>
      <w:r>
        <w:rPr>
          <w:rFonts w:hint="eastAsia" w:ascii="宋体" w:hAnsi="宋体" w:eastAsia="宋体" w:cs="仿宋_GB2312"/>
          <w:color w:val="333333"/>
          <w:sz w:val="28"/>
          <w:szCs w:val="28"/>
          <w:lang w:val="en-US" w:eastAsia="zh-CN"/>
        </w:rPr>
        <w:t>0</w:t>
      </w:r>
      <w:r>
        <w:rPr>
          <w:rFonts w:hint="eastAsia" w:ascii="宋体" w:hAnsi="宋体" w:eastAsia="宋体" w:cs="仿宋_GB2312"/>
          <w:color w:val="333333"/>
          <w:sz w:val="28"/>
          <w:szCs w:val="28"/>
        </w:rPr>
        <w:t>万元，占比</w:t>
      </w:r>
      <w:r>
        <w:rPr>
          <w:rFonts w:hint="eastAsia" w:ascii="宋体" w:hAnsi="宋体" w:eastAsia="宋体" w:cs="仿宋_GB2312"/>
          <w:color w:val="333333"/>
          <w:sz w:val="28"/>
          <w:szCs w:val="28"/>
          <w:lang w:val="en-US" w:eastAsia="zh-CN"/>
        </w:rPr>
        <w:t>0</w:t>
      </w:r>
      <w:r>
        <w:rPr>
          <w:rFonts w:hint="eastAsia" w:ascii="宋体" w:hAnsi="宋体" w:eastAsia="宋体" w:cs="仿宋_GB2312"/>
          <w:color w:val="333333"/>
          <w:sz w:val="28"/>
          <w:szCs w:val="28"/>
        </w:rPr>
        <w:t>%</w:t>
      </w:r>
      <w:r>
        <w:rPr>
          <w:rFonts w:ascii="宋体" w:hAnsi="宋体" w:eastAsia="宋体" w:cs="仿宋_GB2312"/>
          <w:color w:val="000000"/>
          <w:kern w:val="0"/>
          <w:sz w:val="28"/>
          <w:szCs w:val="28"/>
        </w:rPr>
        <w:t>；</w:t>
      </w:r>
    </w:p>
    <w:p w14:paraId="24F85ABC">
      <w:pPr>
        <w:widowControl/>
        <w:spacing w:line="600" w:lineRule="exact"/>
        <w:ind w:firstLine="840" w:firstLineChars="300"/>
        <w:rPr>
          <w:rFonts w:ascii="宋体" w:hAnsi="宋体" w:eastAsia="宋体"/>
          <w:kern w:val="0"/>
          <w:sz w:val="28"/>
          <w:szCs w:val="28"/>
        </w:rPr>
      </w:pPr>
      <w:r>
        <w:rPr>
          <w:rFonts w:ascii="宋体" w:hAnsi="宋体" w:eastAsia="宋体"/>
          <w:kern w:val="0"/>
          <w:sz w:val="28"/>
          <w:szCs w:val="28"/>
        </w:rPr>
        <w:t>三、支出决算情况说明</w:t>
      </w:r>
      <w:r>
        <w:rPr>
          <w:rFonts w:hint="eastAsia" w:ascii="宋体" w:hAnsi="宋体" w:eastAsia="宋体"/>
          <w:kern w:val="0"/>
          <w:sz w:val="28"/>
          <w:szCs w:val="28"/>
        </w:rPr>
        <w:t>.</w:t>
      </w:r>
    </w:p>
    <w:p w14:paraId="433BAD20">
      <w:pPr>
        <w:pStyle w:val="5"/>
        <w:widowControl/>
        <w:spacing w:line="240" w:lineRule="atLeast"/>
        <w:ind w:firstLine="420"/>
        <w:jc w:val="both"/>
        <w:rPr>
          <w:rFonts w:ascii="宋体" w:hAnsi="宋体" w:cs="仿宋_GB2312"/>
          <w:color w:val="000000"/>
          <w:sz w:val="28"/>
          <w:szCs w:val="28"/>
        </w:rPr>
      </w:pPr>
      <w:r>
        <w:rPr>
          <w:rFonts w:ascii="宋体" w:hAnsi="宋体" w:cs="仿宋_GB2312"/>
          <w:color w:val="333333"/>
          <w:sz w:val="28"/>
          <w:szCs w:val="28"/>
        </w:rPr>
        <w:t>本年度全年支出</w:t>
      </w:r>
      <w:r>
        <w:rPr>
          <w:rFonts w:hint="eastAsia" w:ascii="宋体" w:hAnsi="宋体" w:cs="仿宋_GB2312"/>
          <w:color w:val="333333"/>
          <w:sz w:val="28"/>
          <w:szCs w:val="28"/>
          <w:lang w:val="en-US" w:eastAsia="zh-CN"/>
        </w:rPr>
        <w:t>472.16</w:t>
      </w:r>
      <w:r>
        <w:rPr>
          <w:rFonts w:ascii="宋体" w:hAnsi="宋体" w:cs="仿宋_GB2312"/>
          <w:color w:val="333333"/>
          <w:sz w:val="28"/>
          <w:szCs w:val="28"/>
        </w:rPr>
        <w:t>万元，其中：基本支出</w:t>
      </w:r>
      <w:r>
        <w:rPr>
          <w:rFonts w:hint="eastAsia" w:ascii="宋体" w:hAnsi="宋体" w:cs="仿宋_GB2312"/>
          <w:color w:val="333333"/>
          <w:sz w:val="28"/>
          <w:szCs w:val="28"/>
          <w:lang w:val="en-US" w:eastAsia="zh-CN"/>
        </w:rPr>
        <w:t>353.59</w:t>
      </w:r>
      <w:r>
        <w:rPr>
          <w:rFonts w:ascii="宋体" w:hAnsi="宋体" w:cs="仿宋_GB2312"/>
          <w:color w:val="333333"/>
          <w:sz w:val="28"/>
          <w:szCs w:val="28"/>
        </w:rPr>
        <w:t>万元，占比</w:t>
      </w:r>
      <w:r>
        <w:rPr>
          <w:rFonts w:hint="eastAsia" w:ascii="宋体" w:hAnsi="宋体" w:cs="仿宋_GB2312"/>
          <w:color w:val="333333"/>
          <w:sz w:val="28"/>
          <w:szCs w:val="28"/>
          <w:lang w:val="en-US" w:eastAsia="zh-CN"/>
        </w:rPr>
        <w:t>74.89</w:t>
      </w:r>
      <w:r>
        <w:rPr>
          <w:rFonts w:ascii="宋体" w:hAnsi="宋体" w:cs="仿宋_GB2312"/>
          <w:color w:val="333333"/>
          <w:sz w:val="28"/>
          <w:szCs w:val="28"/>
        </w:rPr>
        <w:t>%</w:t>
      </w:r>
      <w:r>
        <w:rPr>
          <w:rFonts w:ascii="宋体" w:hAnsi="宋体" w:cs="仿宋_GB2312"/>
          <w:color w:val="000000"/>
          <w:sz w:val="28"/>
          <w:szCs w:val="28"/>
        </w:rPr>
        <w:t>；项目支出</w:t>
      </w:r>
      <w:r>
        <w:rPr>
          <w:rFonts w:hint="eastAsia" w:ascii="宋体" w:hAnsi="宋体" w:cs="仿宋_GB2312"/>
          <w:color w:val="000000"/>
          <w:sz w:val="28"/>
          <w:szCs w:val="28"/>
          <w:lang w:val="en-US" w:eastAsia="zh-CN"/>
        </w:rPr>
        <w:t>118.58</w:t>
      </w:r>
      <w:r>
        <w:rPr>
          <w:rFonts w:ascii="宋体" w:hAnsi="宋体" w:cs="仿宋_GB2312"/>
          <w:color w:val="000000"/>
          <w:sz w:val="28"/>
          <w:szCs w:val="28"/>
        </w:rPr>
        <w:t>万元，占</w:t>
      </w:r>
      <w:r>
        <w:rPr>
          <w:rFonts w:hint="eastAsia" w:ascii="宋体" w:hAnsi="宋体" w:cs="仿宋_GB2312"/>
          <w:color w:val="000000"/>
          <w:sz w:val="28"/>
          <w:szCs w:val="28"/>
          <w:lang w:val="en-US" w:eastAsia="zh-CN"/>
        </w:rPr>
        <w:t>25.11</w:t>
      </w:r>
      <w:r>
        <w:rPr>
          <w:rFonts w:ascii="宋体" w:hAnsi="宋体" w:cs="仿宋_GB2312"/>
          <w:color w:val="000000"/>
          <w:sz w:val="28"/>
          <w:szCs w:val="28"/>
        </w:rPr>
        <w:t>%；上缴上级支出0万元，占0%；经营支出0万元，占0%；对附属单位补助支出0万元，占0%。</w:t>
      </w:r>
    </w:p>
    <w:p w14:paraId="1FC02998">
      <w:pPr>
        <w:widowControl/>
        <w:spacing w:line="600" w:lineRule="exact"/>
        <w:ind w:firstLine="700" w:firstLineChars="250"/>
        <w:rPr>
          <w:rFonts w:ascii="宋体" w:hAnsi="宋体" w:eastAsia="宋体"/>
          <w:kern w:val="0"/>
          <w:sz w:val="28"/>
          <w:szCs w:val="28"/>
        </w:rPr>
      </w:pPr>
    </w:p>
    <w:p w14:paraId="55880985">
      <w:pPr>
        <w:widowControl/>
        <w:spacing w:line="600" w:lineRule="exact"/>
        <w:ind w:firstLine="420" w:firstLineChars="150"/>
        <w:rPr>
          <w:rFonts w:ascii="宋体" w:hAnsi="宋体" w:eastAsia="宋体" w:cs="仿宋_GB2312"/>
          <w:color w:val="333333"/>
          <w:sz w:val="28"/>
          <w:szCs w:val="28"/>
        </w:rPr>
      </w:pPr>
      <w:r>
        <w:rPr>
          <w:rFonts w:hint="eastAsia" w:ascii="宋体" w:hAnsi="宋体" w:eastAsia="宋体" w:cs="仿宋_GB2312"/>
          <w:color w:val="333333"/>
          <w:sz w:val="28"/>
          <w:szCs w:val="28"/>
        </w:rPr>
        <w:t>四、</w:t>
      </w:r>
      <w:r>
        <w:rPr>
          <w:rFonts w:ascii="宋体" w:hAnsi="宋体" w:eastAsia="宋体" w:cs="仿宋_GB2312"/>
          <w:color w:val="333333"/>
          <w:sz w:val="28"/>
          <w:szCs w:val="28"/>
        </w:rPr>
        <w:t>财政拨款收入支出决算总体情况说明</w:t>
      </w:r>
    </w:p>
    <w:p w14:paraId="1C9B7652">
      <w:pPr>
        <w:ind w:firstLine="560" w:firstLineChars="200"/>
        <w:rPr>
          <w:rFonts w:ascii="宋体" w:hAnsi="宋体" w:eastAsia="宋体"/>
          <w:kern w:val="0"/>
          <w:sz w:val="28"/>
          <w:szCs w:val="28"/>
        </w:rPr>
      </w:pPr>
      <w:r>
        <w:rPr>
          <w:rFonts w:hint="eastAsia" w:ascii="宋体" w:hAnsi="宋体" w:eastAsia="宋体" w:cs="仿宋_GB2312"/>
          <w:color w:val="333333"/>
          <w:sz w:val="28"/>
          <w:szCs w:val="28"/>
        </w:rPr>
        <w:t>202</w:t>
      </w:r>
      <w:r>
        <w:rPr>
          <w:rFonts w:hint="eastAsia" w:ascii="宋体" w:hAnsi="宋体" w:eastAsia="宋体" w:cs="仿宋_GB2312"/>
          <w:color w:val="333333"/>
          <w:sz w:val="28"/>
          <w:szCs w:val="28"/>
          <w:lang w:val="en-US" w:eastAsia="zh-CN"/>
        </w:rPr>
        <w:t>4</w:t>
      </w:r>
      <w:r>
        <w:rPr>
          <w:rFonts w:hint="eastAsia" w:ascii="宋体" w:hAnsi="宋体" w:eastAsia="宋体" w:cs="仿宋_GB2312"/>
          <w:color w:val="333333"/>
          <w:sz w:val="28"/>
          <w:szCs w:val="28"/>
        </w:rPr>
        <w:t>年度财政拨款收、支总计</w:t>
      </w:r>
      <w:r>
        <w:rPr>
          <w:rFonts w:hint="eastAsia" w:ascii="宋体" w:hAnsi="宋体" w:eastAsia="宋体" w:cs="仿宋_GB2312"/>
          <w:color w:val="333333"/>
          <w:sz w:val="28"/>
          <w:szCs w:val="28"/>
          <w:lang w:val="en-US" w:eastAsia="zh-CN"/>
        </w:rPr>
        <w:t>472.16</w:t>
      </w:r>
      <w:r>
        <w:rPr>
          <w:rFonts w:hint="eastAsia" w:ascii="宋体" w:hAnsi="宋体" w:eastAsia="宋体" w:cs="仿宋_GB2312"/>
          <w:color w:val="333333"/>
          <w:sz w:val="28"/>
          <w:szCs w:val="28"/>
        </w:rPr>
        <w:t>万元，与</w:t>
      </w:r>
      <w:r>
        <w:rPr>
          <w:rFonts w:hint="eastAsia" w:ascii="宋体" w:hAnsi="宋体" w:eastAsia="宋体" w:cs="仿宋_GB2312"/>
          <w:color w:val="333333"/>
          <w:sz w:val="28"/>
          <w:szCs w:val="28"/>
          <w:lang w:val="en-US" w:eastAsia="zh-CN"/>
        </w:rPr>
        <w:t>2023</w:t>
      </w:r>
      <w:r>
        <w:rPr>
          <w:rFonts w:hint="eastAsia" w:ascii="宋体" w:hAnsi="宋体" w:eastAsia="宋体"/>
          <w:sz w:val="28"/>
          <w:szCs w:val="28"/>
        </w:rPr>
        <w:t>年</w:t>
      </w:r>
      <w:r>
        <w:rPr>
          <w:rFonts w:hint="eastAsia" w:ascii="宋体" w:hAnsi="宋体" w:eastAsia="宋体" w:cs="仿宋_GB2312"/>
          <w:color w:val="333333"/>
          <w:sz w:val="28"/>
          <w:szCs w:val="28"/>
        </w:rPr>
        <w:t>相比，</w:t>
      </w:r>
      <w:bookmarkStart w:id="1" w:name="OLE_LINK3"/>
      <w:r>
        <w:rPr>
          <w:rFonts w:hint="eastAsia" w:ascii="宋体" w:hAnsi="宋体" w:eastAsia="宋体"/>
          <w:sz w:val="28"/>
          <w:szCs w:val="28"/>
          <w:lang w:eastAsia="zh-CN"/>
        </w:rPr>
        <w:t>增加</w:t>
      </w:r>
      <w:r>
        <w:rPr>
          <w:rFonts w:hint="eastAsia" w:ascii="宋体" w:hAnsi="宋体" w:eastAsia="宋体"/>
          <w:sz w:val="28"/>
          <w:szCs w:val="28"/>
          <w:lang w:val="en-US" w:eastAsia="zh-CN"/>
        </w:rPr>
        <w:t>11.92</w:t>
      </w:r>
      <w:r>
        <w:rPr>
          <w:rFonts w:hint="eastAsia" w:ascii="宋体" w:hAnsi="宋体" w:eastAsia="宋体"/>
          <w:kern w:val="0"/>
          <w:sz w:val="28"/>
          <w:szCs w:val="28"/>
        </w:rPr>
        <w:t>万元，</w:t>
      </w:r>
      <w:r>
        <w:rPr>
          <w:rFonts w:hint="eastAsia" w:ascii="宋体" w:hAnsi="宋体" w:eastAsia="宋体"/>
          <w:kern w:val="0"/>
          <w:sz w:val="28"/>
          <w:szCs w:val="28"/>
          <w:lang w:eastAsia="zh-CN"/>
        </w:rPr>
        <w:t>增加</w:t>
      </w:r>
      <w:r>
        <w:rPr>
          <w:rFonts w:hint="eastAsia" w:ascii="宋体" w:hAnsi="宋体" w:eastAsia="宋体"/>
          <w:kern w:val="0"/>
          <w:sz w:val="28"/>
          <w:szCs w:val="28"/>
          <w:lang w:val="en-US" w:eastAsia="zh-CN"/>
        </w:rPr>
        <w:t>2.59</w:t>
      </w:r>
      <w:r>
        <w:rPr>
          <w:rFonts w:hint="eastAsia" w:ascii="宋体" w:hAnsi="宋体" w:eastAsia="宋体"/>
          <w:kern w:val="0"/>
          <w:sz w:val="28"/>
          <w:szCs w:val="28"/>
        </w:rPr>
        <w:t>%。主要原因是：</w:t>
      </w:r>
      <w:r>
        <w:rPr>
          <w:rFonts w:hint="eastAsia" w:ascii="宋体" w:hAnsi="宋体" w:eastAsia="宋体"/>
          <w:sz w:val="28"/>
          <w:szCs w:val="28"/>
        </w:rPr>
        <w:t>幼儿数量</w:t>
      </w:r>
      <w:r>
        <w:rPr>
          <w:rFonts w:hint="eastAsia" w:ascii="宋体" w:hAnsi="宋体" w:eastAsia="宋体"/>
          <w:sz w:val="28"/>
          <w:szCs w:val="28"/>
          <w:lang w:eastAsia="zh-CN"/>
        </w:rPr>
        <w:t>增加，非税收入增加</w:t>
      </w:r>
      <w:r>
        <w:rPr>
          <w:rFonts w:hint="eastAsia" w:ascii="宋体" w:hAnsi="宋体" w:eastAsia="宋体"/>
          <w:sz w:val="28"/>
          <w:szCs w:val="28"/>
        </w:rPr>
        <w:t>。</w:t>
      </w:r>
      <w:bookmarkEnd w:id="1"/>
    </w:p>
    <w:p w14:paraId="531EB80A">
      <w:pPr>
        <w:pStyle w:val="5"/>
        <w:widowControl/>
        <w:spacing w:line="240" w:lineRule="atLeast"/>
        <w:ind w:firstLine="560" w:firstLineChars="200"/>
        <w:jc w:val="both"/>
        <w:rPr>
          <w:rFonts w:ascii="宋体" w:hAnsi="宋体" w:cs="仿宋_GB2312"/>
          <w:color w:val="000000"/>
          <w:sz w:val="28"/>
          <w:szCs w:val="28"/>
        </w:rPr>
      </w:pPr>
      <w:r>
        <w:rPr>
          <w:rFonts w:ascii="宋体" w:hAnsi="宋体" w:cs="仿宋_GB2312"/>
          <w:color w:val="000000"/>
          <w:sz w:val="28"/>
          <w:szCs w:val="28"/>
        </w:rPr>
        <w:t>项目支出</w:t>
      </w:r>
      <w:r>
        <w:rPr>
          <w:rFonts w:hint="eastAsia" w:ascii="宋体" w:hAnsi="宋体" w:cs="仿宋_GB2312"/>
          <w:color w:val="000000"/>
          <w:sz w:val="28"/>
          <w:szCs w:val="28"/>
          <w:lang w:val="en-US" w:eastAsia="zh-CN"/>
        </w:rPr>
        <w:t>118.58</w:t>
      </w:r>
      <w:r>
        <w:rPr>
          <w:rFonts w:ascii="宋体" w:hAnsi="宋体" w:cs="仿宋_GB2312"/>
          <w:color w:val="000000"/>
          <w:sz w:val="28"/>
          <w:szCs w:val="28"/>
        </w:rPr>
        <w:t>万元，占</w:t>
      </w:r>
      <w:r>
        <w:rPr>
          <w:rFonts w:hint="eastAsia" w:ascii="宋体" w:hAnsi="宋体" w:cs="仿宋_GB2312"/>
          <w:color w:val="000000"/>
          <w:sz w:val="28"/>
          <w:szCs w:val="28"/>
          <w:lang w:val="en-US" w:eastAsia="zh-CN"/>
        </w:rPr>
        <w:t>25.11</w:t>
      </w:r>
      <w:r>
        <w:rPr>
          <w:rFonts w:ascii="宋体" w:hAnsi="宋体" w:cs="仿宋_GB2312"/>
          <w:color w:val="000000"/>
          <w:sz w:val="28"/>
          <w:szCs w:val="28"/>
        </w:rPr>
        <w:t>%；上缴上级支出0万元，占0%；经营支出0万元，占0%；对附属单位补助支出0万元，占0%。</w:t>
      </w:r>
    </w:p>
    <w:p w14:paraId="2266E527">
      <w:pPr>
        <w:widowControl/>
        <w:spacing w:line="600" w:lineRule="exact"/>
        <w:ind w:firstLine="560" w:firstLineChars="200"/>
        <w:rPr>
          <w:rFonts w:ascii="宋体" w:hAnsi="宋体" w:eastAsia="宋体"/>
          <w:kern w:val="0"/>
          <w:sz w:val="28"/>
          <w:szCs w:val="28"/>
        </w:rPr>
      </w:pPr>
      <w:r>
        <w:rPr>
          <w:rFonts w:hint="eastAsia" w:ascii="宋体" w:hAnsi="宋体" w:eastAsia="宋体" w:cs="仿宋_GB2312"/>
          <w:color w:val="333333"/>
          <w:sz w:val="28"/>
          <w:szCs w:val="28"/>
        </w:rPr>
        <w:t>五、</w:t>
      </w:r>
      <w:r>
        <w:rPr>
          <w:rFonts w:ascii="宋体" w:hAnsi="宋体" w:eastAsia="宋体"/>
          <w:kern w:val="0"/>
          <w:sz w:val="28"/>
          <w:szCs w:val="28"/>
        </w:rPr>
        <w:t>一般公共预算财政拨款支出决算情况说明</w:t>
      </w:r>
    </w:p>
    <w:p w14:paraId="1B6147CA">
      <w:pPr>
        <w:widowControl/>
        <w:spacing w:line="600" w:lineRule="exact"/>
        <w:ind w:firstLine="840" w:firstLineChars="300"/>
        <w:rPr>
          <w:rFonts w:ascii="宋体" w:hAnsi="宋体" w:eastAsia="宋体"/>
          <w:kern w:val="0"/>
          <w:sz w:val="28"/>
          <w:szCs w:val="28"/>
        </w:rPr>
      </w:pPr>
      <w:r>
        <w:rPr>
          <w:rFonts w:ascii="宋体" w:hAnsi="宋体" w:eastAsia="宋体"/>
          <w:kern w:val="0"/>
          <w:sz w:val="28"/>
          <w:szCs w:val="28"/>
        </w:rPr>
        <w:t>（一）</w:t>
      </w:r>
      <w:r>
        <w:rPr>
          <w:rFonts w:hint="eastAsia" w:ascii="宋体" w:hAnsi="宋体" w:eastAsia="宋体"/>
          <w:kern w:val="0"/>
          <w:sz w:val="28"/>
          <w:szCs w:val="28"/>
        </w:rPr>
        <w:t>一般公共预算</w:t>
      </w:r>
      <w:r>
        <w:rPr>
          <w:rFonts w:ascii="宋体" w:hAnsi="宋体" w:eastAsia="宋体"/>
          <w:kern w:val="0"/>
          <w:sz w:val="28"/>
          <w:szCs w:val="28"/>
        </w:rPr>
        <w:t>财政拨款支出决算总体情况。</w:t>
      </w:r>
    </w:p>
    <w:p w14:paraId="193D257F">
      <w:pPr>
        <w:pStyle w:val="5"/>
        <w:widowControl/>
        <w:spacing w:line="240" w:lineRule="atLeast"/>
        <w:ind w:firstLine="420"/>
        <w:jc w:val="both"/>
        <w:rPr>
          <w:rFonts w:ascii="宋体" w:hAnsi="宋体" w:cs="仿宋_GB2312"/>
          <w:color w:val="000000"/>
          <w:sz w:val="28"/>
          <w:szCs w:val="28"/>
        </w:rPr>
      </w:pPr>
      <w:r>
        <w:rPr>
          <w:rFonts w:ascii="宋体" w:hAnsi="宋体" w:cs="仿宋_GB2312"/>
          <w:color w:val="333333"/>
          <w:sz w:val="28"/>
          <w:szCs w:val="28"/>
        </w:rPr>
        <w:t>20</w:t>
      </w:r>
      <w:r>
        <w:rPr>
          <w:rFonts w:hint="eastAsia" w:ascii="宋体" w:hAnsi="宋体" w:cs="仿宋_GB2312"/>
          <w:color w:val="333333"/>
          <w:sz w:val="28"/>
          <w:szCs w:val="28"/>
        </w:rPr>
        <w:t>2</w:t>
      </w:r>
      <w:r>
        <w:rPr>
          <w:rFonts w:hint="eastAsia" w:ascii="宋体" w:hAnsi="宋体" w:cs="仿宋_GB2312"/>
          <w:color w:val="333333"/>
          <w:sz w:val="28"/>
          <w:szCs w:val="28"/>
          <w:lang w:val="en-US" w:eastAsia="zh-CN"/>
        </w:rPr>
        <w:t>4</w:t>
      </w:r>
      <w:r>
        <w:rPr>
          <w:rFonts w:ascii="宋体" w:hAnsi="宋体" w:cs="仿宋_GB2312"/>
          <w:color w:val="333333"/>
          <w:sz w:val="28"/>
          <w:szCs w:val="28"/>
        </w:rPr>
        <w:t>年度一般公共预算财政拨款支出</w:t>
      </w:r>
      <w:r>
        <w:rPr>
          <w:rFonts w:hint="eastAsia" w:ascii="宋体" w:hAnsi="宋体" w:cs="仿宋_GB2312"/>
          <w:color w:val="333333"/>
          <w:sz w:val="28"/>
          <w:szCs w:val="28"/>
          <w:lang w:val="en-US" w:eastAsia="zh-CN"/>
        </w:rPr>
        <w:t>472.16</w:t>
      </w:r>
      <w:r>
        <w:rPr>
          <w:rFonts w:hint="eastAsia" w:ascii="宋体" w:hAnsi="宋体" w:cs="仿宋_GB2312"/>
          <w:color w:val="333333"/>
          <w:sz w:val="28"/>
          <w:szCs w:val="28"/>
        </w:rPr>
        <w:t>万元，</w:t>
      </w:r>
      <w:r>
        <w:rPr>
          <w:rFonts w:ascii="宋体" w:hAnsi="宋体" w:cs="仿宋_GB2312"/>
          <w:color w:val="000000"/>
          <w:sz w:val="28"/>
          <w:szCs w:val="28"/>
        </w:rPr>
        <w:t>占本年支出合计的</w:t>
      </w:r>
      <w:r>
        <w:rPr>
          <w:rFonts w:hint="eastAsia" w:ascii="宋体" w:hAnsi="宋体" w:cs="仿宋_GB2312"/>
          <w:color w:val="000000"/>
          <w:sz w:val="28"/>
          <w:szCs w:val="28"/>
          <w:lang w:val="en-US" w:eastAsia="zh-CN"/>
        </w:rPr>
        <w:t>100</w:t>
      </w:r>
      <w:r>
        <w:rPr>
          <w:rFonts w:ascii="宋体" w:hAnsi="宋体" w:cs="仿宋_GB2312"/>
          <w:color w:val="000000"/>
          <w:sz w:val="28"/>
          <w:szCs w:val="28"/>
        </w:rPr>
        <w:t>%，</w:t>
      </w:r>
      <w:r>
        <w:rPr>
          <w:rFonts w:hint="eastAsia" w:ascii="宋体" w:hAnsi="宋体" w:cs="仿宋_GB2312"/>
          <w:color w:val="333333"/>
          <w:sz w:val="28"/>
          <w:szCs w:val="28"/>
        </w:rPr>
        <w:t>与20</w:t>
      </w:r>
      <w:r>
        <w:rPr>
          <w:rFonts w:hint="eastAsia" w:ascii="宋体" w:hAnsi="宋体" w:cs="仿宋_GB2312"/>
          <w:color w:val="333333"/>
          <w:sz w:val="28"/>
          <w:szCs w:val="28"/>
          <w:lang w:val="en-US" w:eastAsia="zh-CN"/>
        </w:rPr>
        <w:t>23</w:t>
      </w:r>
      <w:r>
        <w:rPr>
          <w:rFonts w:hint="eastAsia" w:ascii="宋体" w:hAnsi="宋体" w:cs="仿宋_GB2312"/>
          <w:color w:val="333333"/>
          <w:sz w:val="28"/>
          <w:szCs w:val="28"/>
        </w:rPr>
        <w:t>年相比，</w:t>
      </w:r>
      <w:r>
        <w:rPr>
          <w:rFonts w:hint="eastAsia" w:ascii="宋体" w:hAnsi="宋体" w:eastAsia="宋体"/>
          <w:sz w:val="28"/>
          <w:szCs w:val="28"/>
          <w:lang w:eastAsia="zh-CN"/>
        </w:rPr>
        <w:t>增加</w:t>
      </w:r>
      <w:r>
        <w:rPr>
          <w:rFonts w:hint="eastAsia" w:ascii="宋体" w:hAnsi="宋体"/>
          <w:sz w:val="28"/>
          <w:szCs w:val="28"/>
          <w:lang w:val="en-US" w:eastAsia="zh-CN"/>
        </w:rPr>
        <w:t>11.92</w:t>
      </w:r>
      <w:r>
        <w:rPr>
          <w:rFonts w:hint="eastAsia" w:ascii="宋体" w:hAnsi="宋体" w:eastAsia="宋体"/>
          <w:kern w:val="0"/>
          <w:sz w:val="28"/>
          <w:szCs w:val="28"/>
        </w:rPr>
        <w:t>万元，</w:t>
      </w:r>
      <w:r>
        <w:rPr>
          <w:rFonts w:hint="eastAsia" w:ascii="宋体" w:hAnsi="宋体" w:eastAsia="宋体"/>
          <w:kern w:val="0"/>
          <w:sz w:val="28"/>
          <w:szCs w:val="28"/>
          <w:lang w:eastAsia="zh-CN"/>
        </w:rPr>
        <w:t>增加</w:t>
      </w:r>
      <w:r>
        <w:rPr>
          <w:rFonts w:hint="eastAsia" w:ascii="宋体" w:hAnsi="宋体" w:eastAsia="宋体"/>
          <w:kern w:val="0"/>
          <w:sz w:val="28"/>
          <w:szCs w:val="28"/>
          <w:lang w:val="en-US" w:eastAsia="zh-CN"/>
        </w:rPr>
        <w:t>2.59</w:t>
      </w:r>
      <w:r>
        <w:rPr>
          <w:rFonts w:hint="eastAsia" w:ascii="宋体" w:hAnsi="宋体" w:eastAsia="宋体"/>
          <w:kern w:val="0"/>
          <w:sz w:val="28"/>
          <w:szCs w:val="28"/>
        </w:rPr>
        <w:t>%。主要原因是：</w:t>
      </w:r>
      <w:r>
        <w:rPr>
          <w:rFonts w:hint="eastAsia" w:ascii="宋体" w:hAnsi="宋体" w:eastAsia="宋体"/>
          <w:sz w:val="28"/>
          <w:szCs w:val="28"/>
        </w:rPr>
        <w:t>幼儿数量</w:t>
      </w:r>
      <w:r>
        <w:rPr>
          <w:rFonts w:hint="eastAsia" w:ascii="宋体" w:hAnsi="宋体" w:eastAsia="宋体"/>
          <w:kern w:val="0"/>
          <w:sz w:val="28"/>
          <w:szCs w:val="28"/>
          <w:lang w:eastAsia="zh-CN"/>
        </w:rPr>
        <w:t>增加</w:t>
      </w:r>
      <w:r>
        <w:rPr>
          <w:rFonts w:hint="eastAsia" w:ascii="宋体" w:hAnsi="宋体" w:eastAsia="宋体"/>
          <w:sz w:val="28"/>
          <w:szCs w:val="28"/>
        </w:rPr>
        <w:t>所致</w:t>
      </w:r>
      <w:r>
        <w:rPr>
          <w:rFonts w:hint="eastAsia" w:ascii="宋体" w:hAnsi="宋体" w:eastAsia="宋体"/>
          <w:sz w:val="28"/>
          <w:szCs w:val="28"/>
          <w:lang w:eastAsia="zh-CN"/>
        </w:rPr>
        <w:t>，非税收入</w:t>
      </w:r>
      <w:r>
        <w:rPr>
          <w:rFonts w:hint="eastAsia" w:ascii="宋体" w:hAnsi="宋体" w:eastAsia="宋体"/>
          <w:kern w:val="0"/>
          <w:sz w:val="28"/>
          <w:szCs w:val="28"/>
          <w:lang w:eastAsia="zh-CN"/>
        </w:rPr>
        <w:t>增加</w:t>
      </w:r>
      <w:r>
        <w:rPr>
          <w:rFonts w:hint="eastAsia" w:ascii="宋体" w:hAnsi="宋体" w:eastAsia="宋体"/>
          <w:sz w:val="28"/>
          <w:szCs w:val="28"/>
        </w:rPr>
        <w:t>。</w:t>
      </w:r>
    </w:p>
    <w:p w14:paraId="4DF90146">
      <w:pPr>
        <w:widowControl/>
        <w:spacing w:line="600" w:lineRule="exact"/>
        <w:ind w:firstLine="560" w:firstLineChars="200"/>
        <w:rPr>
          <w:rFonts w:ascii="宋体" w:hAnsi="宋体" w:eastAsia="宋体" w:cs="仿宋_GB2312"/>
          <w:color w:val="333333"/>
          <w:sz w:val="28"/>
          <w:szCs w:val="28"/>
        </w:rPr>
      </w:pPr>
    </w:p>
    <w:p w14:paraId="77E46BD7">
      <w:pPr>
        <w:widowControl/>
        <w:numPr>
          <w:ilvl w:val="0"/>
          <w:numId w:val="2"/>
        </w:numPr>
        <w:spacing w:line="600" w:lineRule="exact"/>
        <w:rPr>
          <w:rFonts w:ascii="宋体" w:hAnsi="宋体" w:eastAsia="宋体"/>
          <w:kern w:val="0"/>
          <w:sz w:val="28"/>
          <w:szCs w:val="28"/>
        </w:rPr>
      </w:pPr>
      <w:r>
        <w:rPr>
          <w:rFonts w:ascii="宋体" w:hAnsi="宋体" w:eastAsia="宋体"/>
          <w:kern w:val="0"/>
          <w:sz w:val="28"/>
          <w:szCs w:val="28"/>
        </w:rPr>
        <w:t>财政拨款支出决算结构情况。</w:t>
      </w:r>
    </w:p>
    <w:p w14:paraId="262DD9AE">
      <w:pPr>
        <w:pStyle w:val="5"/>
        <w:widowControl/>
        <w:spacing w:line="240" w:lineRule="atLeast"/>
        <w:ind w:firstLine="420"/>
        <w:jc w:val="both"/>
        <w:rPr>
          <w:rFonts w:hint="default" w:ascii="宋体" w:hAnsi="宋体" w:eastAsia="宋体" w:cs="仿宋_GB2312"/>
          <w:color w:val="000000"/>
          <w:sz w:val="28"/>
          <w:szCs w:val="28"/>
          <w:lang w:val="en-US" w:eastAsia="zh-CN"/>
        </w:rPr>
      </w:pPr>
      <w:r>
        <w:rPr>
          <w:rFonts w:ascii="宋体" w:hAnsi="宋体" w:cs="仿宋_GB2312"/>
          <w:color w:val="333333"/>
          <w:sz w:val="28"/>
          <w:szCs w:val="28"/>
        </w:rPr>
        <w:t>20</w:t>
      </w:r>
      <w:r>
        <w:rPr>
          <w:rFonts w:hint="eastAsia" w:ascii="宋体" w:hAnsi="宋体" w:cs="仿宋_GB2312"/>
          <w:color w:val="333333"/>
          <w:sz w:val="28"/>
          <w:szCs w:val="28"/>
        </w:rPr>
        <w:t>2</w:t>
      </w:r>
      <w:r>
        <w:rPr>
          <w:rFonts w:hint="eastAsia" w:ascii="宋体" w:hAnsi="宋体" w:cs="仿宋_GB2312"/>
          <w:color w:val="333333"/>
          <w:sz w:val="28"/>
          <w:szCs w:val="28"/>
          <w:lang w:val="en-US" w:eastAsia="zh-CN"/>
        </w:rPr>
        <w:t>4</w:t>
      </w:r>
      <w:r>
        <w:rPr>
          <w:rFonts w:ascii="宋体" w:hAnsi="宋体" w:cs="仿宋_GB2312"/>
          <w:color w:val="333333"/>
          <w:sz w:val="28"/>
          <w:szCs w:val="28"/>
        </w:rPr>
        <w:t>年度一般公共预算财政拨款支出</w:t>
      </w:r>
      <w:r>
        <w:rPr>
          <w:rFonts w:hint="eastAsia" w:ascii="宋体" w:hAnsi="宋体" w:cs="仿宋_GB2312"/>
          <w:color w:val="333333"/>
          <w:sz w:val="28"/>
          <w:szCs w:val="28"/>
          <w:lang w:val="en-US" w:eastAsia="zh-CN"/>
        </w:rPr>
        <w:t>472.16</w:t>
      </w:r>
      <w:r>
        <w:rPr>
          <w:rFonts w:ascii="宋体" w:hAnsi="宋体" w:cs="仿宋_GB2312"/>
          <w:color w:val="333333"/>
          <w:sz w:val="28"/>
          <w:szCs w:val="28"/>
        </w:rPr>
        <w:t>万元，</w:t>
      </w:r>
      <w:r>
        <w:rPr>
          <w:rFonts w:ascii="宋体" w:hAnsi="宋体" w:cs="仿宋_GB2312"/>
          <w:color w:val="000000"/>
          <w:sz w:val="28"/>
          <w:szCs w:val="28"/>
        </w:rPr>
        <w:t>主要用于以下方面：一般公共服务（类）支出</w:t>
      </w:r>
      <w:r>
        <w:rPr>
          <w:rFonts w:hint="eastAsia" w:ascii="宋体" w:hAnsi="宋体" w:cs="仿宋_GB2312"/>
          <w:color w:val="000000"/>
          <w:sz w:val="28"/>
          <w:szCs w:val="28"/>
          <w:lang w:val="en-US" w:eastAsia="zh-CN"/>
        </w:rPr>
        <w:t>0</w:t>
      </w:r>
      <w:r>
        <w:rPr>
          <w:rFonts w:ascii="宋体" w:hAnsi="宋体" w:cs="仿宋_GB2312"/>
          <w:color w:val="000000"/>
          <w:sz w:val="28"/>
          <w:szCs w:val="28"/>
        </w:rPr>
        <w:t>万元，占</w:t>
      </w:r>
      <w:r>
        <w:rPr>
          <w:rFonts w:hint="eastAsia" w:ascii="宋体" w:hAnsi="宋体" w:cs="仿宋_GB2312"/>
          <w:color w:val="000000"/>
          <w:sz w:val="28"/>
          <w:szCs w:val="28"/>
        </w:rPr>
        <w:t>0</w:t>
      </w:r>
      <w:r>
        <w:rPr>
          <w:rFonts w:hint="eastAsia" w:ascii="宋体" w:hAnsi="宋体" w:cs="仿宋_GB2312"/>
          <w:color w:val="000000"/>
          <w:sz w:val="28"/>
          <w:szCs w:val="28"/>
          <w:lang w:val="en-US" w:eastAsia="zh-CN"/>
        </w:rPr>
        <w:t>.00</w:t>
      </w:r>
      <w:r>
        <w:rPr>
          <w:rFonts w:ascii="宋体" w:hAnsi="宋体" w:cs="仿宋_GB2312"/>
          <w:color w:val="000000"/>
          <w:sz w:val="28"/>
          <w:szCs w:val="28"/>
        </w:rPr>
        <w:t>%；教育（类）支出</w:t>
      </w:r>
      <w:r>
        <w:rPr>
          <w:rFonts w:hint="eastAsia" w:ascii="宋体" w:hAnsi="宋体" w:cs="仿宋_GB2312"/>
          <w:color w:val="000000"/>
          <w:sz w:val="28"/>
          <w:szCs w:val="28"/>
          <w:lang w:val="en-US" w:eastAsia="zh-CN"/>
        </w:rPr>
        <w:t>367.85</w:t>
      </w:r>
      <w:r>
        <w:rPr>
          <w:rFonts w:ascii="宋体" w:hAnsi="宋体" w:cs="仿宋_GB2312"/>
          <w:color w:val="000000"/>
          <w:sz w:val="28"/>
          <w:szCs w:val="28"/>
        </w:rPr>
        <w:t>万元，占</w:t>
      </w:r>
      <w:r>
        <w:rPr>
          <w:rFonts w:hint="eastAsia" w:ascii="宋体" w:hAnsi="宋体" w:cs="仿宋_GB2312"/>
          <w:color w:val="000000"/>
          <w:sz w:val="28"/>
          <w:szCs w:val="28"/>
          <w:lang w:val="en-US" w:eastAsia="zh-CN"/>
        </w:rPr>
        <w:t>77.91</w:t>
      </w:r>
      <w:r>
        <w:rPr>
          <w:rFonts w:ascii="宋体" w:hAnsi="宋体" w:cs="仿宋_GB2312"/>
          <w:color w:val="000000"/>
          <w:sz w:val="28"/>
          <w:szCs w:val="28"/>
        </w:rPr>
        <w:t>%;社会保障和就业（类）支出</w:t>
      </w:r>
      <w:r>
        <w:rPr>
          <w:rFonts w:hint="eastAsia" w:ascii="宋体" w:hAnsi="宋体" w:cs="仿宋_GB2312"/>
          <w:color w:val="000000"/>
          <w:sz w:val="28"/>
          <w:szCs w:val="28"/>
          <w:lang w:val="en-US" w:eastAsia="zh-CN"/>
        </w:rPr>
        <w:t>62.26</w:t>
      </w:r>
      <w:r>
        <w:rPr>
          <w:rFonts w:ascii="宋体" w:hAnsi="宋体" w:cs="仿宋_GB2312"/>
          <w:color w:val="000000"/>
          <w:sz w:val="28"/>
          <w:szCs w:val="28"/>
        </w:rPr>
        <w:t>万元，占</w:t>
      </w:r>
      <w:r>
        <w:rPr>
          <w:rFonts w:hint="eastAsia" w:ascii="宋体" w:hAnsi="宋体" w:cs="仿宋_GB2312"/>
          <w:color w:val="000000"/>
          <w:sz w:val="28"/>
          <w:szCs w:val="28"/>
          <w:lang w:val="en-US" w:eastAsia="zh-CN"/>
        </w:rPr>
        <w:t>13.18</w:t>
      </w:r>
      <w:r>
        <w:rPr>
          <w:rFonts w:ascii="宋体" w:hAnsi="宋体" w:cs="仿宋_GB2312"/>
          <w:color w:val="000000"/>
          <w:sz w:val="28"/>
          <w:szCs w:val="28"/>
        </w:rPr>
        <w:t>%;卫生健康（类）支出</w:t>
      </w:r>
      <w:r>
        <w:rPr>
          <w:rFonts w:hint="eastAsia" w:ascii="宋体" w:hAnsi="宋体" w:cs="仿宋_GB2312"/>
          <w:color w:val="000000"/>
          <w:sz w:val="28"/>
          <w:szCs w:val="28"/>
        </w:rPr>
        <w:t>1</w:t>
      </w:r>
      <w:r>
        <w:rPr>
          <w:rFonts w:hint="eastAsia" w:ascii="宋体" w:hAnsi="宋体" w:cs="仿宋_GB2312"/>
          <w:color w:val="000000"/>
          <w:sz w:val="28"/>
          <w:szCs w:val="28"/>
          <w:lang w:val="en-US" w:eastAsia="zh-CN"/>
        </w:rPr>
        <w:t>3.99</w:t>
      </w:r>
      <w:r>
        <w:rPr>
          <w:rFonts w:ascii="宋体" w:hAnsi="宋体" w:cs="仿宋_GB2312"/>
          <w:color w:val="000000"/>
          <w:sz w:val="28"/>
          <w:szCs w:val="28"/>
        </w:rPr>
        <w:t>万元，占</w:t>
      </w:r>
      <w:r>
        <w:rPr>
          <w:rFonts w:hint="eastAsia" w:ascii="宋体" w:hAnsi="宋体" w:cs="仿宋_GB2312"/>
          <w:color w:val="000000"/>
          <w:sz w:val="28"/>
          <w:szCs w:val="28"/>
        </w:rPr>
        <w:t>2.</w:t>
      </w:r>
      <w:r>
        <w:rPr>
          <w:rFonts w:hint="eastAsia" w:ascii="宋体" w:hAnsi="宋体" w:cs="仿宋_GB2312"/>
          <w:color w:val="000000"/>
          <w:sz w:val="28"/>
          <w:szCs w:val="28"/>
          <w:lang w:val="en-US" w:eastAsia="zh-CN"/>
        </w:rPr>
        <w:t>96</w:t>
      </w:r>
      <w:r>
        <w:rPr>
          <w:rFonts w:ascii="宋体" w:hAnsi="宋体" w:cs="仿宋_GB2312"/>
          <w:color w:val="000000"/>
          <w:sz w:val="28"/>
          <w:szCs w:val="28"/>
        </w:rPr>
        <w:t>%。</w:t>
      </w:r>
      <w:r>
        <w:rPr>
          <w:rFonts w:hint="eastAsia" w:ascii="宋体" w:hAnsi="宋体" w:cs="仿宋_GB2312"/>
          <w:color w:val="000000"/>
          <w:sz w:val="28"/>
          <w:szCs w:val="28"/>
          <w:lang w:eastAsia="zh-CN"/>
        </w:rPr>
        <w:t>住房保障</w:t>
      </w:r>
      <w:r>
        <w:rPr>
          <w:rFonts w:ascii="宋体" w:hAnsi="宋体" w:cs="仿宋_GB2312"/>
          <w:color w:val="000000"/>
          <w:sz w:val="28"/>
          <w:szCs w:val="28"/>
        </w:rPr>
        <w:t>（类）</w:t>
      </w:r>
      <w:r>
        <w:rPr>
          <w:rFonts w:hint="eastAsia" w:ascii="宋体" w:hAnsi="宋体" w:cs="仿宋_GB2312"/>
          <w:color w:val="000000"/>
          <w:sz w:val="28"/>
          <w:szCs w:val="28"/>
          <w:lang w:eastAsia="zh-CN"/>
        </w:rPr>
        <w:t>支出</w:t>
      </w:r>
      <w:r>
        <w:rPr>
          <w:rFonts w:hint="eastAsia" w:ascii="宋体" w:hAnsi="宋体" w:cs="仿宋_GB2312"/>
          <w:color w:val="000000"/>
          <w:sz w:val="28"/>
          <w:szCs w:val="28"/>
          <w:lang w:val="en-US" w:eastAsia="zh-CN"/>
        </w:rPr>
        <w:t>28.06，占5.95</w:t>
      </w:r>
      <w:r>
        <w:rPr>
          <w:rFonts w:ascii="宋体" w:hAnsi="宋体" w:cs="仿宋_GB2312"/>
          <w:color w:val="000000"/>
          <w:sz w:val="28"/>
          <w:szCs w:val="28"/>
        </w:rPr>
        <w:t>%</w:t>
      </w:r>
    </w:p>
    <w:p w14:paraId="5C16FCA9">
      <w:pPr>
        <w:widowControl/>
        <w:spacing w:line="600" w:lineRule="exact"/>
        <w:ind w:firstLine="140" w:firstLineChars="50"/>
        <w:rPr>
          <w:rFonts w:ascii="宋体" w:hAnsi="宋体" w:eastAsia="宋体"/>
          <w:kern w:val="0"/>
          <w:sz w:val="28"/>
          <w:szCs w:val="28"/>
        </w:rPr>
      </w:pPr>
      <w:r>
        <w:rPr>
          <w:rFonts w:ascii="宋体" w:hAnsi="宋体" w:eastAsia="宋体"/>
          <w:bCs/>
          <w:kern w:val="0"/>
          <w:sz w:val="28"/>
          <w:szCs w:val="28"/>
        </w:rPr>
        <w:t>（三）财政拨款支出决算具体情况。</w:t>
      </w:r>
    </w:p>
    <w:p w14:paraId="4BDF28B4">
      <w:pPr>
        <w:pStyle w:val="5"/>
        <w:widowControl/>
        <w:spacing w:line="240" w:lineRule="atLeast"/>
        <w:ind w:firstLine="840" w:firstLineChars="300"/>
        <w:jc w:val="both"/>
        <w:rPr>
          <w:rFonts w:ascii="宋体" w:hAnsi="宋体" w:cs="仿宋_GB2312"/>
          <w:color w:val="000000"/>
          <w:sz w:val="28"/>
          <w:szCs w:val="28"/>
        </w:rPr>
      </w:pPr>
      <w:r>
        <w:rPr>
          <w:rFonts w:hint="eastAsia" w:ascii="宋体" w:hAnsi="宋体"/>
          <w:sz w:val="28"/>
          <w:szCs w:val="28"/>
        </w:rPr>
        <w:t>202</w:t>
      </w:r>
      <w:r>
        <w:rPr>
          <w:rFonts w:hint="eastAsia" w:ascii="宋体" w:hAnsi="宋体"/>
          <w:sz w:val="28"/>
          <w:szCs w:val="28"/>
          <w:lang w:val="en-US" w:eastAsia="zh-CN"/>
        </w:rPr>
        <w:t>4</w:t>
      </w:r>
      <w:r>
        <w:rPr>
          <w:rFonts w:hint="eastAsia" w:ascii="宋体" w:hAnsi="宋体"/>
          <w:sz w:val="28"/>
          <w:szCs w:val="28"/>
        </w:rPr>
        <w:t>年奖金由财政拨指标，由单位发放。</w:t>
      </w:r>
      <w:r>
        <w:rPr>
          <w:rFonts w:ascii="宋体" w:hAnsi="宋体" w:cs="仿宋_GB2312"/>
          <w:color w:val="000000"/>
          <w:sz w:val="28"/>
          <w:szCs w:val="28"/>
        </w:rPr>
        <w:t>20</w:t>
      </w:r>
      <w:r>
        <w:rPr>
          <w:rFonts w:hint="eastAsia" w:ascii="宋体" w:hAnsi="宋体" w:cs="仿宋_GB2312"/>
          <w:color w:val="000000"/>
          <w:sz w:val="28"/>
          <w:szCs w:val="28"/>
          <w:lang w:val="en-US" w:eastAsia="zh-CN"/>
        </w:rPr>
        <w:t>24</w:t>
      </w:r>
      <w:r>
        <w:rPr>
          <w:rFonts w:ascii="宋体" w:hAnsi="宋体" w:cs="仿宋_GB2312"/>
          <w:color w:val="000000"/>
          <w:sz w:val="28"/>
          <w:szCs w:val="28"/>
        </w:rPr>
        <w:t>年度财政拨款支出年初预算数为</w:t>
      </w:r>
      <w:r>
        <w:rPr>
          <w:rFonts w:hint="eastAsia" w:ascii="宋体" w:hAnsi="宋体" w:cs="仿宋_GB2312"/>
          <w:color w:val="000000"/>
          <w:sz w:val="28"/>
          <w:szCs w:val="28"/>
          <w:lang w:val="en-US" w:eastAsia="zh-CN"/>
        </w:rPr>
        <w:t>466.04</w:t>
      </w:r>
      <w:r>
        <w:rPr>
          <w:rFonts w:ascii="宋体" w:hAnsi="宋体" w:cs="仿宋_GB2312"/>
          <w:color w:val="000000"/>
          <w:sz w:val="28"/>
          <w:szCs w:val="28"/>
        </w:rPr>
        <w:t>万元，支出决算数为</w:t>
      </w:r>
      <w:r>
        <w:rPr>
          <w:rFonts w:hint="eastAsia" w:ascii="宋体" w:hAnsi="宋体" w:cs="仿宋_GB2312"/>
          <w:color w:val="000000"/>
          <w:sz w:val="28"/>
          <w:szCs w:val="28"/>
        </w:rPr>
        <w:t>4</w:t>
      </w:r>
      <w:r>
        <w:rPr>
          <w:rFonts w:hint="eastAsia" w:ascii="宋体" w:hAnsi="宋体" w:cs="仿宋_GB2312"/>
          <w:color w:val="000000"/>
          <w:sz w:val="28"/>
          <w:szCs w:val="28"/>
          <w:lang w:val="en-US" w:eastAsia="zh-CN"/>
        </w:rPr>
        <w:t>72.16</w:t>
      </w:r>
      <w:r>
        <w:rPr>
          <w:rFonts w:ascii="宋体" w:hAnsi="宋体" w:cs="仿宋_GB2312"/>
          <w:color w:val="000000"/>
          <w:sz w:val="28"/>
          <w:szCs w:val="28"/>
        </w:rPr>
        <w:t>万元，完成年初预算的</w:t>
      </w:r>
      <w:r>
        <w:rPr>
          <w:rFonts w:hint="eastAsia" w:ascii="宋体" w:hAnsi="宋体" w:cs="仿宋_GB2312"/>
          <w:color w:val="000000"/>
          <w:sz w:val="28"/>
          <w:szCs w:val="28"/>
          <w:lang w:val="en-US" w:eastAsia="zh-CN"/>
        </w:rPr>
        <w:t>100</w:t>
      </w:r>
      <w:r>
        <w:rPr>
          <w:rFonts w:ascii="宋体" w:hAnsi="宋体" w:cs="仿宋_GB2312"/>
          <w:color w:val="000000"/>
          <w:sz w:val="28"/>
          <w:szCs w:val="28"/>
        </w:rPr>
        <w:t>%，其中：</w:t>
      </w:r>
    </w:p>
    <w:p w14:paraId="7ECD4200">
      <w:pPr>
        <w:pStyle w:val="5"/>
        <w:widowControl/>
        <w:spacing w:line="240" w:lineRule="atLeast"/>
        <w:ind w:firstLine="420"/>
        <w:jc w:val="both"/>
        <w:rPr>
          <w:rFonts w:ascii="宋体" w:hAnsi="宋体" w:cs="仿宋_GB2312"/>
          <w:color w:val="000000"/>
          <w:sz w:val="28"/>
          <w:szCs w:val="28"/>
        </w:rPr>
      </w:pPr>
      <w:r>
        <w:rPr>
          <w:rFonts w:ascii="宋体" w:hAnsi="宋体" w:cs="仿宋_GB2312"/>
          <w:color w:val="000000"/>
          <w:sz w:val="28"/>
          <w:szCs w:val="28"/>
        </w:rPr>
        <w:t>1、一般公共服务（类）</w:t>
      </w:r>
      <w:r>
        <w:rPr>
          <w:rFonts w:hint="eastAsia" w:ascii="宋体" w:hAnsi="宋体" w:cs="仿宋_GB2312"/>
          <w:color w:val="000000"/>
          <w:sz w:val="28"/>
          <w:szCs w:val="28"/>
        </w:rPr>
        <w:t>其他</w:t>
      </w:r>
      <w:r>
        <w:rPr>
          <w:rFonts w:ascii="宋体" w:hAnsi="宋体" w:cs="仿宋_GB2312"/>
          <w:color w:val="000000"/>
          <w:sz w:val="28"/>
          <w:szCs w:val="28"/>
        </w:rPr>
        <w:t>一般公共服务（款）</w:t>
      </w:r>
      <w:r>
        <w:rPr>
          <w:rFonts w:hint="eastAsia" w:ascii="宋体" w:hAnsi="宋体" w:cs="仿宋_GB2312"/>
          <w:color w:val="000000"/>
          <w:sz w:val="28"/>
          <w:szCs w:val="28"/>
        </w:rPr>
        <w:t>其他</w:t>
      </w:r>
      <w:r>
        <w:rPr>
          <w:rFonts w:ascii="宋体" w:hAnsi="宋体" w:cs="仿宋_GB2312"/>
          <w:color w:val="000000"/>
          <w:sz w:val="28"/>
          <w:szCs w:val="28"/>
        </w:rPr>
        <w:t>一般公共服务（项）。</w:t>
      </w:r>
    </w:p>
    <w:p w14:paraId="73528DD9">
      <w:pPr>
        <w:pStyle w:val="5"/>
        <w:widowControl/>
        <w:spacing w:line="240" w:lineRule="atLeast"/>
        <w:ind w:firstLine="420"/>
        <w:jc w:val="both"/>
        <w:rPr>
          <w:rFonts w:ascii="宋体" w:hAnsi="宋体" w:cs="仿宋_GB2312"/>
          <w:color w:val="000000"/>
          <w:sz w:val="28"/>
          <w:szCs w:val="28"/>
        </w:rPr>
      </w:pPr>
      <w:r>
        <w:rPr>
          <w:rFonts w:ascii="宋体" w:hAnsi="宋体" w:cs="仿宋_GB2312"/>
          <w:color w:val="000000"/>
          <w:sz w:val="28"/>
          <w:szCs w:val="28"/>
        </w:rPr>
        <w:t>年初预算为0万元，支出决算为</w:t>
      </w:r>
      <w:r>
        <w:rPr>
          <w:rFonts w:hint="eastAsia" w:ascii="宋体" w:hAnsi="宋体" w:cs="仿宋_GB2312"/>
          <w:color w:val="000000"/>
          <w:sz w:val="28"/>
          <w:szCs w:val="28"/>
          <w:lang w:val="en-US" w:eastAsia="zh-CN"/>
        </w:rPr>
        <w:t>0</w:t>
      </w:r>
      <w:r>
        <w:rPr>
          <w:rFonts w:ascii="宋体" w:hAnsi="宋体" w:cs="仿宋_GB2312"/>
          <w:color w:val="000000"/>
          <w:sz w:val="28"/>
          <w:szCs w:val="28"/>
        </w:rPr>
        <w:t>万元，完成年初预算的100%</w:t>
      </w:r>
      <w:r>
        <w:rPr>
          <w:rFonts w:hint="eastAsia" w:ascii="宋体" w:hAnsi="宋体" w:cs="仿宋_GB2312"/>
          <w:color w:val="000000"/>
          <w:sz w:val="28"/>
          <w:szCs w:val="28"/>
        </w:rPr>
        <w:t>。</w:t>
      </w:r>
    </w:p>
    <w:p w14:paraId="61EC4B1A">
      <w:pPr>
        <w:pStyle w:val="5"/>
        <w:widowControl/>
        <w:spacing w:line="240" w:lineRule="atLeast"/>
        <w:ind w:firstLine="420"/>
        <w:jc w:val="both"/>
        <w:rPr>
          <w:rFonts w:ascii="宋体" w:hAnsi="宋体" w:cs="仿宋_GB2312"/>
          <w:color w:val="000000"/>
          <w:sz w:val="28"/>
          <w:szCs w:val="28"/>
        </w:rPr>
      </w:pPr>
      <w:r>
        <w:rPr>
          <w:rFonts w:ascii="宋体" w:hAnsi="宋体" w:cs="仿宋_GB2312"/>
          <w:color w:val="000000"/>
          <w:sz w:val="28"/>
          <w:szCs w:val="28"/>
        </w:rPr>
        <w:t>2、教育（类）普通教育（款）学前教育（项）。</w:t>
      </w:r>
    </w:p>
    <w:p w14:paraId="129230E4">
      <w:pPr>
        <w:pStyle w:val="5"/>
        <w:widowControl/>
        <w:spacing w:line="240" w:lineRule="atLeast"/>
        <w:ind w:firstLine="420"/>
        <w:jc w:val="both"/>
        <w:rPr>
          <w:rFonts w:ascii="宋体" w:hAnsi="宋体" w:cs="仿宋_GB2312"/>
          <w:color w:val="000000"/>
          <w:sz w:val="28"/>
          <w:szCs w:val="28"/>
        </w:rPr>
      </w:pPr>
      <w:r>
        <w:rPr>
          <w:rFonts w:ascii="宋体" w:hAnsi="宋体" w:cs="仿宋_GB2312"/>
          <w:color w:val="000000"/>
          <w:sz w:val="28"/>
          <w:szCs w:val="28"/>
        </w:rPr>
        <w:t>年初预算为</w:t>
      </w:r>
      <w:r>
        <w:rPr>
          <w:rFonts w:hint="eastAsia" w:ascii="宋体" w:hAnsi="宋体" w:cs="仿宋_GB2312"/>
          <w:color w:val="000000"/>
          <w:sz w:val="28"/>
          <w:szCs w:val="28"/>
          <w:lang w:val="en-US" w:eastAsia="zh-CN"/>
        </w:rPr>
        <w:t>363.16</w:t>
      </w:r>
      <w:r>
        <w:rPr>
          <w:rFonts w:ascii="宋体" w:hAnsi="宋体" w:cs="仿宋_GB2312"/>
          <w:color w:val="000000"/>
          <w:sz w:val="28"/>
          <w:szCs w:val="28"/>
        </w:rPr>
        <w:t>万元，支出决算为</w:t>
      </w:r>
      <w:r>
        <w:rPr>
          <w:rFonts w:hint="eastAsia" w:ascii="宋体" w:hAnsi="宋体" w:cs="仿宋_GB2312"/>
          <w:color w:val="000000"/>
          <w:sz w:val="28"/>
          <w:szCs w:val="28"/>
          <w:lang w:val="en-US" w:eastAsia="zh-CN"/>
        </w:rPr>
        <w:t>367.85</w:t>
      </w:r>
      <w:r>
        <w:rPr>
          <w:rFonts w:ascii="宋体" w:hAnsi="宋体" w:cs="仿宋_GB2312"/>
          <w:color w:val="000000"/>
          <w:sz w:val="28"/>
          <w:szCs w:val="28"/>
        </w:rPr>
        <w:t>万元，完成年初预算的</w:t>
      </w:r>
      <w:r>
        <w:rPr>
          <w:rFonts w:hint="eastAsia" w:ascii="宋体" w:hAnsi="宋体" w:cs="仿宋_GB2312"/>
          <w:color w:val="000000"/>
          <w:sz w:val="28"/>
          <w:szCs w:val="28"/>
          <w:lang w:val="en-US" w:eastAsia="zh-CN"/>
        </w:rPr>
        <w:t>100</w:t>
      </w:r>
      <w:r>
        <w:rPr>
          <w:rFonts w:ascii="宋体" w:hAnsi="宋体" w:cs="仿宋_GB2312"/>
          <w:color w:val="000000"/>
          <w:sz w:val="28"/>
          <w:szCs w:val="28"/>
        </w:rPr>
        <w:t>%，决算数</w:t>
      </w:r>
      <w:r>
        <w:rPr>
          <w:rFonts w:hint="eastAsia" w:ascii="宋体" w:hAnsi="宋体" w:cs="仿宋_GB2312"/>
          <w:color w:val="000000"/>
          <w:sz w:val="28"/>
          <w:szCs w:val="28"/>
          <w:lang w:eastAsia="zh-CN"/>
        </w:rPr>
        <w:t>大于</w:t>
      </w:r>
      <w:r>
        <w:rPr>
          <w:rFonts w:ascii="宋体" w:hAnsi="宋体" w:cs="仿宋_GB2312"/>
          <w:color w:val="000000"/>
          <w:sz w:val="28"/>
          <w:szCs w:val="28"/>
        </w:rPr>
        <w:t>年初预算数的主要原因是：</w:t>
      </w:r>
      <w:r>
        <w:rPr>
          <w:rFonts w:hint="eastAsia" w:ascii="宋体" w:hAnsi="宋体" w:cs="仿宋_GB2312"/>
          <w:color w:val="000000"/>
          <w:sz w:val="28"/>
          <w:szCs w:val="28"/>
          <w:lang w:eastAsia="zh-CN"/>
        </w:rPr>
        <w:t>学生人数增加，导致一般公共预算资金（非税拨款）增加</w:t>
      </w:r>
      <w:r>
        <w:rPr>
          <w:rFonts w:ascii="宋体" w:hAnsi="宋体" w:cs="仿宋_GB2312"/>
          <w:color w:val="000000"/>
          <w:sz w:val="28"/>
          <w:szCs w:val="28"/>
        </w:rPr>
        <w:t>。</w:t>
      </w:r>
    </w:p>
    <w:p w14:paraId="47E8E73F">
      <w:pPr>
        <w:pStyle w:val="5"/>
        <w:widowControl/>
        <w:spacing w:line="240" w:lineRule="atLeast"/>
        <w:ind w:firstLine="420"/>
        <w:jc w:val="both"/>
        <w:rPr>
          <w:rFonts w:ascii="宋体" w:hAnsi="宋体" w:cs="仿宋_GB2312"/>
          <w:color w:val="000000"/>
          <w:sz w:val="28"/>
          <w:szCs w:val="28"/>
        </w:rPr>
      </w:pPr>
      <w:r>
        <w:rPr>
          <w:rFonts w:hint="eastAsia" w:ascii="宋体" w:hAnsi="宋体" w:cs="仿宋_GB2312"/>
          <w:color w:val="000000"/>
          <w:sz w:val="28"/>
          <w:szCs w:val="28"/>
        </w:rPr>
        <w:t>3</w:t>
      </w:r>
      <w:r>
        <w:rPr>
          <w:rFonts w:ascii="宋体" w:hAnsi="宋体" w:cs="仿宋_GB2312"/>
          <w:color w:val="000000"/>
          <w:sz w:val="28"/>
          <w:szCs w:val="28"/>
        </w:rPr>
        <w:t>、教育（类）其他教育支出（款）其他教育支出（项）。</w:t>
      </w:r>
    </w:p>
    <w:p w14:paraId="7E63C5A4">
      <w:pPr>
        <w:pStyle w:val="5"/>
        <w:widowControl/>
        <w:spacing w:line="240" w:lineRule="atLeast"/>
        <w:ind w:firstLine="420"/>
        <w:jc w:val="both"/>
        <w:rPr>
          <w:rFonts w:ascii="宋体" w:hAnsi="宋体" w:cs="仿宋_GB2312"/>
          <w:color w:val="000000"/>
          <w:sz w:val="28"/>
          <w:szCs w:val="28"/>
        </w:rPr>
      </w:pPr>
      <w:r>
        <w:rPr>
          <w:rFonts w:ascii="宋体" w:hAnsi="宋体" w:cs="仿宋_GB2312"/>
          <w:color w:val="000000"/>
          <w:sz w:val="28"/>
          <w:szCs w:val="28"/>
        </w:rPr>
        <w:t>年初预算为0万元，支出决算为</w:t>
      </w:r>
      <w:r>
        <w:rPr>
          <w:rFonts w:hint="eastAsia" w:ascii="宋体" w:hAnsi="宋体" w:cs="仿宋_GB2312"/>
          <w:color w:val="000000"/>
          <w:sz w:val="28"/>
          <w:szCs w:val="28"/>
        </w:rPr>
        <w:t>0</w:t>
      </w:r>
      <w:r>
        <w:rPr>
          <w:rFonts w:ascii="宋体" w:hAnsi="宋体" w:cs="仿宋_GB2312"/>
          <w:color w:val="000000"/>
          <w:sz w:val="28"/>
          <w:szCs w:val="28"/>
        </w:rPr>
        <w:t>万元，完成年初预算的100%</w:t>
      </w:r>
      <w:r>
        <w:rPr>
          <w:rFonts w:hint="eastAsia" w:ascii="宋体" w:hAnsi="宋体" w:cs="仿宋_GB2312"/>
          <w:color w:val="000000"/>
          <w:sz w:val="28"/>
          <w:szCs w:val="28"/>
        </w:rPr>
        <w:t>。</w:t>
      </w:r>
    </w:p>
    <w:p w14:paraId="77406BE0">
      <w:pPr>
        <w:pStyle w:val="5"/>
        <w:widowControl/>
        <w:spacing w:line="240" w:lineRule="atLeast"/>
        <w:ind w:firstLine="420"/>
        <w:jc w:val="both"/>
        <w:rPr>
          <w:rFonts w:ascii="宋体" w:hAnsi="宋体" w:cs="仿宋_GB2312"/>
          <w:color w:val="000000"/>
          <w:sz w:val="28"/>
          <w:szCs w:val="28"/>
        </w:rPr>
      </w:pPr>
      <w:r>
        <w:rPr>
          <w:rFonts w:hint="eastAsia" w:ascii="宋体" w:hAnsi="宋体" w:cs="仿宋_GB2312"/>
          <w:color w:val="000000"/>
          <w:sz w:val="28"/>
          <w:szCs w:val="28"/>
        </w:rPr>
        <w:t>4</w:t>
      </w:r>
      <w:r>
        <w:rPr>
          <w:rFonts w:ascii="宋体" w:hAnsi="宋体" w:cs="仿宋_GB2312"/>
          <w:color w:val="000000"/>
          <w:sz w:val="28"/>
          <w:szCs w:val="28"/>
        </w:rPr>
        <w:t>、社会保障和就业支出（类）行政事业单位</w:t>
      </w:r>
      <w:r>
        <w:rPr>
          <w:rFonts w:hint="eastAsia" w:ascii="宋体" w:hAnsi="宋体" w:cs="仿宋_GB2312"/>
          <w:color w:val="000000"/>
          <w:sz w:val="28"/>
          <w:szCs w:val="28"/>
          <w:lang w:eastAsia="zh-CN"/>
        </w:rPr>
        <w:t>养老支出</w:t>
      </w:r>
      <w:r>
        <w:rPr>
          <w:rFonts w:ascii="宋体" w:hAnsi="宋体" w:cs="仿宋_GB2312"/>
          <w:color w:val="000000"/>
          <w:sz w:val="28"/>
          <w:szCs w:val="28"/>
        </w:rPr>
        <w:t>（款）事业单位</w:t>
      </w:r>
      <w:r>
        <w:rPr>
          <w:rFonts w:hint="eastAsia" w:ascii="宋体" w:hAnsi="宋体" w:cs="仿宋_GB2312"/>
          <w:color w:val="000000"/>
          <w:sz w:val="28"/>
          <w:szCs w:val="28"/>
          <w:lang w:eastAsia="zh-CN"/>
        </w:rPr>
        <w:t>基本养老保险支出</w:t>
      </w:r>
      <w:r>
        <w:rPr>
          <w:rFonts w:ascii="宋体" w:hAnsi="宋体" w:cs="仿宋_GB2312"/>
          <w:color w:val="000000"/>
          <w:sz w:val="28"/>
          <w:szCs w:val="28"/>
        </w:rPr>
        <w:t>（项）。</w:t>
      </w:r>
    </w:p>
    <w:p w14:paraId="5F0C3089">
      <w:pPr>
        <w:pStyle w:val="5"/>
        <w:widowControl/>
        <w:spacing w:line="240" w:lineRule="atLeast"/>
        <w:ind w:firstLine="420"/>
        <w:jc w:val="both"/>
        <w:rPr>
          <w:rFonts w:ascii="宋体" w:hAnsi="宋体" w:cs="仿宋_GB2312"/>
          <w:color w:val="000000"/>
          <w:sz w:val="28"/>
          <w:szCs w:val="28"/>
        </w:rPr>
      </w:pPr>
      <w:r>
        <w:rPr>
          <w:rFonts w:ascii="宋体" w:hAnsi="宋体" w:cs="仿宋_GB2312"/>
          <w:color w:val="000000"/>
          <w:sz w:val="28"/>
          <w:szCs w:val="28"/>
        </w:rPr>
        <w:t>年初预算为</w:t>
      </w:r>
      <w:r>
        <w:rPr>
          <w:rFonts w:hint="eastAsia" w:ascii="宋体" w:hAnsi="宋体" w:cs="仿宋_GB2312"/>
          <w:color w:val="000000"/>
          <w:sz w:val="28"/>
          <w:szCs w:val="28"/>
          <w:lang w:val="en-US" w:eastAsia="zh-CN"/>
        </w:rPr>
        <w:t>32.19</w:t>
      </w:r>
      <w:r>
        <w:rPr>
          <w:rFonts w:ascii="宋体" w:hAnsi="宋体" w:cs="仿宋_GB2312"/>
          <w:color w:val="000000"/>
          <w:sz w:val="28"/>
          <w:szCs w:val="28"/>
        </w:rPr>
        <w:t>万元，支出决算为</w:t>
      </w:r>
      <w:r>
        <w:rPr>
          <w:rFonts w:hint="eastAsia" w:ascii="宋体" w:hAnsi="宋体" w:cs="仿宋_GB2312"/>
          <w:color w:val="000000"/>
          <w:sz w:val="28"/>
          <w:szCs w:val="28"/>
          <w:lang w:val="en-US" w:eastAsia="zh-CN"/>
        </w:rPr>
        <w:t>62.26</w:t>
      </w:r>
      <w:r>
        <w:rPr>
          <w:rFonts w:ascii="宋体" w:hAnsi="宋体" w:cs="仿宋_GB2312"/>
          <w:color w:val="000000"/>
          <w:sz w:val="28"/>
          <w:szCs w:val="28"/>
        </w:rPr>
        <w:t>万元，完成年初预算的</w:t>
      </w:r>
      <w:r>
        <w:rPr>
          <w:rFonts w:hint="eastAsia" w:ascii="宋体" w:hAnsi="宋体" w:cs="仿宋_GB2312"/>
          <w:color w:val="000000"/>
          <w:sz w:val="28"/>
          <w:szCs w:val="28"/>
          <w:lang w:val="en-US" w:eastAsia="zh-CN"/>
        </w:rPr>
        <w:t>100</w:t>
      </w:r>
      <w:r>
        <w:rPr>
          <w:rFonts w:ascii="宋体" w:hAnsi="宋体" w:cs="仿宋_GB2312"/>
          <w:color w:val="000000"/>
          <w:sz w:val="28"/>
          <w:szCs w:val="28"/>
        </w:rPr>
        <w:t>%，决算数</w:t>
      </w:r>
      <w:r>
        <w:rPr>
          <w:rFonts w:hint="eastAsia" w:ascii="宋体" w:hAnsi="宋体" w:cs="仿宋_GB2312"/>
          <w:color w:val="000000"/>
          <w:sz w:val="28"/>
          <w:szCs w:val="28"/>
          <w:lang w:eastAsia="zh-CN"/>
        </w:rPr>
        <w:t>大于</w:t>
      </w:r>
      <w:r>
        <w:rPr>
          <w:rFonts w:ascii="宋体" w:hAnsi="宋体" w:cs="仿宋_GB2312"/>
          <w:color w:val="000000"/>
          <w:sz w:val="28"/>
          <w:szCs w:val="28"/>
        </w:rPr>
        <w:t>年初预算数的主要原因是：</w:t>
      </w:r>
      <w:r>
        <w:rPr>
          <w:rFonts w:hint="eastAsia" w:ascii="宋体" w:hAnsi="宋体" w:cs="仿宋_GB2312"/>
          <w:color w:val="000000"/>
          <w:sz w:val="28"/>
          <w:szCs w:val="28"/>
          <w:lang w:eastAsia="zh-CN"/>
        </w:rPr>
        <w:t>在职及退休工作人员数量变化所致</w:t>
      </w:r>
      <w:r>
        <w:rPr>
          <w:rFonts w:ascii="宋体" w:hAnsi="宋体" w:cs="仿宋_GB2312"/>
          <w:color w:val="000000"/>
          <w:sz w:val="28"/>
          <w:szCs w:val="28"/>
        </w:rPr>
        <w:t>。</w:t>
      </w:r>
    </w:p>
    <w:p w14:paraId="226B4B27">
      <w:pPr>
        <w:pStyle w:val="5"/>
        <w:widowControl/>
        <w:spacing w:line="240" w:lineRule="atLeast"/>
        <w:ind w:firstLine="420"/>
        <w:jc w:val="both"/>
        <w:rPr>
          <w:rFonts w:ascii="宋体" w:hAnsi="宋体" w:cs="仿宋_GB2312"/>
          <w:color w:val="000000"/>
          <w:sz w:val="28"/>
          <w:szCs w:val="28"/>
        </w:rPr>
      </w:pPr>
      <w:r>
        <w:rPr>
          <w:rFonts w:hint="eastAsia" w:ascii="宋体" w:hAnsi="宋体" w:cs="仿宋_GB2312"/>
          <w:color w:val="000000"/>
          <w:sz w:val="28"/>
          <w:szCs w:val="28"/>
        </w:rPr>
        <w:t>5</w:t>
      </w:r>
      <w:r>
        <w:rPr>
          <w:rFonts w:ascii="宋体" w:hAnsi="宋体" w:cs="仿宋_GB2312"/>
          <w:color w:val="000000"/>
          <w:sz w:val="28"/>
          <w:szCs w:val="28"/>
        </w:rPr>
        <w:t>、社会保障和就业支出（类）行政事业单位</w:t>
      </w:r>
      <w:r>
        <w:rPr>
          <w:rFonts w:hint="eastAsia" w:ascii="宋体" w:hAnsi="宋体" w:cs="仿宋_GB2312"/>
          <w:color w:val="000000"/>
          <w:sz w:val="28"/>
          <w:szCs w:val="28"/>
          <w:lang w:eastAsia="zh-CN"/>
        </w:rPr>
        <w:t>养老支出</w:t>
      </w:r>
      <w:r>
        <w:rPr>
          <w:rFonts w:ascii="宋体" w:hAnsi="宋体" w:cs="仿宋_GB2312"/>
          <w:color w:val="000000"/>
          <w:sz w:val="28"/>
          <w:szCs w:val="28"/>
        </w:rPr>
        <w:t>（款）</w:t>
      </w:r>
      <w:r>
        <w:rPr>
          <w:rFonts w:hint="eastAsia" w:ascii="宋体" w:hAnsi="宋体" w:cs="仿宋_GB2312"/>
          <w:color w:val="000000"/>
          <w:sz w:val="28"/>
          <w:szCs w:val="28"/>
          <w:lang w:eastAsia="zh-CN"/>
        </w:rPr>
        <w:t>其他行政</w:t>
      </w:r>
      <w:r>
        <w:rPr>
          <w:rFonts w:ascii="宋体" w:hAnsi="宋体" w:cs="仿宋_GB2312"/>
          <w:color w:val="000000"/>
          <w:sz w:val="28"/>
          <w:szCs w:val="28"/>
        </w:rPr>
        <w:t>事业单位基本养老支出（项）。</w:t>
      </w:r>
    </w:p>
    <w:p w14:paraId="62BB48B6">
      <w:pPr>
        <w:pStyle w:val="5"/>
        <w:widowControl/>
        <w:spacing w:line="240" w:lineRule="atLeast"/>
        <w:ind w:firstLine="420"/>
        <w:jc w:val="both"/>
        <w:rPr>
          <w:rFonts w:ascii="宋体" w:hAnsi="宋体" w:cs="仿宋_GB2312"/>
          <w:color w:val="000000"/>
          <w:sz w:val="28"/>
          <w:szCs w:val="28"/>
        </w:rPr>
      </w:pPr>
      <w:r>
        <w:rPr>
          <w:rFonts w:ascii="宋体" w:hAnsi="宋体" w:cs="仿宋_GB2312"/>
          <w:color w:val="000000"/>
          <w:sz w:val="28"/>
          <w:szCs w:val="28"/>
        </w:rPr>
        <w:t>年初预算为0万元，支出决算为</w:t>
      </w:r>
      <w:r>
        <w:rPr>
          <w:rFonts w:hint="eastAsia" w:ascii="宋体" w:hAnsi="宋体" w:cs="仿宋_GB2312"/>
          <w:color w:val="000000"/>
          <w:sz w:val="28"/>
          <w:szCs w:val="28"/>
          <w:lang w:val="en-US" w:eastAsia="zh-CN"/>
        </w:rPr>
        <w:t>26.98</w:t>
      </w:r>
      <w:r>
        <w:rPr>
          <w:rFonts w:ascii="宋体" w:hAnsi="宋体" w:cs="仿宋_GB2312"/>
          <w:color w:val="000000"/>
          <w:sz w:val="28"/>
          <w:szCs w:val="28"/>
        </w:rPr>
        <w:t>万元，完成年初预算的100%，决算数大于年初预算数的主要原因是：单位部分养老保险开支由财政统一管理，未纳入单位年初预算。</w:t>
      </w:r>
    </w:p>
    <w:p w14:paraId="327CBCCE">
      <w:pPr>
        <w:pStyle w:val="5"/>
        <w:widowControl/>
        <w:spacing w:line="240" w:lineRule="atLeast"/>
        <w:ind w:firstLine="420"/>
        <w:jc w:val="both"/>
        <w:rPr>
          <w:rFonts w:ascii="宋体" w:hAnsi="宋体" w:cs="仿宋_GB2312"/>
          <w:color w:val="000000"/>
          <w:sz w:val="28"/>
          <w:szCs w:val="28"/>
        </w:rPr>
      </w:pPr>
      <w:r>
        <w:rPr>
          <w:rFonts w:hint="eastAsia" w:ascii="宋体" w:hAnsi="宋体" w:cs="仿宋_GB2312"/>
          <w:color w:val="000000"/>
          <w:sz w:val="28"/>
          <w:szCs w:val="28"/>
        </w:rPr>
        <w:t>6</w:t>
      </w:r>
      <w:r>
        <w:rPr>
          <w:rFonts w:ascii="宋体" w:hAnsi="宋体" w:cs="仿宋_GB2312"/>
          <w:color w:val="000000"/>
          <w:sz w:val="28"/>
          <w:szCs w:val="28"/>
        </w:rPr>
        <w:t>、卫生健康支出（类）行政事业单位医疗（款）</w:t>
      </w:r>
      <w:r>
        <w:rPr>
          <w:rFonts w:hint="eastAsia" w:ascii="宋体" w:hAnsi="宋体" w:cs="仿宋_GB2312"/>
          <w:color w:val="000000"/>
          <w:sz w:val="28"/>
          <w:szCs w:val="28"/>
          <w:lang w:eastAsia="zh-CN"/>
        </w:rPr>
        <w:t>行政</w:t>
      </w:r>
      <w:r>
        <w:rPr>
          <w:rFonts w:ascii="宋体" w:hAnsi="宋体" w:cs="仿宋_GB2312"/>
          <w:color w:val="000000"/>
          <w:sz w:val="28"/>
          <w:szCs w:val="28"/>
        </w:rPr>
        <w:t>单位医疗（项）。</w:t>
      </w:r>
    </w:p>
    <w:p w14:paraId="16F15696">
      <w:pPr>
        <w:pStyle w:val="5"/>
        <w:widowControl/>
        <w:spacing w:line="240" w:lineRule="atLeast"/>
        <w:ind w:firstLine="420"/>
        <w:jc w:val="both"/>
        <w:rPr>
          <w:rFonts w:ascii="宋体" w:hAnsi="宋体" w:cs="仿宋_GB2312"/>
          <w:color w:val="000000"/>
          <w:sz w:val="28"/>
          <w:szCs w:val="28"/>
        </w:rPr>
      </w:pPr>
      <w:r>
        <w:rPr>
          <w:rFonts w:ascii="宋体" w:hAnsi="宋体" w:cs="仿宋_GB2312"/>
          <w:color w:val="000000"/>
          <w:sz w:val="28"/>
          <w:szCs w:val="28"/>
        </w:rPr>
        <w:t>年初预算为</w:t>
      </w:r>
      <w:r>
        <w:rPr>
          <w:rFonts w:hint="eastAsia" w:ascii="宋体" w:hAnsi="宋体" w:cs="仿宋_GB2312"/>
          <w:color w:val="000000"/>
          <w:sz w:val="28"/>
          <w:szCs w:val="28"/>
          <w:lang w:val="en-US" w:eastAsia="zh-CN"/>
        </w:rPr>
        <w:t>13.61</w:t>
      </w:r>
      <w:r>
        <w:rPr>
          <w:rFonts w:ascii="宋体" w:hAnsi="宋体" w:cs="仿宋_GB2312"/>
          <w:color w:val="000000"/>
          <w:sz w:val="28"/>
          <w:szCs w:val="28"/>
        </w:rPr>
        <w:t>万元，支出决算为</w:t>
      </w:r>
      <w:r>
        <w:rPr>
          <w:rFonts w:hint="eastAsia" w:ascii="宋体" w:hAnsi="宋体" w:cs="仿宋_GB2312"/>
          <w:color w:val="000000"/>
          <w:sz w:val="28"/>
          <w:szCs w:val="28"/>
        </w:rPr>
        <w:t>1</w:t>
      </w:r>
      <w:r>
        <w:rPr>
          <w:rFonts w:hint="eastAsia" w:ascii="宋体" w:hAnsi="宋体" w:cs="仿宋_GB2312"/>
          <w:color w:val="000000"/>
          <w:sz w:val="28"/>
          <w:szCs w:val="28"/>
          <w:lang w:val="en-US" w:eastAsia="zh-CN"/>
        </w:rPr>
        <w:t>3.99</w:t>
      </w:r>
      <w:r>
        <w:rPr>
          <w:rFonts w:ascii="宋体" w:hAnsi="宋体" w:cs="仿宋_GB2312"/>
          <w:color w:val="000000"/>
          <w:sz w:val="28"/>
          <w:szCs w:val="28"/>
        </w:rPr>
        <w:t>万元，完成年初预算的</w:t>
      </w:r>
      <w:r>
        <w:rPr>
          <w:rFonts w:hint="eastAsia" w:ascii="宋体" w:hAnsi="宋体" w:cs="仿宋_GB2312"/>
          <w:color w:val="000000"/>
          <w:sz w:val="28"/>
          <w:szCs w:val="28"/>
          <w:lang w:val="en-US" w:eastAsia="zh-CN"/>
        </w:rPr>
        <w:t>100</w:t>
      </w:r>
      <w:r>
        <w:rPr>
          <w:rFonts w:ascii="宋体" w:hAnsi="宋体" w:cs="仿宋_GB2312"/>
          <w:color w:val="000000"/>
          <w:sz w:val="28"/>
          <w:szCs w:val="28"/>
        </w:rPr>
        <w:t>%，决算数</w:t>
      </w:r>
      <w:r>
        <w:rPr>
          <w:rFonts w:hint="eastAsia" w:ascii="宋体" w:hAnsi="宋体" w:cs="仿宋_GB2312"/>
          <w:color w:val="000000"/>
          <w:sz w:val="28"/>
          <w:szCs w:val="28"/>
          <w:lang w:eastAsia="zh-CN"/>
        </w:rPr>
        <w:t>小于</w:t>
      </w:r>
      <w:r>
        <w:rPr>
          <w:rFonts w:ascii="宋体" w:hAnsi="宋体" w:cs="仿宋_GB2312"/>
          <w:color w:val="000000"/>
          <w:sz w:val="28"/>
          <w:szCs w:val="28"/>
        </w:rPr>
        <w:t>年初预算数的主要原因是：</w:t>
      </w:r>
      <w:r>
        <w:rPr>
          <w:rFonts w:hint="eastAsia" w:ascii="宋体" w:hAnsi="宋体" w:cs="仿宋_GB2312"/>
          <w:color w:val="000000"/>
          <w:sz w:val="28"/>
          <w:szCs w:val="28"/>
          <w:lang w:eastAsia="zh-CN"/>
        </w:rPr>
        <w:t>工作人员增加，致缴费数增加</w:t>
      </w:r>
      <w:r>
        <w:rPr>
          <w:rFonts w:ascii="宋体" w:hAnsi="宋体" w:cs="仿宋_GB2312"/>
          <w:color w:val="000000"/>
          <w:sz w:val="28"/>
          <w:szCs w:val="28"/>
        </w:rPr>
        <w:t>。</w:t>
      </w:r>
    </w:p>
    <w:p w14:paraId="4590FBDD">
      <w:pPr>
        <w:pStyle w:val="5"/>
        <w:widowControl/>
        <w:numPr>
          <w:ilvl w:val="0"/>
          <w:numId w:val="3"/>
        </w:numPr>
        <w:spacing w:line="240" w:lineRule="atLeast"/>
        <w:ind w:firstLine="420"/>
        <w:jc w:val="both"/>
        <w:rPr>
          <w:rFonts w:ascii="宋体" w:hAnsi="宋体" w:cs="仿宋_GB2312"/>
          <w:color w:val="000000"/>
          <w:sz w:val="28"/>
          <w:szCs w:val="28"/>
        </w:rPr>
      </w:pPr>
      <w:r>
        <w:rPr>
          <w:rFonts w:ascii="宋体" w:hAnsi="宋体" w:cs="仿宋_GB2312"/>
          <w:color w:val="000000"/>
          <w:sz w:val="28"/>
          <w:szCs w:val="28"/>
        </w:rPr>
        <w:t>卫生健康支出（类）行政事业单位医疗（款）</w:t>
      </w:r>
      <w:r>
        <w:rPr>
          <w:rFonts w:hint="eastAsia" w:ascii="宋体" w:hAnsi="宋体" w:cs="仿宋_GB2312"/>
          <w:color w:val="000000"/>
          <w:sz w:val="28"/>
          <w:szCs w:val="28"/>
          <w:lang w:eastAsia="zh-CN"/>
        </w:rPr>
        <w:t>其他行政事业单位医疗支出</w:t>
      </w:r>
      <w:r>
        <w:rPr>
          <w:rFonts w:ascii="宋体" w:hAnsi="宋体" w:cs="仿宋_GB2312"/>
          <w:color w:val="000000"/>
          <w:sz w:val="28"/>
          <w:szCs w:val="28"/>
        </w:rPr>
        <w:t>（项）</w:t>
      </w:r>
    </w:p>
    <w:p w14:paraId="76A98C57">
      <w:pPr>
        <w:pStyle w:val="5"/>
        <w:widowControl/>
        <w:spacing w:line="240" w:lineRule="atLeast"/>
        <w:ind w:firstLine="420"/>
        <w:jc w:val="both"/>
        <w:rPr>
          <w:rFonts w:ascii="宋体" w:hAnsi="宋体" w:cs="仿宋_GB2312"/>
          <w:color w:val="000000"/>
          <w:sz w:val="28"/>
          <w:szCs w:val="28"/>
        </w:rPr>
      </w:pPr>
      <w:r>
        <w:rPr>
          <w:rFonts w:ascii="宋体" w:hAnsi="宋体" w:cs="仿宋_GB2312"/>
          <w:color w:val="000000"/>
          <w:sz w:val="28"/>
          <w:szCs w:val="28"/>
        </w:rPr>
        <w:t>年初预算为0万元，支出决算为</w:t>
      </w:r>
      <w:r>
        <w:rPr>
          <w:rFonts w:hint="eastAsia" w:ascii="宋体" w:hAnsi="宋体" w:cs="仿宋_GB2312"/>
          <w:color w:val="000000"/>
          <w:sz w:val="28"/>
          <w:szCs w:val="28"/>
          <w:lang w:val="en-US" w:eastAsia="zh-CN"/>
        </w:rPr>
        <w:t>0</w:t>
      </w:r>
      <w:r>
        <w:rPr>
          <w:rFonts w:ascii="宋体" w:hAnsi="宋体" w:cs="仿宋_GB2312"/>
          <w:color w:val="000000"/>
          <w:sz w:val="28"/>
          <w:szCs w:val="28"/>
        </w:rPr>
        <w:t>万元，完成年初预算的100%，决算数大于年初预算数的主要原因是：单位部分医疗保险开支由财政统一管理，未纳入单位年初预算。</w:t>
      </w:r>
    </w:p>
    <w:p w14:paraId="451794B7">
      <w:pPr>
        <w:pStyle w:val="5"/>
        <w:widowControl/>
        <w:numPr>
          <w:ilvl w:val="0"/>
          <w:numId w:val="3"/>
        </w:numPr>
        <w:spacing w:line="240" w:lineRule="atLeast"/>
        <w:ind w:left="0" w:leftChars="0" w:firstLine="420" w:firstLineChars="0"/>
        <w:jc w:val="both"/>
        <w:rPr>
          <w:rFonts w:hint="eastAsia" w:ascii="宋体" w:hAnsi="宋体" w:cs="仿宋_GB2312"/>
          <w:color w:val="000000"/>
          <w:sz w:val="28"/>
          <w:szCs w:val="28"/>
          <w:lang w:eastAsia="zh-CN"/>
        </w:rPr>
      </w:pPr>
      <w:r>
        <w:rPr>
          <w:rFonts w:hint="eastAsia" w:ascii="宋体" w:hAnsi="宋体" w:cs="仿宋_GB2312"/>
          <w:color w:val="000000"/>
          <w:sz w:val="28"/>
          <w:szCs w:val="28"/>
          <w:lang w:eastAsia="zh-CN"/>
        </w:rPr>
        <w:t>住房保障支出（类）住房改革支出（款）住房公积金（项）</w:t>
      </w:r>
    </w:p>
    <w:p w14:paraId="6515EED1">
      <w:pPr>
        <w:pStyle w:val="5"/>
        <w:widowControl/>
        <w:spacing w:line="240" w:lineRule="atLeast"/>
        <w:ind w:firstLine="420"/>
        <w:jc w:val="both"/>
        <w:rPr>
          <w:rFonts w:ascii="宋体" w:hAnsi="宋体" w:cs="仿宋_GB2312"/>
          <w:color w:val="000000"/>
          <w:sz w:val="28"/>
          <w:szCs w:val="28"/>
        </w:rPr>
      </w:pPr>
      <w:r>
        <w:rPr>
          <w:rFonts w:ascii="宋体" w:hAnsi="宋体" w:cs="仿宋_GB2312"/>
          <w:color w:val="000000"/>
          <w:sz w:val="28"/>
          <w:szCs w:val="28"/>
        </w:rPr>
        <w:t>年初预算为</w:t>
      </w:r>
      <w:r>
        <w:rPr>
          <w:rFonts w:hint="eastAsia" w:ascii="宋体" w:hAnsi="宋体" w:cs="仿宋_GB2312"/>
          <w:color w:val="000000"/>
          <w:sz w:val="28"/>
          <w:szCs w:val="28"/>
          <w:lang w:val="en-US" w:eastAsia="zh-CN"/>
        </w:rPr>
        <w:t>26.78</w:t>
      </w:r>
      <w:r>
        <w:rPr>
          <w:rFonts w:ascii="宋体" w:hAnsi="宋体" w:cs="仿宋_GB2312"/>
          <w:color w:val="000000"/>
          <w:sz w:val="28"/>
          <w:szCs w:val="28"/>
        </w:rPr>
        <w:t>万元，支出决算为</w:t>
      </w:r>
      <w:r>
        <w:rPr>
          <w:rFonts w:hint="eastAsia" w:ascii="宋体" w:hAnsi="宋体" w:cs="仿宋_GB2312"/>
          <w:color w:val="000000"/>
          <w:sz w:val="28"/>
          <w:szCs w:val="28"/>
          <w:lang w:val="en-US" w:eastAsia="zh-CN"/>
        </w:rPr>
        <w:t>28.06</w:t>
      </w:r>
      <w:r>
        <w:rPr>
          <w:rFonts w:ascii="宋体" w:hAnsi="宋体" w:cs="仿宋_GB2312"/>
          <w:color w:val="000000"/>
          <w:sz w:val="28"/>
          <w:szCs w:val="28"/>
        </w:rPr>
        <w:t>万元，完成年初预算的100%，决算数大于年初预算数的主要原因是：单位部分医疗保险开支由财政统一管理，未纳入单位年初预算。</w:t>
      </w:r>
    </w:p>
    <w:p w14:paraId="59DB7C73">
      <w:pPr>
        <w:pStyle w:val="5"/>
        <w:widowControl/>
        <w:numPr>
          <w:ilvl w:val="0"/>
          <w:numId w:val="0"/>
        </w:numPr>
        <w:spacing w:line="240" w:lineRule="atLeast"/>
        <w:ind w:left="420" w:leftChars="0"/>
        <w:jc w:val="both"/>
        <w:rPr>
          <w:rFonts w:hint="eastAsia" w:ascii="宋体" w:hAnsi="宋体" w:cs="仿宋_GB2312"/>
          <w:color w:val="000000"/>
          <w:sz w:val="28"/>
          <w:szCs w:val="28"/>
          <w:lang w:val="en-US" w:eastAsia="zh-CN"/>
        </w:rPr>
      </w:pPr>
    </w:p>
    <w:p w14:paraId="101DBBBD">
      <w:pPr>
        <w:widowControl/>
        <w:spacing w:line="600" w:lineRule="exact"/>
        <w:ind w:firstLine="560" w:firstLineChars="200"/>
        <w:rPr>
          <w:rFonts w:ascii="宋体" w:hAnsi="宋体" w:eastAsia="宋体"/>
          <w:bCs/>
          <w:kern w:val="0"/>
          <w:sz w:val="28"/>
          <w:szCs w:val="28"/>
        </w:rPr>
      </w:pPr>
      <w:r>
        <w:rPr>
          <w:rFonts w:hint="eastAsia" w:ascii="宋体" w:hAnsi="宋体" w:eastAsia="宋体"/>
          <w:kern w:val="0"/>
          <w:sz w:val="28"/>
          <w:szCs w:val="28"/>
        </w:rPr>
        <w:t>六、</w:t>
      </w:r>
      <w:r>
        <w:rPr>
          <w:rFonts w:ascii="宋体" w:hAnsi="宋体" w:eastAsia="宋体"/>
          <w:bCs/>
          <w:kern w:val="0"/>
          <w:sz w:val="28"/>
          <w:szCs w:val="28"/>
        </w:rPr>
        <w:t>一般公共预算财政拨款基本支出决算情况说明</w:t>
      </w:r>
    </w:p>
    <w:p w14:paraId="670B8300">
      <w:pPr>
        <w:pStyle w:val="5"/>
        <w:widowControl/>
        <w:spacing w:line="240" w:lineRule="atLeast"/>
        <w:ind w:firstLine="560" w:firstLineChars="200"/>
        <w:jc w:val="both"/>
        <w:rPr>
          <w:rFonts w:ascii="宋体" w:hAnsi="宋体" w:cs="仿宋_GB2312"/>
          <w:color w:val="000000"/>
          <w:sz w:val="28"/>
          <w:szCs w:val="28"/>
        </w:rPr>
      </w:pPr>
      <w:r>
        <w:rPr>
          <w:rFonts w:ascii="宋体" w:hAnsi="宋体" w:cs="仿宋_GB2312"/>
          <w:color w:val="000000"/>
          <w:sz w:val="28"/>
          <w:szCs w:val="28"/>
        </w:rPr>
        <w:t>20</w:t>
      </w:r>
      <w:r>
        <w:rPr>
          <w:rFonts w:hint="eastAsia" w:ascii="宋体" w:hAnsi="宋体" w:cs="仿宋_GB2312"/>
          <w:color w:val="000000"/>
          <w:sz w:val="28"/>
          <w:szCs w:val="28"/>
        </w:rPr>
        <w:t>2</w:t>
      </w:r>
      <w:r>
        <w:rPr>
          <w:rFonts w:hint="eastAsia" w:ascii="宋体" w:hAnsi="宋体" w:cs="仿宋_GB2312"/>
          <w:color w:val="000000"/>
          <w:sz w:val="28"/>
          <w:szCs w:val="28"/>
          <w:lang w:val="en-US" w:eastAsia="zh-CN"/>
        </w:rPr>
        <w:t>4</w:t>
      </w:r>
      <w:r>
        <w:rPr>
          <w:rFonts w:ascii="宋体" w:hAnsi="宋体" w:cs="仿宋_GB2312"/>
          <w:color w:val="000000"/>
          <w:sz w:val="28"/>
          <w:szCs w:val="28"/>
        </w:rPr>
        <w:t>年度财政拨款基本支出</w:t>
      </w:r>
      <w:r>
        <w:rPr>
          <w:rFonts w:hint="eastAsia" w:ascii="宋体" w:hAnsi="宋体" w:cs="仿宋_GB2312"/>
          <w:color w:val="000000"/>
          <w:sz w:val="28"/>
          <w:szCs w:val="28"/>
          <w:lang w:val="en-US" w:eastAsia="zh-CN"/>
        </w:rPr>
        <w:t>353.59</w:t>
      </w:r>
      <w:r>
        <w:rPr>
          <w:rFonts w:ascii="宋体" w:hAnsi="宋体" w:cs="仿宋_GB2312"/>
          <w:color w:val="000000"/>
          <w:sz w:val="28"/>
          <w:szCs w:val="28"/>
        </w:rPr>
        <w:t>万元，其中：人员经费</w:t>
      </w:r>
      <w:r>
        <w:rPr>
          <w:rFonts w:hint="eastAsia" w:ascii="宋体" w:hAnsi="宋体" w:cs="仿宋_GB2312"/>
          <w:color w:val="000000"/>
          <w:sz w:val="28"/>
          <w:szCs w:val="28"/>
          <w:lang w:val="en-US" w:eastAsia="zh-CN"/>
        </w:rPr>
        <w:t>343.66</w:t>
      </w:r>
      <w:r>
        <w:rPr>
          <w:rFonts w:ascii="宋体" w:hAnsi="宋体" w:cs="仿宋_GB2312"/>
          <w:color w:val="000000"/>
          <w:sz w:val="28"/>
          <w:szCs w:val="28"/>
        </w:rPr>
        <w:t>万元，占基本支出的</w:t>
      </w:r>
      <w:r>
        <w:rPr>
          <w:rFonts w:hint="eastAsia" w:ascii="宋体" w:hAnsi="宋体" w:cs="仿宋_GB2312"/>
          <w:color w:val="000000"/>
          <w:sz w:val="28"/>
          <w:szCs w:val="28"/>
          <w:lang w:val="en-US" w:eastAsia="zh-CN"/>
        </w:rPr>
        <w:t>97.19</w:t>
      </w:r>
      <w:r>
        <w:rPr>
          <w:rFonts w:ascii="宋体" w:hAnsi="宋体" w:cs="仿宋_GB2312"/>
          <w:color w:val="000000"/>
          <w:sz w:val="28"/>
          <w:szCs w:val="28"/>
        </w:rPr>
        <w:t>%,主要包括基本工资、津贴补贴、奖金、伙食补助费、机关事业单位基本养老保险缴费、职工基本医疗保险缴费、其他社会保障缴费、其他工资福利支出、退休费；公用经费</w:t>
      </w:r>
      <w:r>
        <w:rPr>
          <w:rFonts w:hint="eastAsia" w:ascii="宋体" w:hAnsi="宋体" w:cs="仿宋_GB2312"/>
          <w:color w:val="000000"/>
          <w:sz w:val="28"/>
          <w:szCs w:val="28"/>
          <w:lang w:val="en-US" w:eastAsia="zh-CN"/>
        </w:rPr>
        <w:t>9.93</w:t>
      </w:r>
      <w:r>
        <w:rPr>
          <w:rFonts w:ascii="宋体" w:hAnsi="宋体" w:cs="仿宋_GB2312"/>
          <w:color w:val="000000"/>
          <w:sz w:val="28"/>
          <w:szCs w:val="28"/>
        </w:rPr>
        <w:t>万元，占基本支出的</w:t>
      </w:r>
      <w:r>
        <w:rPr>
          <w:rFonts w:hint="eastAsia" w:ascii="宋体" w:hAnsi="宋体" w:cs="仿宋_GB2312"/>
          <w:color w:val="000000"/>
          <w:sz w:val="28"/>
          <w:szCs w:val="28"/>
          <w:lang w:val="en-US" w:eastAsia="zh-CN"/>
        </w:rPr>
        <w:t>2.81</w:t>
      </w:r>
      <w:r>
        <w:rPr>
          <w:rFonts w:ascii="宋体" w:hAnsi="宋体" w:cs="仿宋_GB2312"/>
          <w:color w:val="000000"/>
          <w:sz w:val="28"/>
          <w:szCs w:val="28"/>
        </w:rPr>
        <w:t>%，主要包括办公费、水费、电费、物业管理费、维修（护）费、差旅费、培训费、劳务费、工会经费。</w:t>
      </w:r>
    </w:p>
    <w:p w14:paraId="2702AF43">
      <w:pPr>
        <w:widowControl/>
        <w:spacing w:line="600" w:lineRule="exact"/>
        <w:ind w:firstLine="560" w:firstLineChars="200"/>
        <w:rPr>
          <w:rFonts w:ascii="宋体" w:hAnsi="宋体" w:eastAsia="宋体"/>
          <w:bCs/>
          <w:kern w:val="0"/>
          <w:sz w:val="28"/>
          <w:szCs w:val="28"/>
        </w:rPr>
      </w:pPr>
      <w:r>
        <w:rPr>
          <w:rFonts w:hint="eastAsia" w:ascii="宋体" w:hAnsi="宋体" w:eastAsia="宋体"/>
          <w:bCs/>
          <w:kern w:val="0"/>
          <w:sz w:val="28"/>
          <w:szCs w:val="28"/>
        </w:rPr>
        <w:t>七</w:t>
      </w:r>
      <w:r>
        <w:rPr>
          <w:rFonts w:ascii="宋体" w:hAnsi="宋体" w:eastAsia="宋体"/>
          <w:bCs/>
          <w:kern w:val="0"/>
          <w:sz w:val="28"/>
          <w:szCs w:val="28"/>
        </w:rPr>
        <w:t>、一般公共预算财政拨款“三公”经费支出决算情况说明</w:t>
      </w:r>
    </w:p>
    <w:p w14:paraId="37A2BF0C">
      <w:pPr>
        <w:widowControl/>
        <w:spacing w:line="600" w:lineRule="exact"/>
        <w:ind w:firstLine="560" w:firstLineChars="200"/>
        <w:rPr>
          <w:rFonts w:ascii="宋体" w:hAnsi="宋体" w:eastAsia="宋体"/>
          <w:bCs/>
          <w:kern w:val="0"/>
          <w:sz w:val="28"/>
          <w:szCs w:val="28"/>
        </w:rPr>
      </w:pPr>
      <w:r>
        <w:rPr>
          <w:rFonts w:ascii="宋体" w:hAnsi="宋体" w:eastAsia="宋体"/>
          <w:bCs/>
          <w:kern w:val="0"/>
          <w:sz w:val="28"/>
          <w:szCs w:val="28"/>
        </w:rPr>
        <w:t>（一）“三公”经费财政拨款支出决算总体情况说明。</w:t>
      </w:r>
    </w:p>
    <w:p w14:paraId="61E4C1A1">
      <w:pPr>
        <w:pStyle w:val="10"/>
        <w:ind w:firstLine="700" w:firstLineChars="250"/>
        <w:rPr>
          <w:rFonts w:ascii="宋体" w:hAnsi="宋体" w:eastAsia="宋体" w:cs="仿宋_GB2312"/>
          <w:sz w:val="28"/>
          <w:szCs w:val="28"/>
        </w:rPr>
      </w:pPr>
      <w:r>
        <w:rPr>
          <w:rFonts w:ascii="宋体" w:hAnsi="宋体" w:eastAsia="宋体" w:cs="仿宋_GB2312"/>
          <w:sz w:val="28"/>
          <w:szCs w:val="28"/>
        </w:rPr>
        <w:t>“三公”经费财政拨款支出预算为</w:t>
      </w:r>
      <w:r>
        <w:rPr>
          <w:rFonts w:hint="eastAsia" w:ascii="宋体" w:hAnsi="宋体" w:eastAsia="宋体" w:cs="仿宋_GB2312"/>
          <w:sz w:val="28"/>
          <w:szCs w:val="28"/>
          <w:lang w:val="en-US" w:eastAsia="zh-CN"/>
        </w:rPr>
        <w:t>0</w:t>
      </w:r>
      <w:r>
        <w:rPr>
          <w:rFonts w:ascii="宋体" w:hAnsi="宋体" w:eastAsia="宋体" w:cs="仿宋_GB2312"/>
          <w:sz w:val="28"/>
          <w:szCs w:val="28"/>
        </w:rPr>
        <w:t>万元，支出决算为0万元，完成预算的</w:t>
      </w:r>
      <w:r>
        <w:rPr>
          <w:rFonts w:hint="eastAsia" w:ascii="宋体" w:hAnsi="宋体" w:eastAsia="宋体" w:cs="仿宋_GB2312"/>
          <w:sz w:val="28"/>
          <w:szCs w:val="28"/>
          <w:lang w:val="en-US" w:eastAsia="zh-CN"/>
        </w:rPr>
        <w:t>10</w:t>
      </w:r>
      <w:r>
        <w:rPr>
          <w:rFonts w:ascii="宋体" w:hAnsi="宋体" w:eastAsia="宋体" w:cs="仿宋_GB2312"/>
          <w:sz w:val="28"/>
          <w:szCs w:val="28"/>
        </w:rPr>
        <w:t>0%</w:t>
      </w:r>
      <w:r>
        <w:rPr>
          <w:rFonts w:hint="eastAsia" w:ascii="宋体" w:hAnsi="宋体" w:eastAsia="宋体" w:cs="仿宋_GB2312"/>
          <w:sz w:val="28"/>
          <w:szCs w:val="28"/>
        </w:rPr>
        <w:t>,其中：</w:t>
      </w:r>
    </w:p>
    <w:p w14:paraId="07BB9522">
      <w:pPr>
        <w:pStyle w:val="10"/>
        <w:ind w:firstLine="700" w:firstLineChars="250"/>
        <w:rPr>
          <w:rFonts w:ascii="宋体" w:hAnsi="宋体" w:eastAsia="宋体" w:cs="仿宋_GB2312"/>
          <w:sz w:val="28"/>
          <w:szCs w:val="28"/>
        </w:rPr>
      </w:pPr>
      <w:r>
        <w:rPr>
          <w:rFonts w:hint="eastAsia" w:ascii="宋体" w:hAnsi="宋体" w:eastAsia="宋体" w:cs="仿宋_GB2312"/>
          <w:sz w:val="28"/>
          <w:szCs w:val="28"/>
        </w:rPr>
        <w:t>因公出国（境）费支出预算为0万元，支出决算为0万元，完成预算的100%，决算数与年初预算数持平。</w:t>
      </w:r>
    </w:p>
    <w:p w14:paraId="236794EA">
      <w:pPr>
        <w:pStyle w:val="10"/>
        <w:ind w:firstLine="700" w:firstLineChars="250"/>
        <w:rPr>
          <w:rFonts w:ascii="宋体" w:hAnsi="宋体" w:eastAsia="宋体" w:cs="仿宋_GB2312"/>
          <w:sz w:val="28"/>
          <w:szCs w:val="28"/>
        </w:rPr>
      </w:pPr>
      <w:r>
        <w:rPr>
          <w:rFonts w:hint="eastAsia" w:ascii="宋体" w:hAnsi="宋体" w:eastAsia="宋体" w:cs="仿宋_GB2312"/>
          <w:sz w:val="28"/>
          <w:szCs w:val="28"/>
        </w:rPr>
        <w:t>公务接待费支出预算为</w:t>
      </w:r>
      <w:r>
        <w:rPr>
          <w:rFonts w:hint="eastAsia" w:ascii="宋体" w:hAnsi="宋体" w:eastAsia="宋体" w:cs="仿宋_GB2312"/>
          <w:sz w:val="28"/>
          <w:szCs w:val="28"/>
          <w:lang w:val="en-US" w:eastAsia="zh-CN"/>
        </w:rPr>
        <w:t>0</w:t>
      </w:r>
      <w:r>
        <w:rPr>
          <w:rFonts w:hint="eastAsia" w:ascii="宋体" w:hAnsi="宋体" w:eastAsia="宋体" w:cs="仿宋_GB2312"/>
          <w:sz w:val="28"/>
          <w:szCs w:val="28"/>
        </w:rPr>
        <w:t>万元，支出决算为0万元，完成预算的</w:t>
      </w:r>
      <w:r>
        <w:rPr>
          <w:rFonts w:hint="eastAsia" w:ascii="宋体" w:hAnsi="宋体" w:eastAsia="宋体" w:cs="仿宋_GB2312"/>
          <w:sz w:val="28"/>
          <w:szCs w:val="28"/>
          <w:lang w:val="en-US" w:eastAsia="zh-CN"/>
        </w:rPr>
        <w:t>10</w:t>
      </w:r>
      <w:r>
        <w:rPr>
          <w:rFonts w:hint="eastAsia" w:ascii="宋体" w:hAnsi="宋体" w:eastAsia="宋体" w:cs="仿宋_GB2312"/>
          <w:sz w:val="28"/>
          <w:szCs w:val="28"/>
        </w:rPr>
        <w:t>0%，决算数小于年初预算数的主要原因是严格开支三公经费，与上年相比持平。</w:t>
      </w:r>
    </w:p>
    <w:p w14:paraId="720B0ACA">
      <w:pPr>
        <w:pStyle w:val="10"/>
        <w:ind w:firstLine="560" w:firstLineChars="200"/>
        <w:rPr>
          <w:rFonts w:ascii="宋体" w:hAnsi="宋体" w:eastAsia="宋体" w:cs="仿宋_GB2312"/>
          <w:sz w:val="28"/>
          <w:szCs w:val="28"/>
        </w:rPr>
      </w:pPr>
      <w:r>
        <w:rPr>
          <w:rFonts w:hint="eastAsia" w:ascii="宋体" w:hAnsi="宋体" w:eastAsia="宋体" w:cs="仿宋_GB2312"/>
          <w:sz w:val="28"/>
          <w:szCs w:val="28"/>
        </w:rPr>
        <w:t>公务用车购置及运行费支出预算为</w:t>
      </w:r>
      <w:r>
        <w:rPr>
          <w:rFonts w:hint="eastAsia" w:ascii="宋体" w:hAnsi="宋体" w:eastAsia="宋体" w:cs="仿宋_GB2312"/>
          <w:sz w:val="28"/>
          <w:szCs w:val="28"/>
          <w:lang w:val="en-US" w:eastAsia="zh-CN"/>
        </w:rPr>
        <w:t>0</w:t>
      </w:r>
      <w:r>
        <w:rPr>
          <w:rFonts w:hint="eastAsia" w:ascii="宋体" w:hAnsi="宋体" w:eastAsia="宋体" w:cs="仿宋_GB2312"/>
          <w:sz w:val="28"/>
          <w:szCs w:val="28"/>
        </w:rPr>
        <w:t>万元，支出决算为0万元，完成预算的100%，决算数与年初预算数持平。</w:t>
      </w:r>
    </w:p>
    <w:p w14:paraId="2228E346">
      <w:pPr>
        <w:pStyle w:val="10"/>
        <w:ind w:firstLine="560" w:firstLineChars="200"/>
        <w:rPr>
          <w:rFonts w:ascii="宋体" w:hAnsi="宋体" w:eastAsia="宋体" w:cs="仿宋_GB2312"/>
          <w:sz w:val="28"/>
          <w:szCs w:val="28"/>
        </w:rPr>
      </w:pPr>
      <w:r>
        <w:rPr>
          <w:rFonts w:hint="eastAsia" w:ascii="宋体" w:hAnsi="宋体" w:eastAsia="宋体" w:cs="仿宋_GB2312"/>
          <w:sz w:val="28"/>
          <w:szCs w:val="28"/>
        </w:rPr>
        <w:t>公务用车运行维护费支出预算为</w:t>
      </w:r>
      <w:r>
        <w:rPr>
          <w:rFonts w:hint="eastAsia" w:ascii="宋体" w:hAnsi="宋体" w:eastAsia="宋体" w:cs="仿宋_GB2312"/>
          <w:sz w:val="28"/>
          <w:szCs w:val="28"/>
          <w:lang w:val="en-US" w:eastAsia="zh-CN"/>
        </w:rPr>
        <w:t>0</w:t>
      </w:r>
      <w:r>
        <w:rPr>
          <w:rFonts w:hint="eastAsia" w:ascii="宋体" w:hAnsi="宋体" w:eastAsia="宋体" w:cs="仿宋_GB2312"/>
          <w:sz w:val="28"/>
          <w:szCs w:val="28"/>
        </w:rPr>
        <w:t>万元，支出决算为0万元，完成预算的100%，决算数与年初预算数持平。</w:t>
      </w:r>
    </w:p>
    <w:p w14:paraId="59A42D09">
      <w:pPr>
        <w:widowControl/>
        <w:spacing w:line="600" w:lineRule="exact"/>
        <w:rPr>
          <w:rFonts w:ascii="宋体" w:hAnsi="宋体" w:eastAsia="宋体"/>
          <w:kern w:val="0"/>
          <w:sz w:val="28"/>
          <w:szCs w:val="28"/>
        </w:rPr>
      </w:pPr>
    </w:p>
    <w:p w14:paraId="097A584B">
      <w:pPr>
        <w:widowControl/>
        <w:spacing w:line="600" w:lineRule="exact"/>
        <w:ind w:firstLine="420" w:firstLineChars="150"/>
        <w:rPr>
          <w:rFonts w:ascii="宋体" w:hAnsi="宋体" w:eastAsia="宋体"/>
          <w:bCs/>
          <w:kern w:val="0"/>
          <w:sz w:val="28"/>
          <w:szCs w:val="28"/>
        </w:rPr>
      </w:pPr>
      <w:r>
        <w:rPr>
          <w:rFonts w:ascii="宋体" w:hAnsi="宋体" w:eastAsia="宋体"/>
          <w:bCs/>
          <w:kern w:val="0"/>
          <w:sz w:val="28"/>
          <w:szCs w:val="28"/>
        </w:rPr>
        <w:t>（二）“三公”经费财政拨款支出决算具体情况说明</w:t>
      </w:r>
    </w:p>
    <w:p w14:paraId="284BF006">
      <w:pPr>
        <w:pStyle w:val="5"/>
        <w:widowControl/>
        <w:spacing w:line="240" w:lineRule="atLeast"/>
        <w:ind w:firstLine="420"/>
        <w:jc w:val="both"/>
        <w:rPr>
          <w:rFonts w:ascii="宋体" w:hAnsi="宋体" w:cs="仿宋_GB2312"/>
          <w:color w:val="000000"/>
          <w:sz w:val="28"/>
          <w:szCs w:val="28"/>
        </w:rPr>
      </w:pPr>
      <w:r>
        <w:rPr>
          <w:rFonts w:ascii="宋体" w:hAnsi="宋体" w:cs="仿宋_GB2312"/>
          <w:color w:val="000000"/>
          <w:sz w:val="28"/>
          <w:szCs w:val="28"/>
        </w:rPr>
        <w:t>20</w:t>
      </w:r>
      <w:r>
        <w:rPr>
          <w:rFonts w:hint="eastAsia" w:ascii="宋体" w:hAnsi="宋体" w:cs="仿宋_GB2312"/>
          <w:color w:val="000000"/>
          <w:sz w:val="28"/>
          <w:szCs w:val="28"/>
        </w:rPr>
        <w:t>2</w:t>
      </w:r>
      <w:r>
        <w:rPr>
          <w:rFonts w:hint="eastAsia" w:ascii="宋体" w:hAnsi="宋体" w:cs="仿宋_GB2312"/>
          <w:color w:val="000000"/>
          <w:sz w:val="28"/>
          <w:szCs w:val="28"/>
          <w:lang w:val="en-US" w:eastAsia="zh-CN"/>
        </w:rPr>
        <w:t>4</w:t>
      </w:r>
      <w:r>
        <w:rPr>
          <w:rFonts w:ascii="宋体" w:hAnsi="宋体" w:cs="仿宋_GB2312"/>
          <w:color w:val="000000"/>
          <w:sz w:val="28"/>
          <w:szCs w:val="28"/>
        </w:rPr>
        <w:t>年度“三公”经费财政拨款支出决算中，公务接待费支出决算0万元，占0%,因公出国（境）费支出决算0万元，占0%,公务用车购置费及运行维护费支出决算0万元，占0%。</w:t>
      </w:r>
    </w:p>
    <w:p w14:paraId="3E622487">
      <w:pPr>
        <w:pStyle w:val="11"/>
        <w:widowControl/>
        <w:numPr>
          <w:ilvl w:val="0"/>
          <w:numId w:val="4"/>
        </w:numPr>
        <w:spacing w:line="600" w:lineRule="exact"/>
        <w:ind w:firstLineChars="0"/>
        <w:rPr>
          <w:rFonts w:ascii="宋体" w:hAnsi="宋体" w:eastAsia="宋体"/>
          <w:bCs/>
          <w:kern w:val="0"/>
          <w:sz w:val="28"/>
          <w:szCs w:val="28"/>
        </w:rPr>
      </w:pPr>
      <w:r>
        <w:rPr>
          <w:rFonts w:ascii="宋体" w:hAnsi="宋体" w:eastAsia="宋体"/>
          <w:bCs/>
          <w:kern w:val="0"/>
          <w:sz w:val="28"/>
          <w:szCs w:val="28"/>
        </w:rPr>
        <w:t>政府性基金预算收入支出决算情况</w:t>
      </w:r>
      <w:r>
        <w:rPr>
          <w:rFonts w:hint="eastAsia" w:ascii="宋体" w:hAnsi="宋体" w:eastAsia="宋体"/>
          <w:bCs/>
          <w:kern w:val="0"/>
          <w:sz w:val="28"/>
          <w:szCs w:val="28"/>
          <w:lang w:eastAsia="zh-CN"/>
        </w:rPr>
        <w:t>说明</w:t>
      </w:r>
    </w:p>
    <w:p w14:paraId="29C16387">
      <w:pPr>
        <w:pStyle w:val="5"/>
        <w:widowControl/>
        <w:spacing w:line="240" w:lineRule="atLeast"/>
        <w:ind w:firstLine="280" w:firstLineChars="100"/>
        <w:jc w:val="both"/>
        <w:rPr>
          <w:rFonts w:ascii="宋体" w:hAnsi="宋体" w:cs="仿宋_GB2312"/>
          <w:color w:val="000000"/>
          <w:sz w:val="28"/>
          <w:szCs w:val="28"/>
        </w:rPr>
      </w:pPr>
      <w:r>
        <w:rPr>
          <w:rFonts w:ascii="宋体" w:hAnsi="宋体" w:cs="仿宋_GB2312"/>
          <w:color w:val="000000"/>
          <w:sz w:val="28"/>
          <w:szCs w:val="28"/>
        </w:rPr>
        <w:t>本单位</w:t>
      </w:r>
      <w:r>
        <w:rPr>
          <w:rFonts w:hint="eastAsia" w:ascii="宋体" w:hAnsi="宋体" w:cs="仿宋_GB2312"/>
          <w:color w:val="000000"/>
          <w:sz w:val="28"/>
          <w:szCs w:val="28"/>
        </w:rPr>
        <w:t>202</w:t>
      </w:r>
      <w:r>
        <w:rPr>
          <w:rFonts w:hint="eastAsia" w:ascii="宋体" w:hAnsi="宋体" w:cs="仿宋_GB2312"/>
          <w:color w:val="000000"/>
          <w:sz w:val="28"/>
          <w:szCs w:val="28"/>
          <w:lang w:val="en-US" w:eastAsia="zh-CN"/>
        </w:rPr>
        <w:t>4</w:t>
      </w:r>
      <w:r>
        <w:rPr>
          <w:rFonts w:hint="eastAsia" w:ascii="宋体" w:hAnsi="宋体" w:cs="仿宋_GB2312"/>
          <w:color w:val="000000"/>
          <w:sz w:val="28"/>
          <w:szCs w:val="28"/>
        </w:rPr>
        <w:t>年度</w:t>
      </w:r>
      <w:r>
        <w:rPr>
          <w:rFonts w:ascii="宋体" w:hAnsi="宋体" w:cs="仿宋_GB2312"/>
          <w:color w:val="000000"/>
          <w:sz w:val="28"/>
          <w:szCs w:val="28"/>
        </w:rPr>
        <w:t>无政府性基金收支。</w:t>
      </w:r>
    </w:p>
    <w:p w14:paraId="0C05763A">
      <w:pPr>
        <w:pStyle w:val="5"/>
        <w:widowControl/>
        <w:numPr>
          <w:ilvl w:val="0"/>
          <w:numId w:val="4"/>
        </w:numPr>
        <w:spacing w:line="240" w:lineRule="atLeast"/>
        <w:ind w:left="1280" w:leftChars="0" w:hanging="720" w:firstLineChars="0"/>
        <w:jc w:val="both"/>
        <w:rPr>
          <w:rFonts w:ascii="宋体" w:hAnsi="宋体"/>
          <w:sz w:val="28"/>
          <w:szCs w:val="28"/>
        </w:rPr>
      </w:pPr>
      <w:r>
        <w:rPr>
          <w:rFonts w:hint="eastAsia" w:ascii="宋体" w:hAnsi="宋体" w:cs="仿宋_GB2312"/>
          <w:color w:val="000000"/>
          <w:sz w:val="28"/>
          <w:szCs w:val="28"/>
        </w:rPr>
        <w:t>国有资本经营预算财政拨款收入支出决算</w:t>
      </w:r>
      <w:r>
        <w:rPr>
          <w:rFonts w:hint="eastAsia" w:ascii="宋体" w:hAnsi="宋体" w:cs="仿宋_GB2312"/>
          <w:color w:val="000000"/>
          <w:sz w:val="28"/>
          <w:szCs w:val="28"/>
          <w:lang w:eastAsia="zh-CN"/>
        </w:rPr>
        <w:t>情况说明</w:t>
      </w:r>
    </w:p>
    <w:p w14:paraId="606BCAD7">
      <w:pPr>
        <w:pStyle w:val="5"/>
        <w:widowControl/>
        <w:numPr>
          <w:ilvl w:val="0"/>
          <w:numId w:val="0"/>
        </w:numPr>
        <w:spacing w:line="240" w:lineRule="atLeast"/>
        <w:ind w:firstLine="280" w:firstLineChars="100"/>
        <w:jc w:val="both"/>
        <w:rPr>
          <w:rFonts w:ascii="宋体" w:hAnsi="宋体"/>
          <w:sz w:val="28"/>
          <w:szCs w:val="28"/>
        </w:rPr>
      </w:pPr>
      <w:r>
        <w:rPr>
          <w:rFonts w:hint="eastAsia" w:ascii="宋体" w:hAnsi="宋体" w:cs="仿宋_GB2312"/>
          <w:color w:val="000000"/>
          <w:sz w:val="28"/>
          <w:szCs w:val="28"/>
          <w:lang w:eastAsia="zh-CN"/>
        </w:rPr>
        <w:t>本单位</w:t>
      </w:r>
      <w:r>
        <w:rPr>
          <w:rFonts w:hint="eastAsia" w:ascii="宋体" w:hAnsi="宋体" w:cs="仿宋_GB2312"/>
          <w:color w:val="000000"/>
          <w:sz w:val="28"/>
          <w:szCs w:val="28"/>
          <w:lang w:val="en-US" w:eastAsia="zh-CN"/>
        </w:rPr>
        <w:t>2024年度无</w:t>
      </w:r>
      <w:r>
        <w:rPr>
          <w:rFonts w:hint="eastAsia" w:ascii="宋体" w:hAnsi="宋体" w:cs="仿宋_GB2312"/>
          <w:color w:val="000000"/>
          <w:sz w:val="28"/>
          <w:szCs w:val="28"/>
        </w:rPr>
        <w:t>国有资本经营预算财政拨款收支</w:t>
      </w:r>
      <w:r>
        <w:rPr>
          <w:rFonts w:hint="eastAsia" w:ascii="宋体" w:hAnsi="宋体" w:cs="仿宋_GB2312"/>
          <w:color w:val="000000"/>
          <w:sz w:val="28"/>
          <w:szCs w:val="28"/>
          <w:lang w:eastAsia="zh-CN"/>
        </w:rPr>
        <w:t>。</w:t>
      </w:r>
    </w:p>
    <w:p w14:paraId="22703523">
      <w:pPr>
        <w:pStyle w:val="5"/>
        <w:widowControl/>
        <w:numPr>
          <w:ilvl w:val="0"/>
          <w:numId w:val="4"/>
        </w:numPr>
        <w:spacing w:line="240" w:lineRule="atLeast"/>
        <w:ind w:left="1280" w:leftChars="0" w:hanging="720" w:firstLineChars="0"/>
        <w:jc w:val="both"/>
        <w:rPr>
          <w:rFonts w:ascii="宋体" w:hAnsi="宋体"/>
          <w:sz w:val="28"/>
          <w:szCs w:val="28"/>
        </w:rPr>
      </w:pPr>
      <w:r>
        <w:rPr>
          <w:rFonts w:ascii="宋体" w:hAnsi="宋体"/>
          <w:sz w:val="28"/>
          <w:szCs w:val="28"/>
        </w:rPr>
        <w:t>关于20</w:t>
      </w:r>
      <w:r>
        <w:rPr>
          <w:rFonts w:hint="eastAsia" w:ascii="宋体" w:hAnsi="宋体"/>
          <w:sz w:val="28"/>
          <w:szCs w:val="28"/>
        </w:rPr>
        <w:t>2</w:t>
      </w:r>
      <w:r>
        <w:rPr>
          <w:rFonts w:hint="eastAsia" w:ascii="宋体" w:hAnsi="宋体"/>
          <w:sz w:val="28"/>
          <w:szCs w:val="28"/>
          <w:lang w:val="en-US" w:eastAsia="zh-CN"/>
        </w:rPr>
        <w:t>4</w:t>
      </w:r>
      <w:r>
        <w:rPr>
          <w:rFonts w:ascii="宋体" w:hAnsi="宋体"/>
          <w:sz w:val="28"/>
          <w:szCs w:val="28"/>
        </w:rPr>
        <w:t>年度预算绩效情况说明</w:t>
      </w:r>
    </w:p>
    <w:p w14:paraId="59C0A0BD">
      <w:pPr>
        <w:pStyle w:val="5"/>
        <w:widowControl/>
        <w:spacing w:line="240" w:lineRule="atLeast"/>
        <w:ind w:firstLine="420"/>
        <w:jc w:val="both"/>
        <w:rPr>
          <w:rFonts w:ascii="宋体" w:hAnsi="宋体" w:cs="仿宋_GB2312"/>
          <w:color w:val="000000"/>
          <w:sz w:val="28"/>
          <w:szCs w:val="28"/>
        </w:rPr>
      </w:pPr>
      <w:r>
        <w:rPr>
          <w:rFonts w:ascii="宋体" w:hAnsi="宋体" w:cs="仿宋_GB2312"/>
          <w:color w:val="333333"/>
          <w:sz w:val="28"/>
          <w:szCs w:val="28"/>
        </w:rPr>
        <w:t>本年度我</w:t>
      </w:r>
      <w:r>
        <w:rPr>
          <w:rFonts w:hint="eastAsia" w:ascii="宋体" w:hAnsi="宋体" w:cs="仿宋_GB2312"/>
          <w:color w:val="333333"/>
          <w:sz w:val="28"/>
          <w:szCs w:val="28"/>
        </w:rPr>
        <w:t>单位</w:t>
      </w:r>
      <w:r>
        <w:rPr>
          <w:rFonts w:ascii="宋体" w:hAnsi="宋体" w:cs="仿宋_GB2312"/>
          <w:color w:val="333333"/>
          <w:sz w:val="28"/>
          <w:szCs w:val="28"/>
        </w:rPr>
        <w:t>进一步完善了预算绩效的管理，并根据有关</w:t>
      </w:r>
      <w:r>
        <w:rPr>
          <w:rFonts w:hint="eastAsia" w:ascii="宋体" w:hAnsi="宋体" w:cs="仿宋_GB2312"/>
          <w:color w:val="333333"/>
          <w:sz w:val="28"/>
          <w:szCs w:val="28"/>
        </w:rPr>
        <w:t>规定</w:t>
      </w:r>
      <w:r>
        <w:rPr>
          <w:rFonts w:ascii="宋体" w:hAnsi="宋体" w:cs="仿宋_GB2312"/>
          <w:color w:val="333333"/>
          <w:sz w:val="28"/>
          <w:szCs w:val="28"/>
        </w:rPr>
        <w:t>要求，结合内部控制制度的建立，完善了20</w:t>
      </w:r>
      <w:r>
        <w:rPr>
          <w:rFonts w:hint="eastAsia" w:ascii="宋体" w:hAnsi="宋体" w:cs="仿宋_GB2312"/>
          <w:color w:val="333333"/>
          <w:sz w:val="28"/>
          <w:szCs w:val="28"/>
        </w:rPr>
        <w:t>2</w:t>
      </w:r>
      <w:r>
        <w:rPr>
          <w:rFonts w:hint="eastAsia" w:ascii="宋体" w:hAnsi="宋体" w:cs="仿宋_GB2312"/>
          <w:color w:val="333333"/>
          <w:sz w:val="28"/>
          <w:szCs w:val="28"/>
          <w:lang w:val="en-US" w:eastAsia="zh-CN"/>
        </w:rPr>
        <w:t>4</w:t>
      </w:r>
      <w:r>
        <w:rPr>
          <w:rFonts w:ascii="宋体" w:hAnsi="宋体" w:cs="仿宋_GB2312"/>
          <w:color w:val="333333"/>
          <w:sz w:val="28"/>
          <w:szCs w:val="28"/>
        </w:rPr>
        <w:t>年度预算绩效管理工作考核办法，进一步提高工作考核的科学性和有效性。</w:t>
      </w:r>
      <w:r>
        <w:rPr>
          <w:rFonts w:ascii="宋体" w:hAnsi="宋体" w:cs="仿宋_GB2312"/>
          <w:color w:val="000000"/>
          <w:sz w:val="28"/>
          <w:szCs w:val="28"/>
        </w:rPr>
        <w:t>根据预算绩效管理要求，本年度我单位进一步完善了预算绩效的管理，通过设定绩效目标，</w:t>
      </w:r>
      <w:r>
        <w:rPr>
          <w:rFonts w:hint="eastAsia" w:ascii="宋体" w:hAnsi="宋体"/>
          <w:sz w:val="28"/>
          <w:szCs w:val="28"/>
        </w:rPr>
        <w:t>，执行上级主管部门的指示和决定。实行保育和教育相结合的原则，对幼儿实施体、智、德、美诸方面全面发展的教育，促进其身心和谐发展。为家长解除后顾之忧，热忱为家长服务</w:t>
      </w:r>
      <w:r>
        <w:rPr>
          <w:rFonts w:ascii="宋体" w:hAnsi="宋体" w:cs="仿宋_GB2312"/>
          <w:color w:val="000000"/>
          <w:sz w:val="28"/>
          <w:szCs w:val="28"/>
        </w:rPr>
        <w:t>。</w:t>
      </w:r>
      <w:r>
        <w:rPr>
          <w:rFonts w:hint="eastAsia" w:ascii="宋体" w:hAnsi="宋体" w:cs="仿宋_GB2312"/>
          <w:color w:val="000000"/>
          <w:sz w:val="28"/>
          <w:szCs w:val="28"/>
        </w:rPr>
        <w:t>自评报告见附件。</w:t>
      </w:r>
    </w:p>
    <w:p w14:paraId="2C120D4A">
      <w:pPr>
        <w:widowControl/>
        <w:wordWrap w:val="0"/>
        <w:spacing w:line="580" w:lineRule="atLeast"/>
        <w:ind w:firstLine="640"/>
        <w:jc w:val="left"/>
        <w:rPr>
          <w:rFonts w:ascii="宋体" w:hAnsi="宋体" w:eastAsia="宋体" w:cs="仿宋_GB2312"/>
          <w:color w:val="333333"/>
          <w:sz w:val="28"/>
          <w:szCs w:val="28"/>
        </w:rPr>
      </w:pPr>
    </w:p>
    <w:p w14:paraId="3216F0FC">
      <w:pPr>
        <w:pStyle w:val="5"/>
        <w:widowControl/>
        <w:spacing w:line="240" w:lineRule="atLeast"/>
        <w:ind w:left="420"/>
        <w:jc w:val="both"/>
        <w:rPr>
          <w:rFonts w:ascii="宋体" w:hAnsi="宋体"/>
          <w:sz w:val="28"/>
          <w:szCs w:val="28"/>
        </w:rPr>
      </w:pPr>
      <w:r>
        <w:rPr>
          <w:rFonts w:ascii="宋体" w:hAnsi="宋体"/>
          <w:sz w:val="28"/>
          <w:szCs w:val="28"/>
        </w:rPr>
        <w:t>十</w:t>
      </w:r>
      <w:r>
        <w:rPr>
          <w:rFonts w:hint="eastAsia" w:ascii="宋体" w:hAnsi="宋体"/>
          <w:sz w:val="28"/>
          <w:szCs w:val="28"/>
          <w:lang w:eastAsia="zh-CN"/>
        </w:rPr>
        <w:t>一</w:t>
      </w:r>
      <w:r>
        <w:rPr>
          <w:rFonts w:ascii="宋体" w:hAnsi="宋体"/>
          <w:sz w:val="28"/>
          <w:szCs w:val="28"/>
        </w:rPr>
        <w:t>、其他重要事项</w:t>
      </w:r>
    </w:p>
    <w:p w14:paraId="5E921EA4">
      <w:pPr>
        <w:pStyle w:val="5"/>
        <w:widowControl/>
        <w:spacing w:line="240" w:lineRule="atLeast"/>
        <w:ind w:left="420"/>
        <w:jc w:val="both"/>
        <w:rPr>
          <w:rFonts w:ascii="宋体" w:hAnsi="宋体" w:cs="仿宋_GB2312"/>
          <w:color w:val="000000"/>
          <w:sz w:val="28"/>
          <w:szCs w:val="28"/>
        </w:rPr>
      </w:pPr>
      <w:r>
        <w:rPr>
          <w:rFonts w:ascii="宋体" w:hAnsi="宋体" w:cs="仿宋_GB2312"/>
          <w:color w:val="000000"/>
          <w:sz w:val="28"/>
          <w:szCs w:val="28"/>
        </w:rPr>
        <w:t>（一）机关运行经费支出情况</w:t>
      </w:r>
    </w:p>
    <w:p w14:paraId="67890EB6">
      <w:pPr>
        <w:pStyle w:val="5"/>
        <w:widowControl/>
        <w:spacing w:line="240" w:lineRule="atLeast"/>
        <w:ind w:firstLine="560" w:firstLineChars="200"/>
        <w:jc w:val="both"/>
        <w:rPr>
          <w:rFonts w:ascii="宋体" w:hAnsi="宋体" w:cs="仿宋_GB2312"/>
          <w:color w:val="000000"/>
          <w:sz w:val="28"/>
          <w:szCs w:val="28"/>
        </w:rPr>
      </w:pPr>
      <w:r>
        <w:rPr>
          <w:rFonts w:ascii="宋体" w:hAnsi="宋体" w:cs="仿宋_GB2312"/>
          <w:color w:val="000000"/>
          <w:sz w:val="28"/>
          <w:szCs w:val="28"/>
        </w:rPr>
        <w:t>本部门20</w:t>
      </w:r>
      <w:r>
        <w:rPr>
          <w:rFonts w:hint="eastAsia" w:ascii="宋体" w:hAnsi="宋体" w:cs="仿宋_GB2312"/>
          <w:color w:val="000000"/>
          <w:sz w:val="28"/>
          <w:szCs w:val="28"/>
        </w:rPr>
        <w:t>2</w:t>
      </w:r>
      <w:r>
        <w:rPr>
          <w:rFonts w:hint="eastAsia" w:ascii="宋体" w:hAnsi="宋体" w:cs="仿宋_GB2312"/>
          <w:color w:val="000000"/>
          <w:sz w:val="28"/>
          <w:szCs w:val="28"/>
          <w:lang w:val="en-US" w:eastAsia="zh-CN"/>
        </w:rPr>
        <w:t>4</w:t>
      </w:r>
      <w:r>
        <w:rPr>
          <w:rFonts w:ascii="宋体" w:hAnsi="宋体" w:cs="仿宋_GB2312"/>
          <w:color w:val="000000"/>
          <w:sz w:val="28"/>
          <w:szCs w:val="28"/>
        </w:rPr>
        <w:t>年度机关运行经费支出</w:t>
      </w:r>
      <w:r>
        <w:rPr>
          <w:rFonts w:hint="eastAsia" w:ascii="宋体" w:hAnsi="宋体" w:cs="仿宋_GB2312"/>
          <w:color w:val="000000"/>
          <w:sz w:val="28"/>
          <w:szCs w:val="28"/>
        </w:rPr>
        <w:t>0</w:t>
      </w:r>
      <w:r>
        <w:rPr>
          <w:rFonts w:ascii="宋体" w:hAnsi="宋体" w:cs="仿宋_GB2312"/>
          <w:color w:val="000000"/>
          <w:sz w:val="28"/>
          <w:szCs w:val="28"/>
        </w:rPr>
        <w:t>万元</w:t>
      </w:r>
      <w:r>
        <w:rPr>
          <w:rFonts w:hint="eastAsia" w:ascii="宋体" w:hAnsi="宋体" w:cs="仿宋_GB2312"/>
          <w:color w:val="000000"/>
          <w:sz w:val="28"/>
          <w:szCs w:val="28"/>
        </w:rPr>
        <w:t>，因为本部门不属于行政单位和参照公务员法管理的事业单位。</w:t>
      </w:r>
    </w:p>
    <w:p w14:paraId="3F737FE9">
      <w:pPr>
        <w:pStyle w:val="5"/>
        <w:widowControl/>
        <w:spacing w:line="240" w:lineRule="atLeast"/>
        <w:ind w:firstLine="420"/>
        <w:jc w:val="both"/>
        <w:rPr>
          <w:rFonts w:ascii="宋体" w:hAnsi="宋体" w:cs="仿宋_GB2312"/>
          <w:color w:val="000000"/>
          <w:sz w:val="28"/>
          <w:szCs w:val="28"/>
        </w:rPr>
      </w:pPr>
      <w:r>
        <w:rPr>
          <w:rFonts w:ascii="宋体" w:hAnsi="宋体" w:cs="仿宋_GB2312"/>
          <w:color w:val="000000"/>
          <w:sz w:val="28"/>
          <w:szCs w:val="28"/>
        </w:rPr>
        <w:t>（二）一般性支出情况</w:t>
      </w:r>
    </w:p>
    <w:p w14:paraId="3321C52F">
      <w:pPr>
        <w:pStyle w:val="5"/>
        <w:widowControl/>
        <w:spacing w:line="240" w:lineRule="atLeast"/>
        <w:ind w:firstLine="420"/>
        <w:jc w:val="both"/>
        <w:rPr>
          <w:rFonts w:ascii="宋体" w:hAnsi="宋体" w:cs="仿宋_GB2312"/>
          <w:color w:val="000000"/>
          <w:sz w:val="28"/>
          <w:szCs w:val="28"/>
        </w:rPr>
      </w:pPr>
      <w:r>
        <w:rPr>
          <w:rFonts w:ascii="宋体" w:hAnsi="宋体" w:cs="仿宋_GB2312"/>
          <w:color w:val="000000"/>
          <w:sz w:val="28"/>
          <w:szCs w:val="28"/>
        </w:rPr>
        <w:t>202</w:t>
      </w:r>
      <w:r>
        <w:rPr>
          <w:rFonts w:hint="eastAsia" w:ascii="宋体" w:hAnsi="宋体" w:cs="仿宋_GB2312"/>
          <w:color w:val="000000"/>
          <w:sz w:val="28"/>
          <w:szCs w:val="28"/>
          <w:lang w:val="en-US" w:eastAsia="zh-CN"/>
        </w:rPr>
        <w:t>4</w:t>
      </w:r>
      <w:r>
        <w:rPr>
          <w:rFonts w:ascii="宋体" w:hAnsi="宋体" w:cs="仿宋_GB2312"/>
          <w:color w:val="000000"/>
          <w:sz w:val="28"/>
          <w:szCs w:val="28"/>
        </w:rPr>
        <w:t>年本部门开支会议费0万元；开支培训费</w:t>
      </w:r>
      <w:r>
        <w:rPr>
          <w:rFonts w:hint="eastAsia" w:ascii="宋体" w:hAnsi="宋体" w:cs="仿宋_GB2312"/>
          <w:color w:val="000000"/>
          <w:sz w:val="28"/>
          <w:szCs w:val="28"/>
          <w:lang w:val="en-US" w:eastAsia="zh-CN"/>
        </w:rPr>
        <w:t>0.27</w:t>
      </w:r>
      <w:r>
        <w:rPr>
          <w:rFonts w:ascii="宋体" w:hAnsi="宋体" w:cs="仿宋_GB2312"/>
          <w:color w:val="000000"/>
          <w:sz w:val="28"/>
          <w:szCs w:val="28"/>
        </w:rPr>
        <w:t>万元，未举办节庆、赛事等活动。</w:t>
      </w:r>
    </w:p>
    <w:p w14:paraId="46572C6B">
      <w:pPr>
        <w:pStyle w:val="5"/>
        <w:widowControl/>
        <w:spacing w:line="240" w:lineRule="atLeast"/>
        <w:ind w:firstLine="420"/>
        <w:jc w:val="both"/>
        <w:rPr>
          <w:rFonts w:ascii="宋体" w:hAnsi="宋体" w:cs="仿宋_GB2312"/>
          <w:color w:val="000000"/>
          <w:sz w:val="28"/>
          <w:szCs w:val="28"/>
        </w:rPr>
      </w:pPr>
      <w:r>
        <w:rPr>
          <w:rFonts w:ascii="宋体" w:hAnsi="宋体" w:cs="仿宋_GB2312"/>
          <w:color w:val="000000"/>
          <w:sz w:val="28"/>
          <w:szCs w:val="28"/>
        </w:rPr>
        <w:t>（三）政府采购支出情况</w:t>
      </w:r>
    </w:p>
    <w:p w14:paraId="4E27C61C">
      <w:pPr>
        <w:pStyle w:val="5"/>
        <w:widowControl/>
        <w:spacing w:line="240" w:lineRule="atLeast"/>
        <w:ind w:firstLine="420"/>
        <w:jc w:val="both"/>
        <w:rPr>
          <w:rFonts w:ascii="宋体" w:hAnsi="宋体" w:cs="仿宋_GB2312"/>
          <w:color w:val="000000"/>
          <w:sz w:val="28"/>
          <w:szCs w:val="28"/>
        </w:rPr>
      </w:pPr>
      <w:r>
        <w:rPr>
          <w:rFonts w:ascii="宋体" w:hAnsi="宋体" w:cs="仿宋_GB2312"/>
          <w:color w:val="000000"/>
          <w:sz w:val="28"/>
          <w:szCs w:val="28"/>
        </w:rPr>
        <w:t>本部门2</w:t>
      </w:r>
      <w:r>
        <w:rPr>
          <w:rFonts w:hint="eastAsia" w:ascii="宋体" w:hAnsi="宋体" w:cs="仿宋_GB2312"/>
          <w:color w:val="000000"/>
          <w:sz w:val="28"/>
          <w:szCs w:val="28"/>
        </w:rPr>
        <w:t>02</w:t>
      </w:r>
      <w:r>
        <w:rPr>
          <w:rFonts w:hint="eastAsia" w:ascii="宋体" w:hAnsi="宋体" w:cs="仿宋_GB2312"/>
          <w:color w:val="000000"/>
          <w:sz w:val="28"/>
          <w:szCs w:val="28"/>
          <w:lang w:val="en-US" w:eastAsia="zh-CN"/>
        </w:rPr>
        <w:t>4</w:t>
      </w:r>
      <w:r>
        <w:rPr>
          <w:rFonts w:ascii="宋体" w:hAnsi="宋体" w:cs="仿宋_GB2312"/>
          <w:color w:val="000000"/>
          <w:sz w:val="28"/>
          <w:szCs w:val="28"/>
        </w:rPr>
        <w:t>年度政府采购支出总额</w:t>
      </w:r>
      <w:r>
        <w:rPr>
          <w:rFonts w:hint="eastAsia" w:ascii="宋体" w:hAnsi="宋体" w:cs="仿宋_GB2312"/>
          <w:color w:val="000000"/>
          <w:sz w:val="28"/>
          <w:szCs w:val="28"/>
          <w:lang w:val="en-US" w:eastAsia="zh-CN"/>
        </w:rPr>
        <w:t>0</w:t>
      </w:r>
      <w:r>
        <w:rPr>
          <w:rFonts w:ascii="宋体" w:hAnsi="宋体" w:cs="仿宋_GB2312"/>
          <w:color w:val="000000"/>
          <w:sz w:val="28"/>
          <w:szCs w:val="28"/>
        </w:rPr>
        <w:t>万元，其中：政府采购货物支出</w:t>
      </w:r>
      <w:r>
        <w:rPr>
          <w:rFonts w:hint="eastAsia" w:ascii="宋体" w:hAnsi="宋体" w:cs="仿宋_GB2312"/>
          <w:color w:val="000000"/>
          <w:sz w:val="28"/>
          <w:szCs w:val="28"/>
          <w:lang w:val="en-US" w:eastAsia="zh-CN"/>
        </w:rPr>
        <w:t>0</w:t>
      </w:r>
      <w:r>
        <w:rPr>
          <w:rFonts w:ascii="宋体" w:hAnsi="宋体" w:cs="仿宋_GB2312"/>
          <w:color w:val="000000"/>
          <w:sz w:val="28"/>
          <w:szCs w:val="28"/>
        </w:rPr>
        <w:t>万元、政府采购工程支出0万元、政府采购服务支出</w:t>
      </w:r>
      <w:r>
        <w:rPr>
          <w:rFonts w:hint="eastAsia" w:ascii="宋体" w:hAnsi="宋体" w:cs="仿宋_GB2312"/>
          <w:color w:val="000000"/>
          <w:sz w:val="28"/>
          <w:szCs w:val="28"/>
        </w:rPr>
        <w:t>0</w:t>
      </w:r>
      <w:r>
        <w:rPr>
          <w:rFonts w:ascii="宋体" w:hAnsi="宋体" w:cs="仿宋_GB2312"/>
          <w:color w:val="000000"/>
          <w:sz w:val="28"/>
          <w:szCs w:val="28"/>
        </w:rPr>
        <w:t>万元。授予中小企业合同金额</w:t>
      </w:r>
      <w:r>
        <w:rPr>
          <w:rFonts w:hint="eastAsia" w:ascii="宋体" w:hAnsi="宋体" w:cs="仿宋_GB2312"/>
          <w:color w:val="000000"/>
          <w:sz w:val="28"/>
          <w:szCs w:val="28"/>
          <w:lang w:val="en-US" w:eastAsia="zh-CN"/>
        </w:rPr>
        <w:t>0</w:t>
      </w:r>
      <w:r>
        <w:rPr>
          <w:rFonts w:ascii="宋体" w:hAnsi="宋体" w:cs="仿宋_GB2312"/>
          <w:color w:val="000000"/>
          <w:sz w:val="28"/>
          <w:szCs w:val="28"/>
        </w:rPr>
        <w:t>万元，占政府采购支出总额的100%</w:t>
      </w:r>
      <w:r>
        <w:rPr>
          <w:rFonts w:hint="eastAsia" w:ascii="宋体" w:hAnsi="宋体" w:cs="仿宋_GB2312"/>
          <w:color w:val="000000"/>
          <w:sz w:val="28"/>
          <w:szCs w:val="28"/>
        </w:rPr>
        <w:t>。</w:t>
      </w:r>
    </w:p>
    <w:p w14:paraId="141C476B">
      <w:pPr>
        <w:pStyle w:val="5"/>
        <w:widowControl/>
        <w:spacing w:line="240" w:lineRule="atLeast"/>
        <w:ind w:firstLine="420"/>
        <w:jc w:val="both"/>
        <w:rPr>
          <w:rFonts w:ascii="宋体" w:hAnsi="宋体" w:cs="仿宋_GB2312"/>
          <w:color w:val="000000"/>
          <w:sz w:val="28"/>
          <w:szCs w:val="28"/>
        </w:rPr>
      </w:pPr>
      <w:r>
        <w:rPr>
          <w:rFonts w:ascii="宋体" w:hAnsi="宋体" w:cs="仿宋_GB2312"/>
          <w:color w:val="000000"/>
          <w:sz w:val="28"/>
          <w:szCs w:val="28"/>
        </w:rPr>
        <w:t>（四）国有资产占用情况</w:t>
      </w:r>
    </w:p>
    <w:p w14:paraId="72FD3210">
      <w:pPr>
        <w:pStyle w:val="5"/>
        <w:widowControl/>
        <w:spacing w:line="240" w:lineRule="atLeast"/>
        <w:ind w:firstLine="420"/>
        <w:jc w:val="both"/>
        <w:rPr>
          <w:rFonts w:ascii="宋体" w:hAnsi="宋体" w:cs="仿宋_GB2312"/>
          <w:color w:val="000000"/>
          <w:sz w:val="28"/>
          <w:szCs w:val="28"/>
        </w:rPr>
      </w:pPr>
      <w:r>
        <w:rPr>
          <w:rFonts w:ascii="宋体" w:hAnsi="宋体" w:cs="仿宋_GB2312"/>
          <w:color w:val="000000"/>
          <w:sz w:val="28"/>
          <w:szCs w:val="28"/>
        </w:rPr>
        <w:t>截至20</w:t>
      </w:r>
      <w:r>
        <w:rPr>
          <w:rFonts w:hint="eastAsia" w:ascii="宋体" w:hAnsi="宋体" w:cs="仿宋_GB2312"/>
          <w:color w:val="000000"/>
          <w:sz w:val="28"/>
          <w:szCs w:val="28"/>
        </w:rPr>
        <w:t>2</w:t>
      </w:r>
      <w:r>
        <w:rPr>
          <w:rFonts w:hint="eastAsia" w:ascii="宋体" w:hAnsi="宋体" w:cs="仿宋_GB2312"/>
          <w:color w:val="000000"/>
          <w:sz w:val="28"/>
          <w:szCs w:val="28"/>
          <w:lang w:val="en-US" w:eastAsia="zh-CN"/>
        </w:rPr>
        <w:t>4</w:t>
      </w:r>
      <w:r>
        <w:rPr>
          <w:rFonts w:ascii="宋体" w:hAnsi="宋体" w:cs="仿宋_GB2312"/>
          <w:color w:val="000000"/>
          <w:sz w:val="28"/>
          <w:szCs w:val="28"/>
        </w:rPr>
        <w:t>年12月31日，本单位共有车辆0辆；单位价值50万元以上通用设备0台（套）；单位价值100万元以上专用设备0台（套）。 </w:t>
      </w:r>
    </w:p>
    <w:p w14:paraId="60EFAC94">
      <w:pPr>
        <w:ind w:firstLine="560" w:firstLineChars="200"/>
        <w:rPr>
          <w:rFonts w:ascii="宋体" w:hAnsi="宋体" w:eastAsia="宋体" w:cs="黑体"/>
          <w:color w:val="000000"/>
          <w:kern w:val="0"/>
          <w:sz w:val="28"/>
          <w:szCs w:val="28"/>
        </w:rPr>
      </w:pPr>
    </w:p>
    <w:p w14:paraId="318C843E">
      <w:pPr>
        <w:pStyle w:val="10"/>
        <w:jc w:val="center"/>
        <w:rPr>
          <w:rFonts w:ascii="宋体" w:hAnsi="宋体" w:eastAsia="宋体"/>
          <w:sz w:val="72"/>
          <w:szCs w:val="72"/>
        </w:rPr>
      </w:pPr>
    </w:p>
    <w:p w14:paraId="7C80F1FB">
      <w:pPr>
        <w:pStyle w:val="10"/>
        <w:jc w:val="center"/>
        <w:rPr>
          <w:rFonts w:ascii="宋体" w:hAnsi="宋体" w:eastAsia="宋体"/>
          <w:sz w:val="72"/>
          <w:szCs w:val="72"/>
        </w:rPr>
      </w:pPr>
    </w:p>
    <w:p w14:paraId="13DEA75E">
      <w:pPr>
        <w:pStyle w:val="10"/>
        <w:jc w:val="center"/>
        <w:rPr>
          <w:rFonts w:ascii="宋体" w:hAnsi="宋体" w:eastAsia="宋体"/>
          <w:sz w:val="72"/>
          <w:szCs w:val="72"/>
        </w:rPr>
      </w:pPr>
    </w:p>
    <w:p w14:paraId="4023C847">
      <w:pPr>
        <w:pStyle w:val="10"/>
        <w:rPr>
          <w:rFonts w:ascii="宋体" w:hAnsi="宋体" w:eastAsia="宋体"/>
          <w:sz w:val="72"/>
          <w:szCs w:val="72"/>
        </w:rPr>
      </w:pPr>
    </w:p>
    <w:p w14:paraId="4089F181">
      <w:pPr>
        <w:pStyle w:val="10"/>
        <w:jc w:val="center"/>
        <w:rPr>
          <w:rFonts w:ascii="宋体" w:hAnsi="宋体" w:eastAsia="宋体"/>
          <w:sz w:val="72"/>
          <w:szCs w:val="72"/>
        </w:rPr>
      </w:pPr>
    </w:p>
    <w:p w14:paraId="4B5FBAE9">
      <w:pPr>
        <w:pStyle w:val="10"/>
        <w:rPr>
          <w:rFonts w:ascii="宋体" w:hAnsi="宋体" w:eastAsia="宋体"/>
          <w:sz w:val="72"/>
          <w:szCs w:val="72"/>
        </w:rPr>
      </w:pPr>
    </w:p>
    <w:p w14:paraId="26BA2167">
      <w:pPr>
        <w:pStyle w:val="10"/>
        <w:jc w:val="center"/>
        <w:rPr>
          <w:rFonts w:ascii="宋体" w:hAnsi="宋体" w:eastAsia="宋体"/>
          <w:sz w:val="72"/>
          <w:szCs w:val="72"/>
        </w:rPr>
      </w:pPr>
      <w:r>
        <w:rPr>
          <w:rFonts w:hint="eastAsia" w:ascii="宋体" w:hAnsi="宋体" w:eastAsia="宋体"/>
          <w:sz w:val="72"/>
          <w:szCs w:val="72"/>
        </w:rPr>
        <w:t>第四部分</w:t>
      </w:r>
    </w:p>
    <w:p w14:paraId="6916849D">
      <w:pPr>
        <w:jc w:val="center"/>
        <w:rPr>
          <w:rFonts w:ascii="宋体" w:hAnsi="宋体" w:eastAsia="宋体" w:cs="黑体"/>
          <w:color w:val="000000"/>
          <w:kern w:val="0"/>
          <w:sz w:val="70"/>
          <w:szCs w:val="70"/>
        </w:rPr>
      </w:pPr>
    </w:p>
    <w:p w14:paraId="5F64BFD1">
      <w:pPr>
        <w:jc w:val="center"/>
        <w:rPr>
          <w:rFonts w:ascii="宋体" w:hAnsi="宋体" w:eastAsia="宋体" w:cs="黑体"/>
          <w:color w:val="000000"/>
          <w:kern w:val="0"/>
          <w:sz w:val="70"/>
          <w:szCs w:val="70"/>
        </w:rPr>
      </w:pPr>
      <w:r>
        <w:rPr>
          <w:rFonts w:hint="eastAsia" w:ascii="宋体" w:hAnsi="宋体" w:eastAsia="宋体" w:cs="黑体"/>
          <w:color w:val="000000"/>
          <w:kern w:val="0"/>
          <w:sz w:val="70"/>
          <w:szCs w:val="70"/>
        </w:rPr>
        <w:t>名词解释</w:t>
      </w:r>
    </w:p>
    <w:p w14:paraId="525A6D66">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3BE1DC87">
      <w:pPr>
        <w:ind w:firstLine="640" w:firstLineChars="200"/>
        <w:jc w:val="left"/>
        <w:rPr>
          <w:rFonts w:cs="黑体" w:asciiTheme="minorEastAsia" w:hAnsiTheme="minorEastAsia"/>
          <w:color w:val="000000"/>
          <w:kern w:val="0"/>
          <w:sz w:val="32"/>
          <w:szCs w:val="32"/>
        </w:rPr>
      </w:pPr>
    </w:p>
    <w:p w14:paraId="45ED5EC6">
      <w:pPr>
        <w:pStyle w:val="5"/>
        <w:widowControl/>
        <w:spacing w:line="240" w:lineRule="atLeast"/>
        <w:ind w:firstLine="420"/>
        <w:jc w:val="both"/>
        <w:rPr>
          <w:rFonts w:ascii="宋体" w:hAnsi="宋体" w:cs="仿宋_GB2312"/>
          <w:color w:val="000000"/>
          <w:sz w:val="28"/>
          <w:szCs w:val="28"/>
        </w:rPr>
      </w:pPr>
      <w:r>
        <w:rPr>
          <w:rFonts w:hint="eastAsia" w:cs="黑体" w:asciiTheme="minorEastAsia" w:hAnsiTheme="minorEastAsia"/>
          <w:color w:val="000000"/>
          <w:sz w:val="32"/>
          <w:szCs w:val="32"/>
        </w:rPr>
        <w:t>一、</w:t>
      </w:r>
      <w:r>
        <w:rPr>
          <w:rFonts w:ascii="宋体" w:hAnsi="宋体" w:cs="仿宋_GB2312"/>
          <w:color w:val="000000"/>
          <w:sz w:val="28"/>
          <w:szCs w:val="28"/>
        </w:rPr>
        <w:t>1、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14:paraId="45A94E50">
      <w:pPr>
        <w:pStyle w:val="5"/>
        <w:widowControl/>
        <w:spacing w:line="240" w:lineRule="atLeast"/>
        <w:ind w:firstLine="420"/>
        <w:jc w:val="both"/>
        <w:rPr>
          <w:rFonts w:ascii="宋体" w:hAnsi="宋体" w:cs="仿宋_GB2312"/>
          <w:color w:val="000000"/>
          <w:sz w:val="28"/>
          <w:szCs w:val="28"/>
        </w:rPr>
      </w:pPr>
      <w:r>
        <w:rPr>
          <w:rFonts w:ascii="宋体" w:hAnsi="宋体" w:cs="仿宋_GB2312"/>
          <w:color w:val="000000"/>
          <w:sz w:val="28"/>
          <w:szCs w:val="28"/>
        </w:rPr>
        <w:t>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7C158D28">
      <w:pPr>
        <w:ind w:firstLine="420"/>
        <w:rPr>
          <w:rFonts w:asciiTheme="minorEastAsia" w:hAnsiTheme="minorEastAsia"/>
          <w:i/>
          <w:color w:val="FF0000"/>
          <w:sz w:val="32"/>
          <w:szCs w:val="32"/>
        </w:rPr>
      </w:pPr>
      <w:r>
        <w:rPr>
          <w:rFonts w:asciiTheme="minorEastAsia" w:hAnsiTheme="minorEastAsia"/>
          <w:i/>
          <w:color w:val="FF0000"/>
          <w:sz w:val="32"/>
          <w:szCs w:val="32"/>
        </w:rPr>
        <w:br w:type="page"/>
      </w:r>
    </w:p>
    <w:p w14:paraId="4038B6AD">
      <w:pPr>
        <w:pStyle w:val="10"/>
        <w:jc w:val="center"/>
        <w:rPr>
          <w:sz w:val="72"/>
          <w:szCs w:val="72"/>
        </w:rPr>
      </w:pPr>
    </w:p>
    <w:p w14:paraId="01ED44B3">
      <w:pPr>
        <w:pStyle w:val="10"/>
        <w:jc w:val="center"/>
        <w:rPr>
          <w:sz w:val="72"/>
          <w:szCs w:val="72"/>
        </w:rPr>
      </w:pPr>
    </w:p>
    <w:p w14:paraId="3F2C056A">
      <w:pPr>
        <w:pStyle w:val="10"/>
        <w:jc w:val="center"/>
        <w:rPr>
          <w:sz w:val="72"/>
          <w:szCs w:val="72"/>
        </w:rPr>
      </w:pPr>
    </w:p>
    <w:p w14:paraId="614FDB79">
      <w:pPr>
        <w:pStyle w:val="10"/>
        <w:jc w:val="center"/>
        <w:rPr>
          <w:sz w:val="72"/>
          <w:szCs w:val="72"/>
        </w:rPr>
      </w:pPr>
    </w:p>
    <w:p w14:paraId="0F4AF322">
      <w:pPr>
        <w:pStyle w:val="10"/>
        <w:jc w:val="center"/>
        <w:rPr>
          <w:sz w:val="72"/>
          <w:szCs w:val="72"/>
        </w:rPr>
      </w:pPr>
    </w:p>
    <w:p w14:paraId="3FC417B9">
      <w:pPr>
        <w:pStyle w:val="10"/>
        <w:jc w:val="center"/>
        <w:rPr>
          <w:sz w:val="72"/>
          <w:szCs w:val="72"/>
        </w:rPr>
      </w:pPr>
    </w:p>
    <w:p w14:paraId="6D4DB491">
      <w:pPr>
        <w:pStyle w:val="10"/>
        <w:jc w:val="center"/>
        <w:rPr>
          <w:sz w:val="72"/>
          <w:szCs w:val="72"/>
        </w:rPr>
      </w:pPr>
      <w:r>
        <w:rPr>
          <w:rFonts w:hint="eastAsia"/>
          <w:sz w:val="72"/>
          <w:szCs w:val="72"/>
        </w:rPr>
        <w:t>第五部分</w:t>
      </w:r>
    </w:p>
    <w:p w14:paraId="262EFCE1">
      <w:pPr>
        <w:jc w:val="center"/>
        <w:rPr>
          <w:rFonts w:ascii="黑体" w:eastAsia="黑体" w:cs="黑体"/>
          <w:color w:val="000000"/>
          <w:kern w:val="0"/>
          <w:sz w:val="70"/>
          <w:szCs w:val="70"/>
        </w:rPr>
      </w:pPr>
    </w:p>
    <w:p w14:paraId="717A70D2">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14:paraId="30D91322">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62E6D71A">
      <w:pPr>
        <w:jc w:val="center"/>
        <w:rPr>
          <w:rFonts w:ascii="黑体" w:eastAsia="黑体" w:cs="黑体"/>
          <w:color w:val="000000"/>
          <w:kern w:val="0"/>
          <w:sz w:val="70"/>
          <w:szCs w:val="70"/>
        </w:rPr>
      </w:pPr>
    </w:p>
    <w:p w14:paraId="790457B5">
      <w:pPr>
        <w:rPr>
          <w:rFonts w:ascii="Times New Roman" w:hAnsi="Times New Roman" w:eastAsia="黑体" w:cs="Times New Roman"/>
          <w:sz w:val="32"/>
          <w:szCs w:val="32"/>
        </w:rPr>
      </w:pPr>
      <w:r>
        <w:rPr>
          <w:rFonts w:hint="eastAsia" w:eastAsia="仿宋_GB2312"/>
          <w:b/>
          <w:spacing w:val="-2"/>
          <w:sz w:val="32"/>
          <w:szCs w:val="44"/>
        </w:rPr>
        <w:t xml:space="preserve"> </w:t>
      </w:r>
    </w:p>
    <w:p w14:paraId="664404CA">
      <w:pPr>
        <w:spacing w:line="600" w:lineRule="exact"/>
        <w:rPr>
          <w:rFonts w:ascii="Times New Roman" w:hAnsi="Times New Roman" w:eastAsia="黑体" w:cs="Times New Roman"/>
          <w:sz w:val="32"/>
          <w:szCs w:val="32"/>
        </w:rPr>
      </w:pPr>
    </w:p>
    <w:p w14:paraId="26F00FF5">
      <w:pPr>
        <w:spacing w:line="600" w:lineRule="exact"/>
        <w:rPr>
          <w:rFonts w:ascii="Times New Roman" w:hAnsi="Times New Roman" w:eastAsia="黑体" w:cs="Times New Roman"/>
          <w:sz w:val="32"/>
          <w:szCs w:val="32"/>
        </w:rPr>
      </w:pPr>
    </w:p>
    <w:p w14:paraId="0DC5F11D">
      <w:pPr>
        <w:spacing w:line="600" w:lineRule="exact"/>
        <w:rPr>
          <w:rFonts w:ascii="Times New Roman" w:hAnsi="Times New Roman" w:eastAsia="黑体" w:cs="Times New Roman"/>
          <w:sz w:val="32"/>
          <w:szCs w:val="32"/>
        </w:rPr>
      </w:pPr>
    </w:p>
    <w:p w14:paraId="5E36E89D">
      <w:pPr>
        <w:spacing w:line="600" w:lineRule="exact"/>
        <w:ind w:firstLine="420" w:firstLineChars="0"/>
        <w:rPr>
          <w:rFonts w:hint="eastAsia" w:ascii="Times New Roman" w:hAnsi="Times New Roman" w:eastAsia="黑体" w:cs="Times New Roman"/>
          <w:sz w:val="32"/>
          <w:szCs w:val="32"/>
          <w:lang w:val="en-US" w:eastAsia="zh-CN"/>
        </w:rPr>
      </w:pPr>
    </w:p>
    <w:p w14:paraId="2CFD9D90">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ascii="Times New Roman" w:hAnsi="Times New Roman" w:eastAsia="方正小标宋_GBK" w:cs="Times New Roman"/>
          <w:sz w:val="52"/>
          <w:szCs w:val="52"/>
          <w:lang w:val="en-US" w:eastAsia="zh-CN"/>
        </w:rPr>
        <w:t>4</w:t>
      </w:r>
      <w:r>
        <w:rPr>
          <w:rFonts w:ascii="Times New Roman" w:hAnsi="Times New Roman" w:eastAsia="方正小标宋_GBK" w:cs="Times New Roman"/>
          <w:sz w:val="52"/>
          <w:szCs w:val="52"/>
        </w:rPr>
        <w:t>年度</w:t>
      </w:r>
      <w:r>
        <w:rPr>
          <w:rFonts w:hint="eastAsia" w:ascii="Times New Roman" w:hAnsi="Times New Roman" w:eastAsia="方正小标宋_GBK" w:cs="Times New Roman"/>
          <w:sz w:val="52"/>
          <w:szCs w:val="52"/>
        </w:rPr>
        <w:t>怀化市市委市政府机关幼儿园</w:t>
      </w:r>
      <w:r>
        <w:rPr>
          <w:rFonts w:ascii="Times New Roman" w:hAnsi="Times New Roman" w:eastAsia="方正小标宋_GBK" w:cs="Times New Roman"/>
          <w:sz w:val="52"/>
          <w:szCs w:val="52"/>
        </w:rPr>
        <w:t>整体支出绩效自评报告</w:t>
      </w:r>
    </w:p>
    <w:p w14:paraId="55EEE0CC">
      <w:pPr>
        <w:jc w:val="both"/>
        <w:rPr>
          <w:rFonts w:ascii="Times New Roman" w:hAnsi="Times New Roman" w:eastAsia="楷体_GB2312" w:cs="Times New Roman"/>
          <w:b/>
          <w:sz w:val="32"/>
          <w:szCs w:val="32"/>
        </w:rPr>
      </w:pPr>
    </w:p>
    <w:p w14:paraId="31CE9782">
      <w:pPr>
        <w:jc w:val="center"/>
        <w:rPr>
          <w:rFonts w:ascii="Times New Roman" w:hAnsi="Times New Roman" w:eastAsia="黑体" w:cs="Times New Roman"/>
          <w:sz w:val="32"/>
          <w:szCs w:val="32"/>
        </w:rPr>
      </w:pPr>
    </w:p>
    <w:p w14:paraId="75B09FCB">
      <w:pPr>
        <w:jc w:val="center"/>
        <w:rPr>
          <w:rFonts w:ascii="Times New Roman" w:hAnsi="Times New Roman" w:eastAsia="黑体" w:cs="Times New Roman"/>
          <w:sz w:val="32"/>
          <w:szCs w:val="32"/>
        </w:rPr>
      </w:pPr>
    </w:p>
    <w:p w14:paraId="76BD6703">
      <w:pPr>
        <w:jc w:val="center"/>
        <w:rPr>
          <w:rFonts w:ascii="Times New Roman" w:hAnsi="Times New Roman" w:eastAsia="黑体" w:cs="Times New Roman"/>
          <w:sz w:val="32"/>
          <w:szCs w:val="32"/>
        </w:rPr>
      </w:pPr>
    </w:p>
    <w:p w14:paraId="127DCA3F">
      <w:pPr>
        <w:jc w:val="center"/>
        <w:rPr>
          <w:rFonts w:ascii="Times New Roman" w:hAnsi="Times New Roman" w:eastAsia="黑体" w:cs="Times New Roman"/>
          <w:sz w:val="32"/>
          <w:szCs w:val="32"/>
        </w:rPr>
      </w:pPr>
    </w:p>
    <w:p w14:paraId="7C29C821">
      <w:pPr>
        <w:jc w:val="center"/>
        <w:rPr>
          <w:rFonts w:ascii="Times New Roman" w:hAnsi="Times New Roman" w:eastAsia="黑体" w:cs="Times New Roman"/>
          <w:sz w:val="32"/>
          <w:szCs w:val="32"/>
        </w:rPr>
      </w:pPr>
    </w:p>
    <w:p w14:paraId="25C1A98F">
      <w:pPr>
        <w:jc w:val="center"/>
        <w:rPr>
          <w:rFonts w:ascii="Times New Roman" w:hAnsi="Times New Roman" w:eastAsia="黑体" w:cs="Times New Roman"/>
          <w:sz w:val="32"/>
          <w:szCs w:val="32"/>
        </w:rPr>
      </w:pPr>
    </w:p>
    <w:p w14:paraId="602177BC">
      <w:pPr>
        <w:jc w:val="both"/>
        <w:rPr>
          <w:rFonts w:ascii="Times New Roman" w:hAnsi="Times New Roman" w:eastAsia="黑体" w:cs="Times New Roman"/>
          <w:sz w:val="32"/>
          <w:szCs w:val="32"/>
        </w:rPr>
      </w:pPr>
    </w:p>
    <w:p w14:paraId="79C5BB68">
      <w:pPr>
        <w:jc w:val="center"/>
        <w:rPr>
          <w:rFonts w:ascii="Times New Roman" w:hAnsi="Times New Roman" w:eastAsia="黑体" w:cs="Times New Roman"/>
          <w:sz w:val="32"/>
          <w:szCs w:val="32"/>
        </w:rPr>
      </w:pPr>
    </w:p>
    <w:p w14:paraId="3D1F7D36">
      <w:pPr>
        <w:spacing w:line="600" w:lineRule="exact"/>
        <w:ind w:firstLine="2240" w:firstLineChars="70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单位名称</w:t>
      </w:r>
      <w:r>
        <w:rPr>
          <w:rFonts w:hint="eastAsia" w:ascii="Times New Roman" w:hAnsi="Times New Roman" w:eastAsia="仿宋_GB2312" w:cs="Times New Roman"/>
          <w:sz w:val="32"/>
          <w:szCs w:val="32"/>
          <w:lang w:val="en-US" w:eastAsia="zh-CN"/>
        </w:rPr>
        <w:t>:市委市政府机关幼儿园</w:t>
      </w:r>
    </w:p>
    <w:p w14:paraId="168D0C66">
      <w:pPr>
        <w:spacing w:line="600" w:lineRule="exact"/>
        <w:ind w:firstLine="3200" w:firstLineChars="1000"/>
        <w:rPr>
          <w:rFonts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2025</w:t>
      </w:r>
      <w:r>
        <w:rPr>
          <w:rFonts w:ascii="Times New Roman" w:hAnsi="Times New Roman" w:eastAsia="楷体_GB2312" w:cs="Times New Roman"/>
          <w:sz w:val="32"/>
          <w:szCs w:val="32"/>
        </w:rPr>
        <w:t xml:space="preserve">年 </w:t>
      </w:r>
      <w:r>
        <w:rPr>
          <w:rFonts w:hint="eastAsia" w:ascii="Times New Roman" w:hAnsi="Times New Roman" w:eastAsia="楷体_GB2312" w:cs="Times New Roman"/>
          <w:sz w:val="32"/>
          <w:szCs w:val="32"/>
          <w:lang w:val="en-US" w:eastAsia="zh-CN"/>
        </w:rPr>
        <w:t>7</w:t>
      </w:r>
      <w:r>
        <w:rPr>
          <w:rFonts w:ascii="Times New Roman" w:hAnsi="Times New Roman" w:eastAsia="楷体_GB2312" w:cs="Times New Roman"/>
          <w:sz w:val="32"/>
          <w:szCs w:val="32"/>
        </w:rPr>
        <w:t xml:space="preserve">月 </w:t>
      </w:r>
      <w:r>
        <w:rPr>
          <w:rFonts w:hint="eastAsia" w:ascii="Times New Roman" w:hAnsi="Times New Roman" w:eastAsia="楷体_GB2312" w:cs="Times New Roman"/>
          <w:sz w:val="32"/>
          <w:szCs w:val="32"/>
          <w:lang w:val="en-US" w:eastAsia="zh-CN"/>
        </w:rPr>
        <w:t>30</w:t>
      </w:r>
      <w:r>
        <w:rPr>
          <w:rFonts w:ascii="Times New Roman" w:hAnsi="Times New Roman" w:eastAsia="楷体_GB2312" w:cs="Times New Roman"/>
          <w:sz w:val="32"/>
          <w:szCs w:val="32"/>
        </w:rPr>
        <w:t>日</w:t>
      </w:r>
    </w:p>
    <w:p w14:paraId="11F79132">
      <w:pPr>
        <w:jc w:val="center"/>
        <w:rPr>
          <w:rFonts w:ascii="Times New Roman" w:hAnsi="Times New Roman" w:eastAsia="黑体" w:cs="Times New Roman"/>
          <w:sz w:val="32"/>
          <w:szCs w:val="32"/>
        </w:rPr>
      </w:pPr>
    </w:p>
    <w:p w14:paraId="37D64D74">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（此页为封面）</w:t>
      </w:r>
    </w:p>
    <w:p w14:paraId="202B116F">
      <w:pPr>
        <w:spacing w:line="600" w:lineRule="exact"/>
        <w:jc w:val="center"/>
        <w:rPr>
          <w:rFonts w:hint="eastAsia" w:ascii="方正小标宋简体" w:eastAsia="方正小标宋简体"/>
          <w:sz w:val="44"/>
          <w:szCs w:val="44"/>
        </w:rPr>
      </w:pPr>
      <w:r>
        <w:rPr>
          <w:rFonts w:ascii="Times New Roman" w:hAnsi="Times New Roman" w:eastAsia="仿宋_GB2312" w:cs="Times New Roman"/>
          <w:sz w:val="32"/>
          <w:szCs w:val="32"/>
        </w:rPr>
        <w:br w:type="page"/>
      </w:r>
      <w:r>
        <w:rPr>
          <w:rFonts w:hint="eastAsia" w:ascii="方正小标宋简体" w:eastAsia="方正小标宋简体"/>
          <w:sz w:val="44"/>
          <w:szCs w:val="44"/>
        </w:rPr>
        <w:t>怀化市市委市政府机关幼儿园</w:t>
      </w:r>
    </w:p>
    <w:p w14:paraId="21EB2CDF">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4</w:t>
      </w:r>
      <w:r>
        <w:rPr>
          <w:rFonts w:hint="eastAsia" w:ascii="方正小标宋简体" w:eastAsia="方正小标宋简体"/>
          <w:sz w:val="44"/>
          <w:szCs w:val="44"/>
        </w:rPr>
        <w:t>年部门整体绩效自评报告</w:t>
      </w:r>
    </w:p>
    <w:p w14:paraId="01257C3D">
      <w:pPr>
        <w:widowControl/>
        <w:shd w:val="clear" w:color="auto" w:fill="FFFFFF"/>
        <w:spacing w:line="600" w:lineRule="atLeast"/>
        <w:ind w:firstLine="640"/>
        <w:rPr>
          <w:rFonts w:ascii="楷体" w:hAnsi="楷体" w:eastAsia="楷体"/>
          <w:b/>
          <w:spacing w:val="-2"/>
          <w:sz w:val="32"/>
          <w:szCs w:val="21"/>
        </w:rPr>
      </w:pPr>
      <w:r>
        <w:rPr>
          <w:rFonts w:ascii="楷体" w:hAnsi="楷体" w:eastAsia="楷体"/>
          <w:b/>
          <w:spacing w:val="-2"/>
          <w:sz w:val="32"/>
          <w:szCs w:val="32"/>
        </w:rPr>
        <w:t>一、部门概况</w:t>
      </w:r>
    </w:p>
    <w:p w14:paraId="6679C497">
      <w:pPr>
        <w:widowControl/>
        <w:shd w:val="clear" w:color="auto" w:fill="FFFFFF"/>
        <w:spacing w:line="600" w:lineRule="atLeast"/>
        <w:ind w:firstLine="640"/>
        <w:rPr>
          <w:rFonts w:ascii="仿宋" w:hAnsi="仿宋" w:eastAsia="仿宋"/>
          <w:spacing w:val="-2"/>
          <w:sz w:val="32"/>
          <w:szCs w:val="32"/>
        </w:rPr>
      </w:pPr>
      <w:r>
        <w:rPr>
          <w:rFonts w:ascii="仿宋" w:hAnsi="仿宋" w:eastAsia="仿宋"/>
          <w:spacing w:val="-2"/>
          <w:sz w:val="32"/>
          <w:szCs w:val="32"/>
        </w:rPr>
        <w:t>（一）部门基本情况</w:t>
      </w:r>
    </w:p>
    <w:p w14:paraId="024A3ED4">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1、在职人员情况</w:t>
      </w:r>
    </w:p>
    <w:p w14:paraId="6B828D12">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怀化市委市政府机关幼儿园编制27人（事业编制）202</w:t>
      </w:r>
      <w:r>
        <w:rPr>
          <w:rFonts w:hint="eastAsia" w:ascii="仿宋" w:hAnsi="仿宋" w:eastAsia="仿宋" w:cs="仿宋"/>
          <w:sz w:val="32"/>
          <w:szCs w:val="32"/>
          <w:lang w:val="en-US" w:eastAsia="zh-CN"/>
        </w:rPr>
        <w:t>4</w:t>
      </w:r>
      <w:r>
        <w:rPr>
          <w:rFonts w:hint="eastAsia" w:ascii="仿宋" w:hAnsi="仿宋" w:eastAsia="仿宋" w:cs="仿宋"/>
          <w:sz w:val="32"/>
          <w:szCs w:val="32"/>
        </w:rPr>
        <w:t>年12月在编在职（2</w:t>
      </w:r>
      <w:r>
        <w:rPr>
          <w:rFonts w:hint="eastAsia" w:ascii="仿宋" w:hAnsi="仿宋" w:eastAsia="仿宋" w:cs="仿宋"/>
          <w:sz w:val="32"/>
          <w:szCs w:val="32"/>
          <w:lang w:val="en-US" w:eastAsia="zh-CN"/>
        </w:rPr>
        <w:t>0</w:t>
      </w:r>
      <w:r>
        <w:rPr>
          <w:rFonts w:hint="eastAsia" w:ascii="仿宋" w:hAnsi="仿宋" w:eastAsia="仿宋" w:cs="仿宋"/>
          <w:sz w:val="32"/>
          <w:szCs w:val="32"/>
        </w:rPr>
        <w:t>人），退休人员</w:t>
      </w:r>
      <w:r>
        <w:rPr>
          <w:rFonts w:hint="eastAsia" w:ascii="仿宋" w:hAnsi="仿宋" w:eastAsia="仿宋" w:cs="仿宋"/>
          <w:sz w:val="32"/>
          <w:szCs w:val="32"/>
          <w:lang w:val="en-US" w:eastAsia="zh-CN"/>
        </w:rPr>
        <w:t>21</w:t>
      </w:r>
      <w:r>
        <w:rPr>
          <w:rFonts w:hint="eastAsia" w:ascii="仿宋" w:hAnsi="仿宋" w:eastAsia="仿宋" w:cs="仿宋"/>
          <w:sz w:val="32"/>
          <w:szCs w:val="32"/>
        </w:rPr>
        <w:t>人。</w:t>
      </w:r>
    </w:p>
    <w:p w14:paraId="79A9CC54">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2、机构设置</w:t>
      </w:r>
    </w:p>
    <w:p w14:paraId="559E1AFE">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怀化市委市政府机关幼儿园是隶属怀化机关事务管理局二级单位，主要职责是贯彻国家的教育方针，按照保育及教育相结，全园分小、中、大五个班，内设园长室、教研室</w:t>
      </w:r>
      <w:r>
        <w:rPr>
          <w:rFonts w:hint="eastAsia"/>
        </w:rPr>
        <w:t>、</w:t>
      </w:r>
      <w:r>
        <w:rPr>
          <w:rFonts w:hint="eastAsia" w:ascii="仿宋" w:hAnsi="仿宋" w:eastAsia="仿宋" w:cs="仿宋"/>
          <w:sz w:val="32"/>
          <w:szCs w:val="32"/>
        </w:rPr>
        <w:t>办公室、财务室、资料室、保健室及炊事班。</w:t>
      </w:r>
    </w:p>
    <w:p w14:paraId="4447B2CA">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3、主要职能</w:t>
      </w:r>
    </w:p>
    <w:p w14:paraId="6A6D935F">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合的原则，遵循幼儿身心发展特点和规律，为孩子的德、智、体、美全面发展奠定基础。，促进幼儿身心和谐发展。为家长提供科学育儿指导。</w:t>
      </w:r>
    </w:p>
    <w:p w14:paraId="60335849">
      <w:pPr>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sz w:val="32"/>
          <w:szCs w:val="32"/>
        </w:rPr>
        <w:t>4、重点工作计划：</w:t>
      </w:r>
      <w:r>
        <w:rPr>
          <w:rFonts w:hint="eastAsia" w:ascii="仿宋" w:hAnsi="仿宋" w:eastAsia="仿宋" w:cs="仿宋"/>
          <w:color w:val="000000"/>
          <w:sz w:val="32"/>
          <w:szCs w:val="32"/>
          <w:shd w:val="clear" w:color="auto" w:fill="FFFFFF"/>
        </w:rPr>
        <w:t>1、加强对员工的正确价值观引导，通过典型实例提高全体员工的安全防范意识和遵纪守法观念。2、</w:t>
      </w:r>
      <w:r>
        <w:rPr>
          <w:rFonts w:hint="eastAsia" w:ascii="仿宋" w:hAnsi="仿宋" w:eastAsia="仿宋" w:cs="仿宋"/>
          <w:color w:val="333333"/>
          <w:sz w:val="32"/>
          <w:szCs w:val="32"/>
          <w:shd w:val="clear" w:color="auto" w:fill="FFFFFF"/>
        </w:rPr>
        <w:t>强化师德活动，助力教师专业成长，进一步加强教师职业道德教育，不断增强职业责任感和危机感。全体教职员工要确立服务意识，营造和谐顺畅的工作环境。全体教师一定要转变观念，强化全员服务的意识。学校要服务于社会和家长，教职员工要服务于学生，教师的一切工作要服务于教学质量的提升和学校良好形象的塑造。3、养成教育悉心抓，校园活动精心搞。一是要组织开展社会主义核心较直观宣传教育，从小进行爱国主义教育活动。4、用好现有教学资源，抓课堂教学，向课堂要质量，要求全体教师发挥电教平台的作用，进一步提升学校整体教学质量;教研室要不定期组织常规落实情况检查。5、建立健全安全工作机制，成立学校安全工作领导小组。健全安全各种制度及防范应急预案，</w:t>
      </w:r>
      <w:r>
        <w:rPr>
          <w:rFonts w:hint="eastAsia" w:ascii="仿宋" w:hAnsi="仿宋" w:eastAsia="仿宋" w:cs="仿宋"/>
          <w:color w:val="333333"/>
          <w:sz w:val="32"/>
          <w:szCs w:val="32"/>
          <w:shd w:val="clear" w:color="auto" w:fill="FFFFFF"/>
          <w:lang w:eastAsia="zh-CN"/>
        </w:rPr>
        <w:t>特别是要做好全园的疫情防控，</w:t>
      </w:r>
      <w:r>
        <w:rPr>
          <w:rFonts w:hint="eastAsia" w:ascii="仿宋" w:hAnsi="仿宋" w:eastAsia="仿宋" w:cs="仿宋"/>
          <w:color w:val="333333"/>
          <w:sz w:val="32"/>
          <w:szCs w:val="32"/>
          <w:shd w:val="clear" w:color="auto" w:fill="FFFFFF"/>
        </w:rPr>
        <w:t>做到对隐患的排查与整改及时到位。</w:t>
      </w:r>
    </w:p>
    <w:p w14:paraId="7D6F0D19">
      <w:pPr>
        <w:widowControl/>
        <w:shd w:val="clear" w:color="auto" w:fill="FFFFFF"/>
        <w:spacing w:line="600" w:lineRule="atLeast"/>
        <w:ind w:firstLine="640"/>
        <w:rPr>
          <w:rFonts w:ascii="仿宋" w:hAnsi="仿宋" w:eastAsia="仿宋"/>
          <w:spacing w:val="-2"/>
          <w:sz w:val="32"/>
          <w:szCs w:val="32"/>
        </w:rPr>
      </w:pPr>
      <w:r>
        <w:rPr>
          <w:rFonts w:ascii="仿宋" w:hAnsi="仿宋" w:eastAsia="仿宋"/>
          <w:spacing w:val="-2"/>
          <w:sz w:val="32"/>
          <w:szCs w:val="32"/>
        </w:rPr>
        <w:t>（二）部门整体支出规模、使用方向和主要内容、涉及范围等。</w:t>
      </w:r>
    </w:p>
    <w:p w14:paraId="24A4E62C">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部门财政资金收入情况：202</w:t>
      </w:r>
      <w:r>
        <w:rPr>
          <w:rFonts w:hint="eastAsia" w:ascii="仿宋" w:hAnsi="仿宋" w:eastAsia="仿宋" w:cs="仿宋"/>
          <w:sz w:val="32"/>
          <w:szCs w:val="32"/>
          <w:lang w:val="en-US" w:eastAsia="zh-CN"/>
        </w:rPr>
        <w:t>4</w:t>
      </w:r>
      <w:r>
        <w:rPr>
          <w:rFonts w:hint="eastAsia" w:ascii="仿宋" w:hAnsi="仿宋" w:eastAsia="仿宋" w:cs="仿宋"/>
          <w:sz w:val="32"/>
          <w:szCs w:val="32"/>
        </w:rPr>
        <w:t>年全年收入</w:t>
      </w:r>
      <w:r>
        <w:rPr>
          <w:rFonts w:hint="eastAsia" w:ascii="仿宋" w:hAnsi="仿宋" w:eastAsia="仿宋" w:cs="仿宋"/>
          <w:sz w:val="32"/>
          <w:szCs w:val="32"/>
          <w:lang w:val="en-US" w:eastAsia="zh-CN"/>
        </w:rPr>
        <w:t>472.16</w:t>
      </w:r>
      <w:r>
        <w:rPr>
          <w:rFonts w:hint="eastAsia" w:ascii="仿宋" w:hAnsi="仿宋" w:eastAsia="仿宋" w:cs="仿宋"/>
          <w:sz w:val="32"/>
          <w:szCs w:val="32"/>
        </w:rPr>
        <w:t>万元，其中：一般公共预算财政拨款收入为</w:t>
      </w:r>
      <w:r>
        <w:rPr>
          <w:rFonts w:hint="eastAsia" w:ascii="仿宋" w:hAnsi="仿宋" w:eastAsia="仿宋" w:cs="仿宋"/>
          <w:sz w:val="32"/>
          <w:szCs w:val="32"/>
          <w:lang w:val="en-US" w:eastAsia="zh-CN"/>
        </w:rPr>
        <w:t>472.16</w:t>
      </w:r>
      <w:r>
        <w:rPr>
          <w:rFonts w:hint="eastAsia" w:ascii="仿宋" w:hAnsi="仿宋" w:eastAsia="仿宋" w:cs="仿宋"/>
          <w:sz w:val="32"/>
          <w:szCs w:val="32"/>
        </w:rPr>
        <w:t>万元，</w:t>
      </w:r>
      <w:r>
        <w:rPr>
          <w:rFonts w:hint="eastAsia" w:ascii="仿宋" w:hAnsi="仿宋" w:eastAsia="仿宋"/>
          <w:color w:val="000000"/>
          <w:sz w:val="32"/>
          <w:szCs w:val="32"/>
          <w:shd w:val="clear" w:color="auto" w:fill="FFFFFF"/>
        </w:rPr>
        <w:t>占预算收入的</w:t>
      </w:r>
      <w:r>
        <w:rPr>
          <w:rFonts w:hint="eastAsia" w:ascii="仿宋" w:hAnsi="仿宋" w:eastAsia="仿宋"/>
          <w:color w:val="000000"/>
          <w:sz w:val="32"/>
          <w:szCs w:val="32"/>
          <w:shd w:val="clear" w:color="auto" w:fill="FFFFFF"/>
          <w:lang w:val="en-US" w:eastAsia="zh-CN"/>
        </w:rPr>
        <w:t>100</w:t>
      </w:r>
      <w:r>
        <w:rPr>
          <w:rFonts w:hint="eastAsia" w:ascii="仿宋" w:hAnsi="仿宋" w:eastAsia="仿宋"/>
          <w:color w:val="000000"/>
          <w:sz w:val="32"/>
          <w:szCs w:val="32"/>
          <w:shd w:val="clear" w:color="auto" w:fill="FFFFFF"/>
        </w:rPr>
        <w:t>%；其他收入</w:t>
      </w:r>
      <w:r>
        <w:rPr>
          <w:rFonts w:hint="eastAsia" w:ascii="仿宋" w:hAnsi="仿宋" w:eastAsia="仿宋"/>
          <w:color w:val="000000"/>
          <w:sz w:val="32"/>
          <w:szCs w:val="32"/>
          <w:shd w:val="clear" w:color="auto" w:fill="FFFFFF"/>
          <w:lang w:val="en-US" w:eastAsia="zh-CN"/>
        </w:rPr>
        <w:t>0</w:t>
      </w:r>
      <w:r>
        <w:rPr>
          <w:rFonts w:hint="eastAsia" w:ascii="仿宋" w:hAnsi="仿宋" w:eastAsia="仿宋"/>
          <w:color w:val="000000"/>
          <w:sz w:val="32"/>
          <w:szCs w:val="32"/>
          <w:shd w:val="clear" w:color="auto" w:fill="FFFFFF"/>
        </w:rPr>
        <w:t>万元，占预算收入的0%。</w:t>
      </w:r>
    </w:p>
    <w:p w14:paraId="38F258CC">
      <w:pPr>
        <w:widowControl/>
        <w:shd w:val="clear" w:color="auto" w:fill="FFFFFF"/>
        <w:spacing w:line="600" w:lineRule="atLeast"/>
        <w:ind w:firstLine="640"/>
        <w:rPr>
          <w:rFonts w:ascii="仿宋" w:hAnsi="仿宋" w:eastAsia="仿宋"/>
          <w:spacing w:val="-2"/>
          <w:sz w:val="32"/>
          <w:szCs w:val="32"/>
        </w:rPr>
      </w:pPr>
      <w:r>
        <w:rPr>
          <w:rFonts w:hint="eastAsia" w:ascii="仿宋" w:hAnsi="仿宋" w:eastAsia="仿宋" w:cs="仿宋"/>
          <w:sz w:val="32"/>
          <w:szCs w:val="32"/>
        </w:rPr>
        <w:t>部门财政资金支出情况：202</w:t>
      </w:r>
      <w:r>
        <w:rPr>
          <w:rFonts w:hint="eastAsia" w:ascii="仿宋" w:hAnsi="仿宋" w:eastAsia="仿宋" w:cs="仿宋"/>
          <w:sz w:val="32"/>
          <w:szCs w:val="32"/>
          <w:lang w:val="en-US" w:eastAsia="zh-CN"/>
        </w:rPr>
        <w:t>4</w:t>
      </w:r>
      <w:r>
        <w:rPr>
          <w:rFonts w:hint="eastAsia" w:ascii="仿宋" w:hAnsi="仿宋" w:eastAsia="仿宋" w:cs="仿宋"/>
          <w:sz w:val="32"/>
          <w:szCs w:val="32"/>
        </w:rPr>
        <w:t>年支出</w:t>
      </w:r>
      <w:r>
        <w:rPr>
          <w:rFonts w:hint="eastAsia" w:ascii="仿宋" w:hAnsi="仿宋" w:eastAsia="仿宋" w:cs="仿宋"/>
          <w:sz w:val="32"/>
          <w:szCs w:val="32"/>
          <w:lang w:val="en-US" w:eastAsia="zh-CN"/>
        </w:rPr>
        <w:t>472.16</w:t>
      </w:r>
      <w:r>
        <w:rPr>
          <w:rFonts w:hint="eastAsia" w:ascii="仿宋" w:hAnsi="仿宋" w:eastAsia="仿宋" w:cs="仿宋"/>
          <w:sz w:val="32"/>
          <w:szCs w:val="32"/>
        </w:rPr>
        <w:t>万元，其中</w:t>
      </w:r>
      <w:r>
        <w:rPr>
          <w:rFonts w:hint="eastAsia" w:ascii="仿宋" w:hAnsi="仿宋" w:eastAsia="仿宋"/>
          <w:color w:val="000000"/>
          <w:sz w:val="32"/>
          <w:szCs w:val="32"/>
          <w:shd w:val="clear" w:color="auto" w:fill="FFFFFF"/>
        </w:rPr>
        <w:t>使用内容为人员支出和日常公用支出，其中：工资福利支出为</w:t>
      </w:r>
      <w:r>
        <w:rPr>
          <w:rFonts w:hint="eastAsia" w:ascii="仿宋" w:hAnsi="仿宋" w:eastAsia="仿宋"/>
          <w:color w:val="000000"/>
          <w:sz w:val="32"/>
          <w:szCs w:val="32"/>
          <w:shd w:val="clear" w:color="auto" w:fill="FFFFFF"/>
          <w:lang w:val="en-US" w:eastAsia="zh-CN"/>
        </w:rPr>
        <w:t>380.96</w:t>
      </w:r>
      <w:r>
        <w:rPr>
          <w:rFonts w:hint="eastAsia" w:ascii="仿宋" w:hAnsi="仿宋" w:eastAsia="仿宋"/>
          <w:color w:val="000000"/>
          <w:sz w:val="32"/>
          <w:szCs w:val="32"/>
          <w:shd w:val="clear" w:color="auto" w:fill="FFFFFF"/>
        </w:rPr>
        <w:t>万元，占支出预算的</w:t>
      </w:r>
      <w:r>
        <w:rPr>
          <w:rFonts w:hint="eastAsia" w:ascii="仿宋" w:hAnsi="仿宋" w:eastAsia="仿宋"/>
          <w:color w:val="000000"/>
          <w:sz w:val="32"/>
          <w:szCs w:val="32"/>
          <w:shd w:val="clear" w:color="auto" w:fill="FFFFFF"/>
          <w:lang w:val="en-US" w:eastAsia="zh-CN"/>
        </w:rPr>
        <w:t>80.68</w:t>
      </w:r>
      <w:r>
        <w:rPr>
          <w:rFonts w:hint="eastAsia" w:ascii="仿宋" w:hAnsi="仿宋" w:eastAsia="仿宋"/>
          <w:color w:val="000000"/>
          <w:sz w:val="32"/>
          <w:szCs w:val="32"/>
          <w:shd w:val="clear" w:color="auto" w:fill="FFFFFF"/>
        </w:rPr>
        <w:t>%，</w:t>
      </w:r>
      <w:r>
        <w:rPr>
          <w:rFonts w:hint="eastAsia" w:ascii="仿宋" w:hAnsi="仿宋" w:eastAsia="仿宋"/>
          <w:color w:val="000000"/>
          <w:sz w:val="32"/>
          <w:szCs w:val="32"/>
          <w:shd w:val="clear" w:color="auto" w:fill="FFFFFF"/>
          <w:lang w:eastAsia="zh-CN"/>
        </w:rPr>
        <w:t>商品和服务支出为</w:t>
      </w:r>
      <w:r>
        <w:rPr>
          <w:rFonts w:hint="eastAsia" w:ascii="仿宋" w:hAnsi="仿宋" w:eastAsia="仿宋"/>
          <w:color w:val="000000"/>
          <w:sz w:val="32"/>
          <w:szCs w:val="32"/>
          <w:shd w:val="clear" w:color="auto" w:fill="FFFFFF"/>
          <w:lang w:val="en-US" w:eastAsia="zh-CN"/>
        </w:rPr>
        <w:t>53.11</w:t>
      </w:r>
      <w:r>
        <w:rPr>
          <w:rFonts w:hint="eastAsia" w:ascii="仿宋" w:hAnsi="仿宋" w:eastAsia="仿宋"/>
          <w:color w:val="000000"/>
          <w:sz w:val="32"/>
          <w:szCs w:val="32"/>
          <w:shd w:val="clear" w:color="auto" w:fill="FFFFFF"/>
        </w:rPr>
        <w:t>万元，占支出预算的</w:t>
      </w:r>
      <w:r>
        <w:rPr>
          <w:rFonts w:hint="eastAsia" w:ascii="仿宋" w:hAnsi="仿宋" w:eastAsia="仿宋"/>
          <w:color w:val="000000"/>
          <w:sz w:val="32"/>
          <w:szCs w:val="32"/>
          <w:shd w:val="clear" w:color="auto" w:fill="FFFFFF"/>
          <w:lang w:val="en-US" w:eastAsia="zh-CN"/>
        </w:rPr>
        <w:t>11.25</w:t>
      </w:r>
      <w:r>
        <w:rPr>
          <w:rFonts w:hint="eastAsia" w:ascii="仿宋" w:hAnsi="仿宋" w:eastAsia="仿宋"/>
          <w:color w:val="000000"/>
          <w:sz w:val="32"/>
          <w:szCs w:val="32"/>
          <w:shd w:val="clear" w:color="auto" w:fill="FFFFFF"/>
        </w:rPr>
        <w:t>%；对个人和家庭的补助</w:t>
      </w:r>
      <w:r>
        <w:rPr>
          <w:rFonts w:hint="eastAsia" w:ascii="仿宋" w:hAnsi="仿宋" w:eastAsia="仿宋"/>
          <w:color w:val="000000"/>
          <w:sz w:val="32"/>
          <w:szCs w:val="32"/>
          <w:shd w:val="clear" w:color="auto" w:fill="FFFFFF"/>
          <w:lang w:val="en-US" w:eastAsia="zh-CN"/>
        </w:rPr>
        <w:t>37.75</w:t>
      </w:r>
      <w:r>
        <w:rPr>
          <w:rFonts w:hint="eastAsia" w:ascii="仿宋" w:hAnsi="仿宋" w:eastAsia="仿宋"/>
          <w:color w:val="000000"/>
          <w:sz w:val="32"/>
          <w:szCs w:val="32"/>
          <w:shd w:val="clear" w:color="auto" w:fill="FFFFFF"/>
        </w:rPr>
        <w:t>万元，占支出预算的</w:t>
      </w:r>
      <w:r>
        <w:rPr>
          <w:rFonts w:hint="eastAsia" w:ascii="仿宋" w:hAnsi="仿宋" w:eastAsia="仿宋"/>
          <w:color w:val="000000"/>
          <w:sz w:val="32"/>
          <w:szCs w:val="32"/>
          <w:shd w:val="clear" w:color="auto" w:fill="FFFFFF"/>
          <w:lang w:val="en-US" w:eastAsia="zh-CN"/>
        </w:rPr>
        <w:t>7.99</w:t>
      </w:r>
      <w:r>
        <w:rPr>
          <w:rFonts w:hint="eastAsia" w:ascii="仿宋" w:hAnsi="仿宋" w:eastAsia="仿宋"/>
          <w:color w:val="000000"/>
          <w:sz w:val="32"/>
          <w:szCs w:val="32"/>
          <w:shd w:val="clear" w:color="auto" w:fill="FFFFFF"/>
        </w:rPr>
        <w:t>%；其他资本性支出</w:t>
      </w:r>
      <w:r>
        <w:rPr>
          <w:rFonts w:hint="eastAsia" w:ascii="仿宋" w:hAnsi="仿宋" w:eastAsia="仿宋"/>
          <w:color w:val="000000"/>
          <w:sz w:val="32"/>
          <w:szCs w:val="32"/>
          <w:shd w:val="clear" w:color="auto" w:fill="FFFFFF"/>
          <w:lang w:val="en-US" w:eastAsia="zh-CN"/>
        </w:rPr>
        <w:t>0.34</w:t>
      </w:r>
      <w:r>
        <w:rPr>
          <w:rFonts w:hint="eastAsia" w:ascii="仿宋" w:hAnsi="仿宋" w:eastAsia="仿宋"/>
          <w:color w:val="000000"/>
          <w:sz w:val="32"/>
          <w:szCs w:val="32"/>
          <w:shd w:val="clear" w:color="auto" w:fill="FFFFFF"/>
        </w:rPr>
        <w:t>万元，占支出预算的</w:t>
      </w:r>
      <w:r>
        <w:rPr>
          <w:rFonts w:hint="eastAsia" w:ascii="仿宋" w:hAnsi="仿宋" w:eastAsia="仿宋"/>
          <w:color w:val="000000"/>
          <w:sz w:val="32"/>
          <w:szCs w:val="32"/>
          <w:shd w:val="clear" w:color="auto" w:fill="FFFFFF"/>
          <w:lang w:val="en-US" w:eastAsia="zh-CN"/>
        </w:rPr>
        <w:t>0.08</w:t>
      </w:r>
      <w:r>
        <w:rPr>
          <w:rFonts w:hint="eastAsia" w:ascii="仿宋" w:hAnsi="仿宋" w:eastAsia="仿宋"/>
          <w:color w:val="000000"/>
          <w:sz w:val="32"/>
          <w:szCs w:val="32"/>
          <w:shd w:val="clear" w:color="auto" w:fill="FFFFFF"/>
        </w:rPr>
        <w:t>%。</w:t>
      </w:r>
      <w:r>
        <w:rPr>
          <w:rFonts w:hint="eastAsia" w:ascii="仿宋" w:hAnsi="仿宋" w:eastAsia="仿宋" w:cs="仿宋"/>
          <w:sz w:val="32"/>
          <w:szCs w:val="32"/>
        </w:rPr>
        <w:t>年末结转和结余</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14:paraId="712D8BC1">
      <w:pPr>
        <w:widowControl/>
        <w:shd w:val="clear" w:color="auto" w:fill="FFFFFF"/>
        <w:spacing w:line="600" w:lineRule="atLeast"/>
        <w:ind w:firstLine="640"/>
        <w:rPr>
          <w:rFonts w:ascii="楷体" w:hAnsi="楷体" w:eastAsia="楷体"/>
          <w:b/>
          <w:spacing w:val="-2"/>
          <w:sz w:val="32"/>
          <w:szCs w:val="21"/>
        </w:rPr>
      </w:pPr>
      <w:r>
        <w:rPr>
          <w:rFonts w:ascii="楷体" w:hAnsi="楷体" w:eastAsia="楷体"/>
          <w:b/>
          <w:spacing w:val="-2"/>
          <w:sz w:val="32"/>
          <w:szCs w:val="32"/>
        </w:rPr>
        <w:t>二、部门整体支出管理及使用情况</w:t>
      </w:r>
    </w:p>
    <w:p w14:paraId="2CF4DBD4">
      <w:pPr>
        <w:widowControl/>
        <w:shd w:val="clear" w:color="auto" w:fill="FFFFFF"/>
        <w:spacing w:line="600" w:lineRule="atLeast"/>
        <w:ind w:firstLine="643"/>
        <w:rPr>
          <w:rFonts w:ascii="仿宋" w:hAnsi="仿宋" w:eastAsia="仿宋"/>
          <w:b/>
          <w:spacing w:val="-2"/>
          <w:sz w:val="32"/>
          <w:szCs w:val="21"/>
        </w:rPr>
      </w:pPr>
      <w:r>
        <w:rPr>
          <w:rFonts w:ascii="仿宋" w:hAnsi="仿宋" w:eastAsia="仿宋"/>
          <w:b/>
          <w:spacing w:val="-2"/>
          <w:sz w:val="32"/>
          <w:szCs w:val="32"/>
        </w:rPr>
        <w:t>（一）基本支出</w:t>
      </w:r>
    </w:p>
    <w:p w14:paraId="11055277">
      <w:pPr>
        <w:widowControl/>
        <w:spacing w:line="600" w:lineRule="atLeast"/>
        <w:ind w:firstLine="643"/>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我校基本支出的范围和主要用途包括人员经费、日常运行公用经费。202</w:t>
      </w:r>
      <w:r>
        <w:rPr>
          <w:rFonts w:hint="eastAsia" w:ascii="仿宋" w:hAnsi="仿宋" w:eastAsia="仿宋"/>
          <w:color w:val="000000"/>
          <w:sz w:val="32"/>
          <w:szCs w:val="32"/>
          <w:shd w:val="clear" w:color="auto" w:fill="FFFFFF"/>
          <w:lang w:val="en-US" w:eastAsia="zh-CN"/>
        </w:rPr>
        <w:t>4</w:t>
      </w:r>
      <w:r>
        <w:rPr>
          <w:rFonts w:hint="eastAsia" w:ascii="仿宋" w:hAnsi="仿宋" w:eastAsia="仿宋"/>
          <w:color w:val="000000"/>
          <w:sz w:val="32"/>
          <w:szCs w:val="32"/>
          <w:shd w:val="clear" w:color="auto" w:fill="FFFFFF"/>
        </w:rPr>
        <w:t>年基本支出为</w:t>
      </w:r>
      <w:r>
        <w:rPr>
          <w:rFonts w:hint="eastAsia" w:ascii="仿宋" w:hAnsi="仿宋" w:eastAsia="仿宋"/>
          <w:color w:val="000000"/>
          <w:sz w:val="32"/>
          <w:szCs w:val="32"/>
          <w:shd w:val="clear" w:color="auto" w:fill="FFFFFF"/>
          <w:lang w:val="en-US" w:eastAsia="zh-CN"/>
        </w:rPr>
        <w:t>353.58</w:t>
      </w:r>
      <w:r>
        <w:rPr>
          <w:rFonts w:hint="eastAsia" w:ascii="仿宋" w:hAnsi="仿宋" w:eastAsia="仿宋"/>
          <w:color w:val="000000"/>
          <w:sz w:val="32"/>
          <w:szCs w:val="32"/>
          <w:shd w:val="clear" w:color="auto" w:fill="FFFFFF"/>
        </w:rPr>
        <w:t>万元。其中：人员经费支</w:t>
      </w:r>
      <w:r>
        <w:rPr>
          <w:rFonts w:hint="eastAsia" w:ascii="仿宋" w:hAnsi="仿宋" w:eastAsia="仿宋"/>
          <w:color w:val="000000"/>
          <w:sz w:val="32"/>
          <w:szCs w:val="32"/>
          <w:shd w:val="clear" w:color="auto" w:fill="FFFFFF"/>
          <w:lang w:val="en-US" w:eastAsia="zh-CN"/>
        </w:rPr>
        <w:t>343.65</w:t>
      </w:r>
      <w:r>
        <w:rPr>
          <w:rFonts w:hint="eastAsia" w:ascii="仿宋" w:hAnsi="仿宋" w:eastAsia="仿宋"/>
          <w:color w:val="000000"/>
          <w:sz w:val="32"/>
          <w:szCs w:val="32"/>
          <w:shd w:val="clear" w:color="auto" w:fill="FFFFFF"/>
        </w:rPr>
        <w:t>万元，占基本支出的</w:t>
      </w:r>
      <w:r>
        <w:rPr>
          <w:rFonts w:hint="eastAsia" w:ascii="仿宋" w:hAnsi="仿宋" w:eastAsia="仿宋"/>
          <w:color w:val="000000"/>
          <w:sz w:val="32"/>
          <w:szCs w:val="32"/>
          <w:shd w:val="clear" w:color="auto" w:fill="FFFFFF"/>
          <w:lang w:val="en-US" w:eastAsia="zh-CN"/>
        </w:rPr>
        <w:t>97.19</w:t>
      </w:r>
      <w:r>
        <w:rPr>
          <w:rFonts w:hint="eastAsia" w:ascii="仿宋" w:hAnsi="仿宋" w:eastAsia="仿宋"/>
          <w:color w:val="000000"/>
          <w:sz w:val="32"/>
          <w:szCs w:val="32"/>
          <w:shd w:val="clear" w:color="auto" w:fill="FFFFFF"/>
        </w:rPr>
        <w:t>%，其中工资福利支出</w:t>
      </w:r>
      <w:r>
        <w:rPr>
          <w:rFonts w:hint="eastAsia" w:ascii="仿宋" w:hAnsi="仿宋" w:eastAsia="仿宋"/>
          <w:color w:val="000000"/>
          <w:sz w:val="32"/>
          <w:szCs w:val="32"/>
          <w:shd w:val="clear" w:color="auto" w:fill="FFFFFF"/>
          <w:lang w:val="en-US" w:eastAsia="zh-CN"/>
        </w:rPr>
        <w:t>380.97</w:t>
      </w:r>
      <w:r>
        <w:rPr>
          <w:rFonts w:hint="eastAsia" w:ascii="仿宋" w:hAnsi="仿宋" w:eastAsia="仿宋"/>
          <w:color w:val="000000"/>
          <w:sz w:val="32"/>
          <w:szCs w:val="32"/>
          <w:shd w:val="clear" w:color="auto" w:fill="FFFFFF"/>
        </w:rPr>
        <w:t>万元、对个人和家庭的补助支出</w:t>
      </w:r>
      <w:r>
        <w:rPr>
          <w:rFonts w:hint="eastAsia" w:ascii="仿宋" w:hAnsi="仿宋" w:eastAsia="仿宋"/>
          <w:color w:val="000000"/>
          <w:sz w:val="32"/>
          <w:szCs w:val="32"/>
          <w:shd w:val="clear" w:color="auto" w:fill="FFFFFF"/>
          <w:lang w:val="en-US" w:eastAsia="zh-CN"/>
        </w:rPr>
        <w:t>37.75</w:t>
      </w:r>
      <w:r>
        <w:rPr>
          <w:rFonts w:hint="eastAsia" w:ascii="仿宋" w:hAnsi="仿宋" w:eastAsia="仿宋"/>
          <w:color w:val="000000"/>
          <w:sz w:val="32"/>
          <w:szCs w:val="32"/>
          <w:shd w:val="clear" w:color="auto" w:fill="FFFFFF"/>
        </w:rPr>
        <w:t>万元，用于根据国家规定安排的工资性支出，及对个人和家庭补助等人员经费支出。日常公用经费</w:t>
      </w:r>
      <w:r>
        <w:rPr>
          <w:rFonts w:hint="eastAsia" w:ascii="仿宋" w:hAnsi="仿宋" w:eastAsia="仿宋"/>
          <w:color w:val="000000"/>
          <w:sz w:val="32"/>
          <w:szCs w:val="32"/>
          <w:shd w:val="clear" w:color="auto" w:fill="FFFFFF"/>
          <w:lang w:val="en-US" w:eastAsia="zh-CN"/>
        </w:rPr>
        <w:t>9.93</w:t>
      </w:r>
      <w:r>
        <w:rPr>
          <w:rFonts w:hint="eastAsia" w:ascii="仿宋" w:hAnsi="仿宋" w:eastAsia="仿宋"/>
          <w:color w:val="000000"/>
          <w:sz w:val="32"/>
          <w:szCs w:val="32"/>
          <w:shd w:val="clear" w:color="auto" w:fill="FFFFFF"/>
        </w:rPr>
        <w:t>万元，占基本支出的</w:t>
      </w:r>
      <w:r>
        <w:rPr>
          <w:rFonts w:hint="eastAsia" w:ascii="仿宋" w:hAnsi="仿宋" w:eastAsia="仿宋"/>
          <w:color w:val="000000"/>
          <w:sz w:val="32"/>
          <w:szCs w:val="32"/>
          <w:shd w:val="clear" w:color="auto" w:fill="FFFFFF"/>
          <w:lang w:val="en-US" w:eastAsia="zh-CN"/>
        </w:rPr>
        <w:t>2.81</w:t>
      </w:r>
      <w:r>
        <w:rPr>
          <w:rFonts w:hint="eastAsia" w:ascii="仿宋" w:hAnsi="仿宋" w:eastAsia="仿宋"/>
          <w:color w:val="000000"/>
          <w:sz w:val="32"/>
          <w:szCs w:val="32"/>
          <w:shd w:val="clear" w:color="auto" w:fill="FFFFFF"/>
        </w:rPr>
        <w:t>%，用于按国家规定开支标准安排的保障我校正常运转的办公费、印刷费、电费、水费、电费、邮电费、物业管理费、差旅费、维护费、租赁费、培训费、公务接待费、专用材料费、劳务费、福利费、公务用车运行维护费、其他交通费、其他商品和服务支出。</w:t>
      </w:r>
    </w:p>
    <w:p w14:paraId="1F38BDB8">
      <w:pPr>
        <w:widowControl/>
        <w:shd w:val="clear" w:color="auto" w:fill="FFFFFF"/>
        <w:spacing w:line="600" w:lineRule="atLeast"/>
        <w:ind w:firstLine="640"/>
        <w:rPr>
          <w:rFonts w:ascii="仿宋" w:hAnsi="仿宋" w:eastAsia="仿宋"/>
          <w:spacing w:val="-2"/>
          <w:sz w:val="32"/>
          <w:szCs w:val="21"/>
        </w:rPr>
      </w:pPr>
      <w:r>
        <w:rPr>
          <w:rFonts w:hint="eastAsia" w:ascii="仿宋" w:hAnsi="仿宋" w:eastAsia="仿宋"/>
          <w:color w:val="000000"/>
          <w:sz w:val="32"/>
          <w:szCs w:val="32"/>
          <w:shd w:val="clear" w:color="auto" w:fill="FFFFFF"/>
        </w:rPr>
        <w:t>我校202</w:t>
      </w:r>
      <w:r>
        <w:rPr>
          <w:rFonts w:hint="eastAsia" w:ascii="仿宋" w:hAnsi="仿宋" w:eastAsia="仿宋"/>
          <w:color w:val="000000"/>
          <w:sz w:val="32"/>
          <w:szCs w:val="32"/>
          <w:shd w:val="clear" w:color="auto" w:fill="FFFFFF"/>
          <w:lang w:val="en-US" w:eastAsia="zh-CN"/>
        </w:rPr>
        <w:t>4</w:t>
      </w:r>
      <w:r>
        <w:rPr>
          <w:rFonts w:hint="eastAsia" w:ascii="仿宋" w:hAnsi="仿宋" w:eastAsia="仿宋"/>
          <w:color w:val="000000"/>
          <w:sz w:val="32"/>
          <w:szCs w:val="32"/>
          <w:shd w:val="clear" w:color="auto" w:fill="FFFFFF"/>
        </w:rPr>
        <w:t>年度“三公”经费预算</w:t>
      </w:r>
      <w:r>
        <w:rPr>
          <w:rFonts w:hint="eastAsia" w:ascii="仿宋" w:hAnsi="仿宋" w:eastAsia="仿宋"/>
          <w:color w:val="000000"/>
          <w:sz w:val="32"/>
          <w:szCs w:val="32"/>
          <w:shd w:val="clear" w:color="auto" w:fill="FFFFFF"/>
          <w:lang w:val="en-US" w:eastAsia="zh-CN"/>
        </w:rPr>
        <w:t>0</w:t>
      </w:r>
      <w:r>
        <w:rPr>
          <w:rFonts w:hint="eastAsia" w:ascii="仿宋" w:hAnsi="仿宋" w:eastAsia="仿宋"/>
          <w:color w:val="000000"/>
          <w:sz w:val="32"/>
          <w:szCs w:val="32"/>
          <w:shd w:val="clear" w:color="auto" w:fill="FFFFFF"/>
        </w:rPr>
        <w:t>万元，实际支出0万元，其中：公务接待支出0万元；公务运行支出0万元，结余</w:t>
      </w:r>
      <w:r>
        <w:rPr>
          <w:rFonts w:hint="eastAsia" w:ascii="仿宋" w:hAnsi="仿宋" w:eastAsia="仿宋"/>
          <w:color w:val="000000"/>
          <w:sz w:val="32"/>
          <w:szCs w:val="32"/>
          <w:shd w:val="clear" w:color="auto" w:fill="FFFFFF"/>
          <w:lang w:val="en-US" w:eastAsia="zh-CN"/>
        </w:rPr>
        <w:t>0</w:t>
      </w:r>
      <w:r>
        <w:rPr>
          <w:rFonts w:hint="eastAsia" w:ascii="仿宋" w:hAnsi="仿宋" w:eastAsia="仿宋"/>
          <w:color w:val="000000"/>
          <w:sz w:val="32"/>
          <w:szCs w:val="32"/>
          <w:shd w:val="clear" w:color="auto" w:fill="FFFFFF"/>
        </w:rPr>
        <w:t>万元。主要原因是202</w:t>
      </w:r>
      <w:r>
        <w:rPr>
          <w:rFonts w:hint="eastAsia" w:ascii="仿宋" w:hAnsi="仿宋" w:eastAsia="仿宋"/>
          <w:color w:val="000000"/>
          <w:sz w:val="32"/>
          <w:szCs w:val="32"/>
          <w:shd w:val="clear" w:color="auto" w:fill="FFFFFF"/>
          <w:lang w:val="en-US" w:eastAsia="zh-CN"/>
        </w:rPr>
        <w:t>4</w:t>
      </w:r>
      <w:r>
        <w:rPr>
          <w:rFonts w:hint="eastAsia" w:ascii="仿宋" w:hAnsi="仿宋" w:eastAsia="仿宋"/>
          <w:color w:val="000000"/>
          <w:sz w:val="32"/>
          <w:szCs w:val="32"/>
          <w:shd w:val="clear" w:color="auto" w:fill="FFFFFF"/>
        </w:rPr>
        <w:t>年未发生公务接待费、公务用车购置及运行费、因公出</w:t>
      </w:r>
      <w:r>
        <w:rPr>
          <w:rFonts w:hint="eastAsia" w:ascii="仿宋" w:hAnsi="仿宋" w:eastAsia="仿宋" w:cs="仿宋"/>
          <w:color w:val="000000"/>
          <w:sz w:val="32"/>
          <w:szCs w:val="32"/>
          <w:shd w:val="clear" w:color="auto" w:fill="FFFFFF"/>
        </w:rPr>
        <w:t>国费用，“三公”经费</w:t>
      </w:r>
      <w:r>
        <w:rPr>
          <w:rFonts w:hint="eastAsia" w:ascii="仿宋" w:hAnsi="仿宋" w:eastAsia="仿宋" w:cs="仿宋"/>
          <w:sz w:val="32"/>
          <w:szCs w:val="32"/>
        </w:rPr>
        <w:t>严格控制在年初预算内</w:t>
      </w:r>
      <w:r>
        <w:rPr>
          <w:rFonts w:hint="eastAsia" w:ascii="仿宋" w:hAnsi="仿宋" w:eastAsia="仿宋" w:cs="仿宋"/>
          <w:sz w:val="32"/>
          <w:szCs w:val="32"/>
          <w:lang w:eastAsia="zh-CN"/>
        </w:rPr>
        <w:t>。</w:t>
      </w:r>
    </w:p>
    <w:p w14:paraId="0B250E6B">
      <w:pPr>
        <w:widowControl/>
        <w:shd w:val="clear" w:color="auto" w:fill="FFFFFF"/>
        <w:spacing w:line="600" w:lineRule="atLeast"/>
        <w:ind w:firstLine="643"/>
        <w:rPr>
          <w:rFonts w:ascii="楷体" w:hAnsi="楷体" w:eastAsia="楷体"/>
          <w:b/>
          <w:spacing w:val="-2"/>
          <w:sz w:val="32"/>
          <w:szCs w:val="21"/>
        </w:rPr>
      </w:pPr>
      <w:r>
        <w:rPr>
          <w:rFonts w:ascii="楷体" w:hAnsi="楷体" w:eastAsia="楷体"/>
          <w:b/>
          <w:spacing w:val="-2"/>
          <w:sz w:val="32"/>
          <w:szCs w:val="32"/>
        </w:rPr>
        <w:t>（二）专项支出</w:t>
      </w:r>
    </w:p>
    <w:p w14:paraId="399B098C">
      <w:pPr>
        <w:widowControl/>
        <w:shd w:val="clear" w:color="auto" w:fill="FFFFFF"/>
        <w:spacing w:line="600" w:lineRule="atLeast"/>
        <w:ind w:firstLine="640"/>
        <w:rPr>
          <w:rFonts w:ascii="仿宋" w:hAnsi="仿宋" w:eastAsia="仿宋"/>
          <w:spacing w:val="-2"/>
          <w:sz w:val="32"/>
          <w:szCs w:val="21"/>
        </w:rPr>
      </w:pPr>
      <w:r>
        <w:rPr>
          <w:rFonts w:ascii="仿宋" w:hAnsi="仿宋" w:eastAsia="仿宋"/>
          <w:spacing w:val="-2"/>
          <w:sz w:val="32"/>
          <w:szCs w:val="32"/>
        </w:rPr>
        <w:t>1、专项资金（包括财政资金、自筹资金等）安排落实、总投入等情况分析。</w:t>
      </w:r>
    </w:p>
    <w:p w14:paraId="18A11321">
      <w:pPr>
        <w:widowControl/>
        <w:shd w:val="clear" w:color="auto" w:fill="FFFFFF"/>
        <w:spacing w:line="600" w:lineRule="atLeast"/>
        <w:ind w:firstLine="640"/>
        <w:rPr>
          <w:rFonts w:ascii="仿宋" w:hAnsi="仿宋" w:eastAsia="仿宋"/>
          <w:spacing w:val="-2"/>
          <w:sz w:val="32"/>
          <w:szCs w:val="21"/>
        </w:rPr>
      </w:pPr>
      <w:r>
        <w:rPr>
          <w:rFonts w:ascii="仿宋" w:hAnsi="仿宋" w:eastAsia="仿宋"/>
          <w:spacing w:val="-2"/>
          <w:sz w:val="32"/>
          <w:szCs w:val="32"/>
        </w:rPr>
        <w:t>2、专项资金（主要指财政资金）实际使用情况分析。</w:t>
      </w:r>
    </w:p>
    <w:p w14:paraId="1FFCBF79">
      <w:pPr>
        <w:widowControl/>
        <w:shd w:val="clear" w:color="auto" w:fill="FFFFFF"/>
        <w:spacing w:line="600" w:lineRule="atLeast"/>
        <w:ind w:firstLine="640"/>
        <w:rPr>
          <w:rFonts w:ascii="仿宋" w:hAnsi="仿宋" w:eastAsia="仿宋"/>
          <w:spacing w:val="-2"/>
          <w:sz w:val="32"/>
          <w:szCs w:val="21"/>
        </w:rPr>
      </w:pPr>
      <w:r>
        <w:rPr>
          <w:rFonts w:ascii="仿宋" w:hAnsi="仿宋" w:eastAsia="仿宋"/>
          <w:spacing w:val="-2"/>
          <w:sz w:val="32"/>
          <w:szCs w:val="32"/>
        </w:rPr>
        <w:t>3、专项资金管理情况分析，主要包括管理制度、办法的制订及执行情况。</w:t>
      </w:r>
    </w:p>
    <w:p w14:paraId="4D7F915A">
      <w:pPr>
        <w:widowControl/>
        <w:shd w:val="clear" w:color="auto" w:fill="FFFFFF"/>
        <w:spacing w:line="600" w:lineRule="atLeast"/>
        <w:ind w:firstLine="640"/>
        <w:rPr>
          <w:rFonts w:ascii="楷体" w:hAnsi="楷体" w:eastAsia="楷体"/>
          <w:b/>
          <w:spacing w:val="-2"/>
          <w:sz w:val="32"/>
          <w:szCs w:val="21"/>
        </w:rPr>
      </w:pPr>
      <w:r>
        <w:rPr>
          <w:rFonts w:ascii="楷体" w:hAnsi="楷体" w:eastAsia="楷体"/>
          <w:b/>
          <w:spacing w:val="-2"/>
          <w:sz w:val="32"/>
          <w:szCs w:val="32"/>
        </w:rPr>
        <w:t>三、部门专项组织实施情况</w:t>
      </w:r>
    </w:p>
    <w:p w14:paraId="2F43748D">
      <w:pPr>
        <w:widowControl/>
        <w:shd w:val="clear" w:color="auto" w:fill="FFFFFF"/>
        <w:spacing w:line="600" w:lineRule="atLeast"/>
        <w:ind w:firstLine="640"/>
        <w:rPr>
          <w:rFonts w:hint="eastAsia" w:ascii="仿宋" w:hAnsi="仿宋" w:eastAsia="仿宋"/>
          <w:spacing w:val="-2"/>
          <w:sz w:val="32"/>
          <w:szCs w:val="32"/>
          <w:lang w:eastAsia="zh-CN"/>
        </w:rPr>
      </w:pPr>
      <w:r>
        <w:rPr>
          <w:rFonts w:hint="eastAsia" w:ascii="仿宋" w:hAnsi="仿宋" w:eastAsia="仿宋"/>
          <w:spacing w:val="-2"/>
          <w:sz w:val="32"/>
          <w:szCs w:val="32"/>
          <w:lang w:eastAsia="zh-CN"/>
        </w:rPr>
        <w:t>本年度无专项支出。</w:t>
      </w:r>
    </w:p>
    <w:p w14:paraId="23548598">
      <w:pPr>
        <w:widowControl/>
        <w:shd w:val="clear" w:color="auto" w:fill="FFFFFF"/>
        <w:spacing w:line="600" w:lineRule="atLeast"/>
        <w:ind w:firstLine="640"/>
        <w:rPr>
          <w:rFonts w:ascii="楷体" w:hAnsi="楷体" w:eastAsia="楷体"/>
          <w:b/>
          <w:spacing w:val="-2"/>
          <w:sz w:val="32"/>
          <w:szCs w:val="21"/>
        </w:rPr>
      </w:pPr>
      <w:r>
        <w:rPr>
          <w:rFonts w:ascii="楷体" w:hAnsi="楷体" w:eastAsia="楷体"/>
          <w:b/>
          <w:spacing w:val="-2"/>
          <w:sz w:val="32"/>
          <w:szCs w:val="32"/>
        </w:rPr>
        <w:t>四、资产管理情况</w:t>
      </w:r>
    </w:p>
    <w:p w14:paraId="67D8EB66">
      <w:pPr>
        <w:widowControl/>
        <w:spacing w:line="600" w:lineRule="atLeast"/>
        <w:ind w:firstLine="625"/>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我校严格按照财务管理的相关要求，建立了《固定资产管理办法》、《货币资金管理、应收款和无形资产》和《政府采购预算》及《政府采购管理办法》等固定资产和办公用品使用、审批、稽核的内部管理规范。</w:t>
      </w:r>
    </w:p>
    <w:p w14:paraId="57D78656">
      <w:pPr>
        <w:widowControl/>
        <w:spacing w:line="600" w:lineRule="atLeast"/>
        <w:ind w:firstLine="625"/>
        <w:rPr>
          <w:rFonts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资产分为流动资产和固定资产，具体包括：财政应返还额度、其他应收款、固定资产。固定资产、办公家具和用品严格按照内部控制规范、《资产管理办法》、《政府采购预算》、《政府采购管理办法》 进行配置和处置。</w:t>
      </w:r>
    </w:p>
    <w:p w14:paraId="645194F0">
      <w:pPr>
        <w:widowControl/>
        <w:shd w:val="clear" w:color="auto" w:fill="FFFFFF"/>
        <w:spacing w:line="600" w:lineRule="atLeast"/>
        <w:ind w:firstLine="640"/>
        <w:rPr>
          <w:rFonts w:ascii="楷体" w:hAnsi="楷体" w:eastAsia="楷体"/>
          <w:b/>
          <w:spacing w:val="-2"/>
          <w:sz w:val="32"/>
          <w:szCs w:val="21"/>
        </w:rPr>
      </w:pPr>
      <w:r>
        <w:rPr>
          <w:rFonts w:ascii="楷体" w:hAnsi="楷体" w:eastAsia="楷体"/>
          <w:b/>
          <w:spacing w:val="-2"/>
          <w:sz w:val="32"/>
          <w:szCs w:val="32"/>
        </w:rPr>
        <w:t>五、部门整体支出绩效情况</w:t>
      </w:r>
    </w:p>
    <w:p w14:paraId="38372BDD">
      <w:pPr>
        <w:widowControl/>
        <w:spacing w:line="600" w:lineRule="atLeast"/>
        <w:ind w:firstLine="625"/>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202</w:t>
      </w:r>
      <w:r>
        <w:rPr>
          <w:rFonts w:hint="eastAsia" w:ascii="仿宋" w:hAnsi="仿宋" w:eastAsia="仿宋"/>
          <w:color w:val="000000"/>
          <w:sz w:val="32"/>
          <w:szCs w:val="32"/>
          <w:shd w:val="clear" w:color="auto" w:fill="FFFFFF"/>
          <w:lang w:val="en-US" w:eastAsia="zh-CN"/>
        </w:rPr>
        <w:t>4</w:t>
      </w:r>
      <w:r>
        <w:rPr>
          <w:rFonts w:hint="eastAsia" w:ascii="仿宋" w:hAnsi="仿宋" w:eastAsia="仿宋"/>
          <w:color w:val="000000"/>
          <w:sz w:val="32"/>
          <w:szCs w:val="32"/>
          <w:shd w:val="clear" w:color="auto" w:fill="FFFFFF"/>
        </w:rPr>
        <w:t>年，根据我校年初工作规划和重点性工作，围绕市委、市政府的发展蓝图，积极履职，强化管理，较好的完成了年度工作目标。通过加强预算收支管理，不断建立健全内部管理制度，梳理经济业务流程，部门整体支出管理情况得到提升。根据202</w:t>
      </w:r>
      <w:r>
        <w:rPr>
          <w:rFonts w:hint="eastAsia" w:ascii="仿宋" w:hAnsi="仿宋" w:eastAsia="仿宋"/>
          <w:color w:val="000000"/>
          <w:sz w:val="32"/>
          <w:szCs w:val="32"/>
          <w:shd w:val="clear" w:color="auto" w:fill="FFFFFF"/>
          <w:lang w:val="en-US" w:eastAsia="zh-CN"/>
        </w:rPr>
        <w:t>4</w:t>
      </w:r>
      <w:r>
        <w:rPr>
          <w:rFonts w:hint="eastAsia" w:ascii="仿宋" w:hAnsi="仿宋" w:eastAsia="仿宋"/>
          <w:color w:val="000000"/>
          <w:sz w:val="32"/>
          <w:szCs w:val="32"/>
          <w:shd w:val="clear" w:color="auto" w:fill="FFFFFF"/>
        </w:rPr>
        <w:t>年度部门整体支出状况的概述和分析，部门整体支出绩效情况如下：</w:t>
      </w:r>
    </w:p>
    <w:p w14:paraId="04A36E4B">
      <w:pPr>
        <w:widowControl/>
        <w:spacing w:line="560" w:lineRule="exact"/>
        <w:ind w:firstLine="640" w:firstLineChars="200"/>
        <w:outlineLvl w:val="0"/>
        <w:rPr>
          <w:rFonts w:hint="eastAsia" w:ascii="仿宋" w:hAnsi="仿宋" w:eastAsia="仿宋" w:cs="楷体_GB2312"/>
          <w:color w:val="000000"/>
          <w:kern w:val="0"/>
          <w:sz w:val="32"/>
          <w:szCs w:val="32"/>
        </w:rPr>
      </w:pPr>
      <w:r>
        <w:rPr>
          <w:rFonts w:hint="eastAsia" w:ascii="仿宋" w:hAnsi="仿宋" w:eastAsia="仿宋" w:cs="楷体_GB2312"/>
          <w:b/>
          <w:bCs/>
          <w:color w:val="000000"/>
          <w:kern w:val="0"/>
          <w:sz w:val="32"/>
          <w:szCs w:val="32"/>
        </w:rPr>
        <w:t>（一）经济效益评价</w:t>
      </w:r>
    </w:p>
    <w:p w14:paraId="13C9E343">
      <w:pPr>
        <w:widowControl/>
        <w:spacing w:line="600" w:lineRule="atLeast"/>
        <w:ind w:firstLine="625"/>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1. 本年预算配置控制较好。财政供养人员控制在预算编制以内，编制内在职人员控制率81.48%，小于100%；“三公”经费预算为</w:t>
      </w:r>
      <w:r>
        <w:rPr>
          <w:rFonts w:hint="eastAsia" w:ascii="仿宋" w:hAnsi="仿宋" w:eastAsia="仿宋"/>
          <w:color w:val="000000"/>
          <w:sz w:val="32"/>
          <w:szCs w:val="32"/>
          <w:shd w:val="clear" w:color="auto" w:fill="FFFFFF"/>
          <w:lang w:val="en-US" w:eastAsia="zh-CN"/>
        </w:rPr>
        <w:t>0</w:t>
      </w:r>
      <w:r>
        <w:rPr>
          <w:rFonts w:hint="eastAsia" w:ascii="仿宋" w:hAnsi="仿宋" w:eastAsia="仿宋"/>
          <w:color w:val="000000"/>
          <w:sz w:val="32"/>
          <w:szCs w:val="32"/>
          <w:shd w:val="clear" w:color="auto" w:fill="FFFFFF"/>
        </w:rPr>
        <w:t>万元，支出额为0，严格控制在年初预算数内。</w:t>
      </w:r>
    </w:p>
    <w:p w14:paraId="0E62AE70">
      <w:pPr>
        <w:spacing w:line="600" w:lineRule="exact"/>
        <w:ind w:firstLine="640"/>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2. 预算执行方面。支出总额控制在预算总额以内，除政策性工资预算的追加外，本年部门预算未进行预算相关事项的调整；不存在截留或滞留专项资金情况；投入进度正常；“三公”经费</w:t>
      </w:r>
      <w:r>
        <w:rPr>
          <w:rFonts w:hint="eastAsia" w:ascii="仿宋" w:hAnsi="仿宋" w:eastAsia="仿宋" w:cs="仿宋"/>
          <w:sz w:val="32"/>
          <w:szCs w:val="32"/>
        </w:rPr>
        <w:t>严格控制在年初预算内</w:t>
      </w:r>
      <w:r>
        <w:rPr>
          <w:rFonts w:hint="eastAsia" w:ascii="仿宋" w:hAnsi="仿宋" w:eastAsia="仿宋" w:cs="仿宋"/>
          <w:color w:val="000000"/>
          <w:sz w:val="32"/>
          <w:szCs w:val="32"/>
          <w:shd w:val="clear" w:color="auto" w:fill="FFFFFF"/>
        </w:rPr>
        <w:t>，未超</w:t>
      </w:r>
      <w:r>
        <w:rPr>
          <w:rFonts w:hint="eastAsia" w:ascii="仿宋" w:hAnsi="仿宋" w:eastAsia="仿宋"/>
          <w:color w:val="000000"/>
          <w:sz w:val="32"/>
          <w:szCs w:val="32"/>
          <w:shd w:val="clear" w:color="auto" w:fill="FFFFFF"/>
        </w:rPr>
        <w:t>本年预算和上年决算支出。</w:t>
      </w:r>
    </w:p>
    <w:p w14:paraId="0813D063">
      <w:pPr>
        <w:widowControl/>
        <w:spacing w:line="600" w:lineRule="atLeast"/>
        <w:ind w:firstLine="625"/>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预算管理方面，完善了《预决算管理办法》，制度执行总体较为有效，仍需进一步强化；资金使用管理需进一步加强。</w:t>
      </w:r>
    </w:p>
    <w:p w14:paraId="75B853F1">
      <w:pPr>
        <w:widowControl/>
        <w:spacing w:line="600" w:lineRule="atLeast"/>
        <w:ind w:firstLine="625"/>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收入管理方面，加强了《收入管理办法》的执行。</w:t>
      </w:r>
    </w:p>
    <w:p w14:paraId="3983D7FE">
      <w:pPr>
        <w:widowControl/>
        <w:spacing w:line="600" w:lineRule="atLeast"/>
        <w:ind w:firstLine="625"/>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资产管理方面，完善了《固定资产管理办法》、《货币资金、应收款和无形资产管理办法》、《资产清查办法》等资产管理制度，定期进行了盘点和资产清理，总体执行较好。</w:t>
      </w:r>
    </w:p>
    <w:p w14:paraId="4557CAF9">
      <w:pPr>
        <w:widowControl/>
        <w:shd w:val="clear" w:color="auto" w:fill="FFFFFF"/>
        <w:spacing w:line="600" w:lineRule="atLeast"/>
        <w:ind w:firstLine="640"/>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根据部门整体支出绩效评价指标体系，我校202</w:t>
      </w:r>
      <w:r>
        <w:rPr>
          <w:rFonts w:hint="eastAsia" w:ascii="仿宋" w:hAnsi="仿宋" w:eastAsia="仿宋"/>
          <w:color w:val="000000"/>
          <w:sz w:val="32"/>
          <w:szCs w:val="32"/>
          <w:shd w:val="clear" w:color="auto" w:fill="FFFFFF"/>
          <w:lang w:val="en-US" w:eastAsia="zh-CN"/>
        </w:rPr>
        <w:t>4</w:t>
      </w:r>
      <w:r>
        <w:rPr>
          <w:rFonts w:hint="eastAsia" w:ascii="仿宋" w:hAnsi="仿宋" w:eastAsia="仿宋"/>
          <w:color w:val="000000"/>
          <w:sz w:val="32"/>
          <w:szCs w:val="32"/>
          <w:shd w:val="clear" w:color="auto" w:fill="FFFFFF"/>
        </w:rPr>
        <w:t xml:space="preserve">年度评价得分为 </w:t>
      </w:r>
      <w:r>
        <w:rPr>
          <w:rFonts w:ascii="仿宋" w:hAnsi="仿宋" w:eastAsia="仿宋"/>
          <w:color w:val="000000"/>
          <w:sz w:val="32"/>
          <w:szCs w:val="32"/>
          <w:shd w:val="clear" w:color="auto" w:fill="FFFFFF"/>
        </w:rPr>
        <w:t>83</w:t>
      </w:r>
      <w:r>
        <w:rPr>
          <w:rFonts w:hint="eastAsia" w:ascii="仿宋" w:hAnsi="仿宋" w:eastAsia="仿宋"/>
          <w:color w:val="000000"/>
          <w:sz w:val="32"/>
          <w:szCs w:val="32"/>
          <w:shd w:val="clear" w:color="auto" w:fill="FFFFFF"/>
        </w:rPr>
        <w:t xml:space="preserve"> 分。</w:t>
      </w:r>
    </w:p>
    <w:p w14:paraId="0364C41C">
      <w:pPr>
        <w:widowControl/>
        <w:spacing w:line="560" w:lineRule="exact"/>
        <w:ind w:firstLine="640" w:firstLineChars="200"/>
        <w:outlineLvl w:val="0"/>
        <w:rPr>
          <w:rFonts w:hint="eastAsia" w:ascii="仿宋" w:hAnsi="仿宋" w:eastAsia="仿宋" w:cs="楷体_GB2312"/>
          <w:color w:val="000000"/>
          <w:kern w:val="0"/>
          <w:sz w:val="32"/>
          <w:szCs w:val="32"/>
        </w:rPr>
      </w:pPr>
      <w:r>
        <w:rPr>
          <w:rFonts w:hint="eastAsia" w:ascii="仿宋" w:hAnsi="仿宋" w:eastAsia="仿宋" w:cs="楷体_GB2312"/>
          <w:b/>
          <w:bCs/>
          <w:color w:val="000000"/>
          <w:kern w:val="0"/>
          <w:sz w:val="32"/>
          <w:szCs w:val="32"/>
        </w:rPr>
        <w:t>（二）效率性评价和有效性评价</w:t>
      </w:r>
    </w:p>
    <w:p w14:paraId="28B5C99A">
      <w:pPr>
        <w:widowControl/>
        <w:shd w:val="clear" w:color="auto" w:fill="FFFFFF"/>
        <w:spacing w:line="600" w:lineRule="atLeast"/>
        <w:ind w:firstLine="640"/>
        <w:rPr>
          <w:rFonts w:ascii="仿宋" w:hAnsi="仿宋" w:eastAsia="仿宋"/>
          <w:spacing w:val="-2"/>
          <w:sz w:val="32"/>
          <w:szCs w:val="32"/>
        </w:rPr>
      </w:pPr>
      <w:r>
        <w:rPr>
          <w:rFonts w:hint="eastAsia" w:ascii="仿宋" w:hAnsi="仿宋" w:eastAsia="仿宋"/>
          <w:spacing w:val="-2"/>
          <w:sz w:val="32"/>
          <w:szCs w:val="32"/>
        </w:rPr>
        <w:t>一年来，在局党组的领导下，在全体教职工的努力下，我园认真贯彻《幼儿园教育指导纲要》精神，围绕各项教育工作的要求，坚持以办人民满意教育、创一流平安和谐幼儿园、以让每一位孩子健康、快乐地成长的办园宗旨，促进每个幼儿富有个性的发展，全面提高了幼儿园的保教质量。下面我将一年来的工作向大家做个汇报：</w:t>
      </w:r>
    </w:p>
    <w:p w14:paraId="29CEEB5F">
      <w:pPr>
        <w:widowControl/>
        <w:shd w:val="clear" w:color="auto" w:fill="FFFFFF"/>
        <w:spacing w:line="600" w:lineRule="atLeast"/>
        <w:rPr>
          <w:rFonts w:ascii="仿宋" w:hAnsi="仿宋" w:eastAsia="仿宋"/>
          <w:spacing w:val="-2"/>
          <w:sz w:val="32"/>
          <w:szCs w:val="32"/>
        </w:rPr>
      </w:pPr>
      <w:r>
        <w:rPr>
          <w:rFonts w:hint="eastAsia" w:ascii="仿宋" w:hAnsi="仿宋" w:eastAsia="仿宋"/>
          <w:spacing w:val="-2"/>
          <w:sz w:val="32"/>
          <w:szCs w:val="32"/>
        </w:rPr>
        <w:t>一、园务管理：落实制度，明确职责</w:t>
      </w:r>
    </w:p>
    <w:p w14:paraId="38ABBE10">
      <w:pPr>
        <w:widowControl/>
        <w:shd w:val="clear" w:color="auto" w:fill="FFFFFF"/>
        <w:spacing w:line="600" w:lineRule="atLeast"/>
        <w:ind w:firstLine="640"/>
        <w:rPr>
          <w:rFonts w:ascii="仿宋" w:hAnsi="仿宋" w:eastAsia="仿宋"/>
          <w:spacing w:val="-2"/>
          <w:sz w:val="32"/>
          <w:szCs w:val="32"/>
        </w:rPr>
      </w:pPr>
      <w:r>
        <w:rPr>
          <w:rFonts w:hint="eastAsia" w:ascii="仿宋" w:hAnsi="仿宋" w:eastAsia="仿宋"/>
          <w:spacing w:val="-2"/>
          <w:sz w:val="32"/>
          <w:szCs w:val="32"/>
        </w:rPr>
        <w:t>为了使幼儿园管理工作逐步向规范化方向迈进，我们严格按照管理制度汇编，做到分工明确，责任到人。在实际工作中严格照章办事。通过落实制度，明确职责，提高了教职工的工作责任感，促进了我园各项工作有序、有效地开展。</w:t>
      </w:r>
    </w:p>
    <w:p w14:paraId="1E3DE609">
      <w:pPr>
        <w:widowControl/>
        <w:shd w:val="clear" w:color="auto" w:fill="FFFFFF"/>
        <w:spacing w:line="600" w:lineRule="atLeast"/>
        <w:rPr>
          <w:rFonts w:ascii="仿宋" w:hAnsi="仿宋" w:eastAsia="仿宋"/>
          <w:spacing w:val="-2"/>
          <w:sz w:val="32"/>
          <w:szCs w:val="32"/>
        </w:rPr>
      </w:pPr>
      <w:r>
        <w:rPr>
          <w:rFonts w:hint="eastAsia" w:ascii="仿宋" w:hAnsi="仿宋" w:eastAsia="仿宋"/>
          <w:spacing w:val="-2"/>
          <w:sz w:val="32"/>
          <w:szCs w:val="32"/>
        </w:rPr>
        <w:t>二、教师培养：加强学习，提高素质</w:t>
      </w:r>
    </w:p>
    <w:p w14:paraId="678536D8">
      <w:pPr>
        <w:widowControl/>
        <w:shd w:val="clear" w:color="auto" w:fill="FFFFFF"/>
        <w:spacing w:line="600" w:lineRule="atLeast"/>
        <w:ind w:firstLine="640"/>
        <w:rPr>
          <w:rFonts w:ascii="仿宋" w:hAnsi="仿宋" w:eastAsia="仿宋"/>
          <w:spacing w:val="-2"/>
          <w:sz w:val="32"/>
          <w:szCs w:val="32"/>
        </w:rPr>
      </w:pPr>
      <w:r>
        <w:rPr>
          <w:rFonts w:hint="eastAsia" w:ascii="仿宋" w:hAnsi="仿宋" w:eastAsia="仿宋"/>
          <w:spacing w:val="-2"/>
          <w:sz w:val="32"/>
          <w:szCs w:val="32"/>
        </w:rPr>
        <w:t>为了提高教师的素质，我们通过多种形式对教师进行培训。强化培训学习</w:t>
      </w:r>
      <w:r>
        <w:rPr>
          <w:rFonts w:ascii="仿宋" w:hAnsi="仿宋" w:eastAsia="仿宋"/>
          <w:spacing w:val="-2"/>
          <w:sz w:val="32"/>
          <w:szCs w:val="32"/>
        </w:rPr>
        <w:t>,注重自身建设,不断提升教师素质.全园积极参加上级和教育部门举办的学习培训活动，坚持每周召开班长会，每月教职工集中学习，帮助教师不断改造自己的主观世界，做到敬业、爱业、精业、创业，教书育人，为人师表。</w:t>
      </w:r>
      <w:r>
        <w:rPr>
          <w:rFonts w:hint="eastAsia" w:ascii="仿宋" w:hAnsi="仿宋" w:eastAsia="仿宋"/>
          <w:spacing w:val="-2"/>
          <w:sz w:val="32"/>
          <w:szCs w:val="32"/>
        </w:rPr>
        <w:t xml:space="preserve">                                               </w:t>
      </w:r>
      <w:r>
        <w:rPr>
          <w:rFonts w:ascii="仿宋" w:hAnsi="仿宋" w:eastAsia="仿宋"/>
          <w:spacing w:val="-2"/>
          <w:sz w:val="32"/>
          <w:szCs w:val="32"/>
        </w:rPr>
        <w:t xml:space="preserve"> 三、教育教学：注重细节，提升质量</w:t>
      </w:r>
    </w:p>
    <w:p w14:paraId="16DEAEF0">
      <w:pPr>
        <w:widowControl/>
        <w:shd w:val="clear" w:color="auto" w:fill="FFFFFF"/>
        <w:spacing w:line="600" w:lineRule="atLeast"/>
        <w:ind w:firstLine="640"/>
        <w:rPr>
          <w:rFonts w:ascii="仿宋" w:hAnsi="仿宋" w:eastAsia="仿宋"/>
          <w:spacing w:val="-2"/>
          <w:sz w:val="32"/>
          <w:szCs w:val="32"/>
        </w:rPr>
      </w:pPr>
      <w:r>
        <w:rPr>
          <w:rFonts w:hint="eastAsia" w:ascii="仿宋" w:hAnsi="仿宋" w:eastAsia="仿宋"/>
          <w:spacing w:val="-2"/>
          <w:sz w:val="32"/>
          <w:szCs w:val="32"/>
        </w:rPr>
        <w:t>（一）是各班能认真制订教学计划，在制定周、半日活动时合理安排各方面的教育内容，根据孩子的年龄特点把领域活动与主题活动有机结合，相互渗透，有效地防止在教学工作的主观性和随意性。（二）是定期检查教师备课、幼儿成长册、教养笔记等。落实一日教学常规，加大对一日生活各个环节的监督和调控。以抽查听课为载体，在听完每节课后与教师及时交流，并进行点评纠正。</w:t>
      </w:r>
      <w:bookmarkStart w:id="2" w:name="_GoBack"/>
      <w:bookmarkEnd w:id="2"/>
      <w:r>
        <w:rPr>
          <w:rFonts w:hint="eastAsia" w:ascii="仿宋" w:hAnsi="仿宋" w:eastAsia="仿宋"/>
          <w:spacing w:val="-2"/>
          <w:sz w:val="32"/>
          <w:szCs w:val="32"/>
        </w:rPr>
        <w:t>（三）是各班都创设了有利于引发幼儿互动的环境。在走廊、楼梯、班级主题墙、家长园地等环境的创设，做到美观新颖，突出主题。根据孩子年龄特点，力求做到生活化、趣味化、艺术化和儿童化，让孩子主动参与到环境中来，从中受到教育。幼儿的一日生活之中，贯穿于游戏、教育活动之中，并以多种形式进行整合，结合本园、本班幼儿的实际情况，进行教育教学</w:t>
      </w:r>
      <w:r>
        <w:rPr>
          <w:rFonts w:ascii="仿宋" w:hAnsi="仿宋" w:eastAsia="仿宋"/>
          <w:spacing w:val="-2"/>
          <w:sz w:val="32"/>
          <w:szCs w:val="32"/>
        </w:rPr>
        <w:t>.</w:t>
      </w:r>
    </w:p>
    <w:p w14:paraId="68CC04D7">
      <w:pPr>
        <w:widowControl/>
        <w:shd w:val="clear" w:color="auto" w:fill="FFFFFF"/>
        <w:spacing w:line="600" w:lineRule="atLeast"/>
        <w:rPr>
          <w:rFonts w:ascii="仿宋" w:hAnsi="仿宋" w:eastAsia="仿宋"/>
          <w:spacing w:val="-2"/>
          <w:sz w:val="32"/>
          <w:szCs w:val="32"/>
        </w:rPr>
      </w:pPr>
      <w:r>
        <w:rPr>
          <w:rFonts w:hint="eastAsia" w:ascii="仿宋" w:hAnsi="仿宋" w:eastAsia="仿宋"/>
          <w:spacing w:val="-2"/>
          <w:sz w:val="32"/>
          <w:szCs w:val="32"/>
        </w:rPr>
        <w:t>四、卫生保健：落实安全，严控防疫，细化保育。</w:t>
      </w:r>
    </w:p>
    <w:p w14:paraId="3B476B08">
      <w:pPr>
        <w:widowControl/>
        <w:shd w:val="clear" w:color="auto" w:fill="FFFFFF"/>
        <w:spacing w:line="600" w:lineRule="atLeast"/>
        <w:ind w:firstLine="640"/>
        <w:rPr>
          <w:rFonts w:ascii="仿宋" w:hAnsi="仿宋" w:eastAsia="仿宋"/>
          <w:spacing w:val="-2"/>
          <w:sz w:val="32"/>
          <w:szCs w:val="32"/>
        </w:rPr>
      </w:pPr>
      <w:r>
        <w:rPr>
          <w:rFonts w:hint="eastAsia" w:ascii="仿宋" w:hAnsi="仿宋" w:eastAsia="仿宋"/>
          <w:spacing w:val="-2"/>
          <w:sz w:val="32"/>
          <w:szCs w:val="32"/>
        </w:rPr>
        <w:t>我园制定《药品管理制度》、《班级安全管理制度》、《幼儿接送制度》、《幼儿意外伤害事故处理》、《消防设备检查制度》等安全卫生保健制度，促使安全卫生保健工作有序、科学地开展，为幼儿提供有利于健康成长的环境。</w:t>
      </w:r>
      <w:r>
        <w:rPr>
          <w:rFonts w:ascii="仿宋" w:hAnsi="仿宋" w:eastAsia="仿宋"/>
          <w:spacing w:val="-2"/>
          <w:sz w:val="32"/>
          <w:szCs w:val="32"/>
        </w:rPr>
        <w:t>(一)细化制度，提高安全管理力度</w:t>
      </w:r>
      <w:r>
        <w:rPr>
          <w:rFonts w:hint="eastAsia" w:ascii="仿宋" w:hAnsi="仿宋" w:eastAsia="仿宋"/>
          <w:spacing w:val="-2"/>
          <w:sz w:val="32"/>
          <w:szCs w:val="32"/>
        </w:rPr>
        <w:t>，细化各项安全工作责任。每年度与每位教职工依据自身的工作签订安全目标责任书，做到人人有责</w:t>
      </w:r>
      <w:r>
        <w:rPr>
          <w:rFonts w:ascii="仿宋" w:hAnsi="仿宋" w:eastAsia="仿宋"/>
          <w:spacing w:val="-2"/>
          <w:sz w:val="32"/>
          <w:szCs w:val="32"/>
        </w:rPr>
        <w:t>,人人都是安全员。(二)细化工作，规划保育工作程序</w:t>
      </w:r>
      <w:r>
        <w:rPr>
          <w:rFonts w:hint="eastAsia" w:ascii="仿宋" w:hAnsi="仿宋" w:eastAsia="仿宋"/>
          <w:spacing w:val="-2"/>
          <w:sz w:val="32"/>
          <w:szCs w:val="32"/>
        </w:rPr>
        <w:t>，在已有制度的基础上进一步细化幼儿在园一日生活各环节的管理细则，包括对教师的具体工作、对保育员的具体要求、对食堂工作人员的要求，让每位工作人员明确工作程序，规范地开展幼儿一日生活各环节的保育工作。</w:t>
      </w:r>
    </w:p>
    <w:p w14:paraId="3D849457">
      <w:pPr>
        <w:widowControl/>
        <w:shd w:val="clear" w:color="auto" w:fill="FFFFFF"/>
        <w:spacing w:line="600" w:lineRule="atLeast"/>
        <w:rPr>
          <w:rFonts w:ascii="仿宋" w:hAnsi="仿宋" w:eastAsia="仿宋"/>
          <w:spacing w:val="-2"/>
          <w:sz w:val="32"/>
          <w:szCs w:val="32"/>
        </w:rPr>
      </w:pPr>
      <w:r>
        <w:rPr>
          <w:rFonts w:hint="eastAsia" w:ascii="仿宋" w:hAnsi="仿宋" w:eastAsia="仿宋"/>
          <w:spacing w:val="-2"/>
          <w:sz w:val="32"/>
          <w:szCs w:val="32"/>
        </w:rPr>
        <w:t>五、家长工作：家园合作，有序开展</w:t>
      </w:r>
    </w:p>
    <w:p w14:paraId="53E2DB49">
      <w:pPr>
        <w:widowControl/>
        <w:shd w:val="clear" w:color="auto" w:fill="FFFFFF"/>
        <w:spacing w:line="600" w:lineRule="atLeast"/>
        <w:ind w:firstLine="640"/>
        <w:rPr>
          <w:rFonts w:ascii="仿宋" w:hAnsi="仿宋" w:eastAsia="仿宋"/>
          <w:spacing w:val="-2"/>
          <w:sz w:val="32"/>
          <w:szCs w:val="32"/>
        </w:rPr>
      </w:pPr>
      <w:r>
        <w:rPr>
          <w:rFonts w:hint="eastAsia" w:ascii="仿宋" w:hAnsi="仿宋" w:eastAsia="仿宋"/>
          <w:spacing w:val="-2"/>
          <w:sz w:val="32"/>
          <w:szCs w:val="32"/>
        </w:rPr>
        <w:t>《纲要》中提出：家庭是幼儿园重要的合作伙伴。本着这种理念，把做好家长工作作为我园的工作重点之一。每学期开始要求老师们制定好家长工作计划，有目的有计划地开展各项家长活动。我们的家长工作以多种形式开展着，在每年一次的家长开放日活动中，家长对老师的满意度还是很高的，相信我们的家长会一直理解、支持我们的工作。</w:t>
      </w:r>
    </w:p>
    <w:p w14:paraId="2C66CFF2">
      <w:pPr>
        <w:widowControl/>
        <w:shd w:val="clear" w:color="auto" w:fill="FFFFFF"/>
        <w:spacing w:line="600" w:lineRule="atLeast"/>
        <w:rPr>
          <w:rFonts w:ascii="仿宋" w:hAnsi="仿宋" w:eastAsia="仿宋"/>
          <w:spacing w:val="-2"/>
          <w:sz w:val="32"/>
          <w:szCs w:val="32"/>
        </w:rPr>
      </w:pPr>
      <w:r>
        <w:rPr>
          <w:rFonts w:hint="eastAsia" w:ascii="仿宋" w:hAnsi="仿宋" w:eastAsia="仿宋"/>
          <w:spacing w:val="-2"/>
          <w:sz w:val="32"/>
          <w:szCs w:val="32"/>
        </w:rPr>
        <w:t>六、思考与展望</w:t>
      </w:r>
    </w:p>
    <w:p w14:paraId="383D50F7">
      <w:pPr>
        <w:widowControl/>
        <w:shd w:val="clear" w:color="auto" w:fill="FFFFFF"/>
        <w:spacing w:line="600" w:lineRule="atLeast"/>
        <w:ind w:firstLine="640"/>
        <w:rPr>
          <w:rFonts w:ascii="仿宋" w:hAnsi="仿宋" w:eastAsia="仿宋"/>
          <w:spacing w:val="-2"/>
          <w:sz w:val="32"/>
          <w:szCs w:val="32"/>
        </w:rPr>
      </w:pPr>
      <w:r>
        <w:rPr>
          <w:rFonts w:hint="eastAsia" w:ascii="仿宋" w:hAnsi="仿宋" w:eastAsia="仿宋"/>
          <w:spacing w:val="-2"/>
          <w:sz w:val="32"/>
          <w:szCs w:val="32"/>
        </w:rPr>
        <w:t>以上是对我园本年度工作的总结，</w:t>
      </w:r>
      <w:r>
        <w:rPr>
          <w:rFonts w:ascii="仿宋" w:hAnsi="仿宋" w:eastAsia="仿宋"/>
          <w:spacing w:val="-2"/>
          <w:sz w:val="32"/>
          <w:szCs w:val="32"/>
        </w:rPr>
        <w:t xml:space="preserve"> 有收获也有不足,我们将在以后的日子里，不忘初心、</w:t>
      </w:r>
      <w:r>
        <w:rPr>
          <w:rFonts w:hint="eastAsia" w:ascii="仿宋" w:hAnsi="仿宋" w:eastAsia="仿宋"/>
          <w:spacing w:val="-2"/>
          <w:sz w:val="32"/>
          <w:szCs w:val="32"/>
        </w:rPr>
        <w:t>牢记使命</w:t>
      </w:r>
      <w:r>
        <w:rPr>
          <w:rFonts w:ascii="仿宋" w:hAnsi="仿宋" w:eastAsia="仿宋"/>
          <w:spacing w:val="-2"/>
          <w:sz w:val="32"/>
          <w:szCs w:val="32"/>
        </w:rPr>
        <w:t>、团结一致、共同努力，争取办家长满意,幼儿开心的优质幼儿园</w:t>
      </w:r>
      <w:r>
        <w:rPr>
          <w:rFonts w:hint="eastAsia" w:ascii="仿宋" w:hAnsi="仿宋" w:eastAsia="仿宋"/>
          <w:spacing w:val="-2"/>
          <w:sz w:val="32"/>
          <w:szCs w:val="32"/>
          <w:lang w:eastAsia="zh-CN"/>
        </w:rPr>
        <w:t>。</w:t>
      </w:r>
      <w:r>
        <w:rPr>
          <w:rFonts w:ascii="仿宋" w:hAnsi="仿宋" w:eastAsia="仿宋"/>
          <w:spacing w:val="-2"/>
          <w:sz w:val="32"/>
          <w:szCs w:val="32"/>
        </w:rPr>
        <w:t xml:space="preserve">                                                                                                      </w:t>
      </w:r>
    </w:p>
    <w:p w14:paraId="2CA57E77">
      <w:pPr>
        <w:widowControl/>
        <w:spacing w:line="560" w:lineRule="exact"/>
        <w:ind w:firstLine="640" w:firstLineChars="200"/>
        <w:outlineLvl w:val="0"/>
        <w:rPr>
          <w:rFonts w:hint="eastAsia" w:ascii="仿宋" w:hAnsi="仿宋" w:eastAsia="仿宋" w:cs="楷体_GB2312"/>
          <w:color w:val="000000"/>
          <w:kern w:val="0"/>
          <w:sz w:val="32"/>
          <w:szCs w:val="32"/>
        </w:rPr>
      </w:pPr>
      <w:r>
        <w:rPr>
          <w:rFonts w:hint="eastAsia" w:ascii="仿宋" w:hAnsi="仿宋" w:eastAsia="仿宋" w:cs="楷体_GB2312"/>
          <w:b/>
          <w:bCs/>
          <w:color w:val="000000"/>
          <w:kern w:val="0"/>
          <w:sz w:val="32"/>
          <w:szCs w:val="32"/>
        </w:rPr>
        <w:t>（三）社会公众满意度评价</w:t>
      </w:r>
    </w:p>
    <w:p w14:paraId="7EEB264C">
      <w:pPr>
        <w:widowControl/>
        <w:spacing w:line="600" w:lineRule="atLeast"/>
        <w:ind w:firstLine="625"/>
        <w:rPr>
          <w:rFonts w:ascii="仿宋" w:hAnsi="仿宋" w:eastAsia="仿宋"/>
          <w:spacing w:val="-2"/>
          <w:sz w:val="32"/>
          <w:szCs w:val="21"/>
        </w:rPr>
      </w:pPr>
      <w:r>
        <w:rPr>
          <w:rFonts w:hint="eastAsia" w:ascii="仿宋" w:hAnsi="仿宋" w:eastAsia="仿宋"/>
          <w:color w:val="000000"/>
          <w:sz w:val="32"/>
          <w:szCs w:val="32"/>
          <w:shd w:val="clear" w:color="auto" w:fill="FFFFFF"/>
        </w:rPr>
        <w:t>202</w:t>
      </w:r>
      <w:r>
        <w:rPr>
          <w:rFonts w:hint="eastAsia" w:ascii="仿宋" w:hAnsi="仿宋" w:eastAsia="仿宋"/>
          <w:color w:val="000000"/>
          <w:sz w:val="32"/>
          <w:szCs w:val="32"/>
          <w:shd w:val="clear" w:color="auto" w:fill="FFFFFF"/>
          <w:lang w:val="en-US" w:eastAsia="zh-CN"/>
        </w:rPr>
        <w:t>4</w:t>
      </w:r>
      <w:r>
        <w:rPr>
          <w:rFonts w:hint="eastAsia" w:ascii="仿宋" w:hAnsi="仿宋" w:eastAsia="仿宋"/>
          <w:color w:val="000000"/>
          <w:sz w:val="32"/>
          <w:szCs w:val="32"/>
          <w:shd w:val="clear" w:color="auto" w:fill="FFFFFF"/>
        </w:rPr>
        <w:t>年，我校干部职工在党组的正确领导下，认真贯彻落实党的方针政策，勤奋工作，</w:t>
      </w:r>
      <w:r>
        <w:rPr>
          <w:rFonts w:hint="eastAsia" w:ascii="仿宋" w:hAnsi="仿宋" w:eastAsia="仿宋"/>
          <w:sz w:val="32"/>
          <w:szCs w:val="32"/>
          <w:shd w:val="clear" w:color="auto" w:fill="FFFFFF"/>
        </w:rPr>
        <w:t>创先争优，以一切为了孩子的办园理念. 社会公众满意度约为</w:t>
      </w:r>
      <w:r>
        <w:rPr>
          <w:rFonts w:hint="eastAsia" w:ascii="仿宋" w:hAnsi="仿宋" w:eastAsia="仿宋"/>
          <w:color w:val="000000"/>
          <w:sz w:val="32"/>
          <w:szCs w:val="32"/>
          <w:shd w:val="clear" w:color="auto" w:fill="FFFFFF"/>
        </w:rPr>
        <w:t>95%</w:t>
      </w:r>
      <w:r>
        <w:rPr>
          <w:rFonts w:hint="eastAsia" w:ascii="仿宋" w:hAnsi="仿宋" w:eastAsia="仿宋"/>
          <w:sz w:val="32"/>
          <w:szCs w:val="32"/>
          <w:shd w:val="clear" w:color="auto" w:fill="FFFFFF"/>
        </w:rPr>
        <w:t xml:space="preserve"> ，得到了广大家长的认可。</w:t>
      </w:r>
    </w:p>
    <w:p w14:paraId="301920F6">
      <w:pPr>
        <w:widowControl/>
        <w:shd w:val="clear" w:color="auto" w:fill="FFFFFF"/>
        <w:spacing w:line="600" w:lineRule="atLeast"/>
        <w:ind w:firstLine="640"/>
        <w:rPr>
          <w:rFonts w:ascii="楷体" w:hAnsi="楷体" w:eastAsia="楷体"/>
          <w:b/>
          <w:spacing w:val="-2"/>
          <w:sz w:val="32"/>
          <w:szCs w:val="21"/>
        </w:rPr>
      </w:pPr>
      <w:r>
        <w:rPr>
          <w:rFonts w:ascii="楷体" w:hAnsi="楷体" w:eastAsia="楷体"/>
          <w:b/>
          <w:spacing w:val="-2"/>
          <w:sz w:val="32"/>
          <w:szCs w:val="32"/>
        </w:rPr>
        <w:t>六、存在的主要问题</w:t>
      </w:r>
    </w:p>
    <w:p w14:paraId="3B322CF7">
      <w:pPr>
        <w:widowControl/>
        <w:spacing w:line="600" w:lineRule="atLeast"/>
        <w:ind w:firstLine="625"/>
        <w:rPr>
          <w:rFonts w:hint="eastAsia" w:ascii="仿宋" w:hAnsi="仿宋" w:eastAsia="仿宋"/>
          <w:sz w:val="32"/>
          <w:szCs w:val="32"/>
          <w:shd w:val="clear" w:color="auto" w:fill="FFFFFF"/>
        </w:rPr>
      </w:pPr>
      <w:r>
        <w:rPr>
          <w:rFonts w:hint="eastAsia" w:ascii="仿宋" w:hAnsi="仿宋" w:eastAsia="仿宋"/>
          <w:sz w:val="32"/>
          <w:szCs w:val="32"/>
          <w:shd w:val="clear" w:color="auto" w:fill="FFFFFF"/>
        </w:rPr>
        <w:t>1、预算批复滞后，客观上造成了年底突击花钱。</w:t>
      </w:r>
    </w:p>
    <w:p w14:paraId="55BDBEB7">
      <w:pPr>
        <w:widowControl/>
        <w:spacing w:line="600" w:lineRule="atLeast"/>
        <w:ind w:firstLine="625"/>
        <w:rPr>
          <w:rFonts w:ascii="仿宋" w:hAnsi="仿宋" w:eastAsia="仿宋" w:cs="仿宋_GB2312"/>
          <w:sz w:val="32"/>
          <w:szCs w:val="32"/>
          <w:shd w:val="clear" w:color="auto" w:fill="FFFFFF"/>
        </w:rPr>
      </w:pPr>
      <w:r>
        <w:rPr>
          <w:rFonts w:hint="eastAsia" w:ascii="仿宋" w:hAnsi="仿宋" w:eastAsia="仿宋"/>
          <w:sz w:val="32"/>
          <w:szCs w:val="32"/>
          <w:shd w:val="clear" w:color="auto" w:fill="FFFFFF"/>
        </w:rPr>
        <w:t>2、</w:t>
      </w:r>
      <w:r>
        <w:rPr>
          <w:rFonts w:hint="eastAsia" w:ascii="仿宋" w:hAnsi="仿宋" w:eastAsia="仿宋" w:cs="仿宋_GB2312"/>
          <w:sz w:val="32"/>
          <w:szCs w:val="32"/>
          <w:shd w:val="clear" w:color="auto" w:fill="FFFFFF"/>
        </w:rPr>
        <w:t>有些资金拨款不及时，造成当年的资金没有办法在当年支付</w:t>
      </w:r>
      <w:r>
        <w:rPr>
          <w:rFonts w:ascii="仿宋" w:hAnsi="仿宋" w:eastAsia="仿宋" w:cs="仿宋_GB2312"/>
          <w:sz w:val="32"/>
          <w:szCs w:val="32"/>
          <w:shd w:val="clear" w:color="auto" w:fill="FFFFFF"/>
        </w:rPr>
        <w:t>。</w:t>
      </w:r>
    </w:p>
    <w:p w14:paraId="0FBF23DA">
      <w:pPr>
        <w:widowControl/>
        <w:spacing w:line="600" w:lineRule="atLeast"/>
        <w:ind w:firstLine="625"/>
        <w:rPr>
          <w:rFonts w:hint="eastAsia"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3、通过非税部门管理的资金（事业收入或财政预算拨款）拨款进度较慢，影响预算的支出完成。</w:t>
      </w:r>
    </w:p>
    <w:p w14:paraId="5B0830B8">
      <w:pPr>
        <w:widowControl/>
        <w:spacing w:line="600" w:lineRule="atLeast"/>
        <w:ind w:firstLine="625"/>
        <w:rPr>
          <w:rFonts w:hint="eastAsia"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4、预算收入的编制不够精准，造成收入和支出产生比较大的差异。</w:t>
      </w:r>
    </w:p>
    <w:p w14:paraId="3710890D">
      <w:pPr>
        <w:widowControl/>
        <w:shd w:val="clear" w:color="auto" w:fill="FFFFFF"/>
        <w:spacing w:line="600" w:lineRule="atLeast"/>
        <w:ind w:firstLine="640"/>
        <w:rPr>
          <w:rFonts w:ascii="楷体" w:hAnsi="楷体" w:eastAsia="楷体"/>
          <w:b/>
          <w:spacing w:val="-2"/>
          <w:sz w:val="32"/>
          <w:szCs w:val="21"/>
        </w:rPr>
      </w:pPr>
      <w:r>
        <w:rPr>
          <w:rFonts w:ascii="楷体" w:hAnsi="楷体" w:eastAsia="楷体"/>
          <w:b/>
          <w:spacing w:val="-2"/>
          <w:sz w:val="32"/>
          <w:szCs w:val="32"/>
        </w:rPr>
        <w:t>七、改进措施和有关建议</w:t>
      </w:r>
    </w:p>
    <w:p w14:paraId="57716F3D">
      <w:pPr>
        <w:widowControl/>
        <w:shd w:val="clear" w:color="auto" w:fill="FFFFFF"/>
        <w:spacing w:line="600" w:lineRule="atLeast"/>
        <w:ind w:firstLine="640"/>
        <w:rPr>
          <w:rFonts w:ascii="仿宋" w:hAnsi="仿宋" w:eastAsia="仿宋"/>
          <w:spacing w:val="-2"/>
          <w:sz w:val="32"/>
          <w:szCs w:val="21"/>
        </w:rPr>
      </w:pPr>
      <w:r>
        <w:rPr>
          <w:rFonts w:ascii="仿宋" w:hAnsi="仿宋" w:eastAsia="仿宋"/>
          <w:spacing w:val="-2"/>
          <w:sz w:val="32"/>
          <w:szCs w:val="32"/>
        </w:rPr>
        <w:t>对存在的问题提出切实可行的改进措施和有关建议等。</w:t>
      </w:r>
    </w:p>
    <w:p w14:paraId="4B47EB1F"/>
    <w:p w14:paraId="0D20C0BA">
      <w:pPr>
        <w:spacing w:line="560" w:lineRule="exact"/>
        <w:rPr>
          <w:rFonts w:hint="eastAsia" w:ascii="黑体" w:hAnsi="宋体" w:eastAsia="黑体" w:cs="宋体"/>
          <w:kern w:val="0"/>
          <w:sz w:val="32"/>
          <w:szCs w:val="32"/>
        </w:rPr>
      </w:pPr>
      <w:r>
        <w:rPr>
          <w:rFonts w:hint="eastAsia" w:ascii="黑体" w:hAnsi="宋体" w:eastAsia="黑体" w:cs="宋体"/>
          <w:kern w:val="0"/>
          <w:sz w:val="32"/>
          <w:szCs w:val="32"/>
        </w:rPr>
        <w:br w:type="page"/>
      </w:r>
      <w:r>
        <w:rPr>
          <w:rFonts w:hint="eastAsia" w:ascii="黑体" w:hAnsi="宋体" w:eastAsia="黑体" w:cs="宋体"/>
          <w:kern w:val="0"/>
          <w:sz w:val="32"/>
          <w:szCs w:val="32"/>
        </w:rPr>
        <w:t>附件</w:t>
      </w:r>
      <w:r>
        <w:rPr>
          <w:rFonts w:hint="eastAsia" w:ascii="黑体" w:hAnsi="宋体" w:eastAsia="黑体" w:cs="宋体"/>
          <w:kern w:val="0"/>
          <w:sz w:val="32"/>
          <w:szCs w:val="32"/>
          <w:lang w:val="en-US" w:eastAsia="zh-CN"/>
        </w:rPr>
        <w:t>1</w:t>
      </w:r>
    </w:p>
    <w:p w14:paraId="64AAEDB8">
      <w:pPr>
        <w:spacing w:line="560" w:lineRule="exact"/>
        <w:jc w:val="center"/>
        <w:rPr>
          <w:rFonts w:ascii="宋体" w:hAnsi="宋体" w:cs="宋体"/>
          <w:kern w:val="0"/>
          <w:sz w:val="24"/>
        </w:rPr>
      </w:pPr>
      <w:r>
        <w:rPr>
          <w:rFonts w:hint="eastAsia" w:ascii="方正小标宋_GBK" w:hAnsi="宋体" w:eastAsia="方正小标宋_GBK" w:cs="宋体"/>
          <w:kern w:val="0"/>
          <w:sz w:val="36"/>
          <w:szCs w:val="36"/>
        </w:rPr>
        <w:t>部门整体支出绩效评价</w:t>
      </w:r>
      <w:r>
        <w:rPr>
          <w:rFonts w:hint="eastAsia" w:ascii="方正小标宋_GBK" w:hAnsi="宋体" w:eastAsia="方正小标宋_GBK" w:cs="宋体"/>
          <w:kern w:val="0"/>
          <w:sz w:val="36"/>
          <w:szCs w:val="36"/>
          <w:lang w:eastAsia="zh-CN"/>
        </w:rPr>
        <w:t>共性</w:t>
      </w:r>
      <w:r>
        <w:rPr>
          <w:rFonts w:hint="eastAsia" w:ascii="方正小标宋_GBK" w:hAnsi="宋体" w:eastAsia="方正小标宋_GBK" w:cs="宋体"/>
          <w:kern w:val="0"/>
          <w:sz w:val="36"/>
          <w:szCs w:val="36"/>
        </w:rPr>
        <w:t>指标表</w:t>
      </w:r>
    </w:p>
    <w:tbl>
      <w:tblPr>
        <w:tblStyle w:val="6"/>
        <w:tblW w:w="0" w:type="auto"/>
        <w:jc w:val="center"/>
        <w:tblLayout w:type="fixed"/>
        <w:tblCellMar>
          <w:top w:w="0" w:type="dxa"/>
          <w:left w:w="108" w:type="dxa"/>
          <w:bottom w:w="0" w:type="dxa"/>
          <w:right w:w="108" w:type="dxa"/>
        </w:tblCellMar>
      </w:tblPr>
      <w:tblGrid>
        <w:gridCol w:w="518"/>
        <w:gridCol w:w="470"/>
        <w:gridCol w:w="623"/>
        <w:gridCol w:w="416"/>
        <w:gridCol w:w="1015"/>
        <w:gridCol w:w="416"/>
        <w:gridCol w:w="3016"/>
        <w:gridCol w:w="3489"/>
        <w:gridCol w:w="637"/>
      </w:tblGrid>
      <w:tr w14:paraId="5EE3B239">
        <w:tblPrEx>
          <w:tblCellMar>
            <w:top w:w="0" w:type="dxa"/>
            <w:left w:w="108" w:type="dxa"/>
            <w:bottom w:w="0" w:type="dxa"/>
            <w:right w:w="108" w:type="dxa"/>
          </w:tblCellMar>
        </w:tblPrEx>
        <w:trPr>
          <w:tblHeader/>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14:paraId="5AEECC09">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一级指标</w:t>
            </w:r>
          </w:p>
        </w:tc>
        <w:tc>
          <w:tcPr>
            <w:tcW w:w="470" w:type="dxa"/>
            <w:tcBorders>
              <w:top w:val="single" w:color="auto" w:sz="4" w:space="0"/>
              <w:left w:val="nil"/>
              <w:bottom w:val="single" w:color="auto" w:sz="4" w:space="0"/>
              <w:right w:val="single" w:color="auto" w:sz="4" w:space="0"/>
            </w:tcBorders>
            <w:noWrap w:val="0"/>
            <w:vAlign w:val="center"/>
          </w:tcPr>
          <w:p w14:paraId="5AFB05E5">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分值</w:t>
            </w:r>
          </w:p>
        </w:tc>
        <w:tc>
          <w:tcPr>
            <w:tcW w:w="623" w:type="dxa"/>
            <w:tcBorders>
              <w:top w:val="single" w:color="auto" w:sz="4" w:space="0"/>
              <w:left w:val="nil"/>
              <w:bottom w:val="single" w:color="auto" w:sz="4" w:space="0"/>
              <w:right w:val="single" w:color="auto" w:sz="4" w:space="0"/>
            </w:tcBorders>
            <w:noWrap w:val="0"/>
            <w:vAlign w:val="center"/>
          </w:tcPr>
          <w:p w14:paraId="481DCA36">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二级指标</w:t>
            </w:r>
          </w:p>
        </w:tc>
        <w:tc>
          <w:tcPr>
            <w:tcW w:w="416" w:type="dxa"/>
            <w:tcBorders>
              <w:top w:val="single" w:color="auto" w:sz="4" w:space="0"/>
              <w:left w:val="nil"/>
              <w:bottom w:val="single" w:color="auto" w:sz="4" w:space="0"/>
              <w:right w:val="single" w:color="auto" w:sz="4" w:space="0"/>
            </w:tcBorders>
            <w:noWrap w:val="0"/>
            <w:vAlign w:val="center"/>
          </w:tcPr>
          <w:p w14:paraId="04711F21">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分值</w:t>
            </w:r>
          </w:p>
        </w:tc>
        <w:tc>
          <w:tcPr>
            <w:tcW w:w="1015" w:type="dxa"/>
            <w:tcBorders>
              <w:top w:val="single" w:color="auto" w:sz="4" w:space="0"/>
              <w:left w:val="nil"/>
              <w:bottom w:val="single" w:color="auto" w:sz="4" w:space="0"/>
              <w:right w:val="single" w:color="auto" w:sz="4" w:space="0"/>
            </w:tcBorders>
            <w:noWrap w:val="0"/>
            <w:vAlign w:val="center"/>
          </w:tcPr>
          <w:p w14:paraId="5EEDD5CC">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三级</w:t>
            </w:r>
          </w:p>
          <w:p w14:paraId="169F9D29">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指标</w:t>
            </w:r>
          </w:p>
        </w:tc>
        <w:tc>
          <w:tcPr>
            <w:tcW w:w="416" w:type="dxa"/>
            <w:tcBorders>
              <w:top w:val="single" w:color="auto" w:sz="4" w:space="0"/>
              <w:left w:val="nil"/>
              <w:bottom w:val="single" w:color="auto" w:sz="4" w:space="0"/>
              <w:right w:val="single" w:color="auto" w:sz="4" w:space="0"/>
            </w:tcBorders>
            <w:noWrap w:val="0"/>
            <w:vAlign w:val="center"/>
          </w:tcPr>
          <w:p w14:paraId="2E63EC3D">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分值</w:t>
            </w:r>
          </w:p>
        </w:tc>
        <w:tc>
          <w:tcPr>
            <w:tcW w:w="3016" w:type="dxa"/>
            <w:tcBorders>
              <w:top w:val="single" w:color="auto" w:sz="4" w:space="0"/>
              <w:left w:val="nil"/>
              <w:bottom w:val="single" w:color="auto" w:sz="4" w:space="0"/>
              <w:right w:val="single" w:color="auto" w:sz="4" w:space="0"/>
            </w:tcBorders>
            <w:noWrap w:val="0"/>
            <w:vAlign w:val="center"/>
          </w:tcPr>
          <w:p w14:paraId="31480F36">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评价标准</w:t>
            </w:r>
          </w:p>
        </w:tc>
        <w:tc>
          <w:tcPr>
            <w:tcW w:w="3489" w:type="dxa"/>
            <w:tcBorders>
              <w:top w:val="single" w:color="auto" w:sz="4" w:space="0"/>
              <w:left w:val="nil"/>
              <w:bottom w:val="single" w:color="auto" w:sz="4" w:space="0"/>
              <w:right w:val="single" w:color="auto" w:sz="4" w:space="0"/>
            </w:tcBorders>
            <w:noWrap w:val="0"/>
            <w:vAlign w:val="center"/>
          </w:tcPr>
          <w:p w14:paraId="21C335EE">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指标说明</w:t>
            </w:r>
          </w:p>
        </w:tc>
        <w:tc>
          <w:tcPr>
            <w:tcW w:w="637" w:type="dxa"/>
            <w:tcBorders>
              <w:top w:val="single" w:color="auto" w:sz="4" w:space="0"/>
              <w:left w:val="nil"/>
              <w:bottom w:val="single" w:color="auto" w:sz="4" w:space="0"/>
              <w:right w:val="single" w:color="auto" w:sz="4" w:space="0"/>
            </w:tcBorders>
            <w:noWrap w:val="0"/>
            <w:vAlign w:val="center"/>
          </w:tcPr>
          <w:p w14:paraId="61B29AD8">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得分</w:t>
            </w:r>
          </w:p>
        </w:tc>
      </w:tr>
      <w:tr w14:paraId="0B7F7BCF">
        <w:tblPrEx>
          <w:tblCellMar>
            <w:top w:w="0" w:type="dxa"/>
            <w:left w:w="108" w:type="dxa"/>
            <w:bottom w:w="0" w:type="dxa"/>
            <w:right w:w="108" w:type="dxa"/>
          </w:tblCellMar>
        </w:tblPrEx>
        <w:trPr>
          <w:trHeight w:val="1814" w:hRule="atLeast"/>
          <w:jc w:val="center"/>
        </w:trPr>
        <w:tc>
          <w:tcPr>
            <w:tcW w:w="518" w:type="dxa"/>
            <w:vMerge w:val="restart"/>
            <w:tcBorders>
              <w:top w:val="nil"/>
              <w:left w:val="single" w:color="auto" w:sz="4" w:space="0"/>
              <w:bottom w:val="single" w:color="auto" w:sz="4" w:space="0"/>
              <w:right w:val="single" w:color="auto" w:sz="4" w:space="0"/>
            </w:tcBorders>
            <w:noWrap w:val="0"/>
            <w:vAlign w:val="center"/>
          </w:tcPr>
          <w:p w14:paraId="55E197FB">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投入</w:t>
            </w:r>
          </w:p>
        </w:tc>
        <w:tc>
          <w:tcPr>
            <w:tcW w:w="470" w:type="dxa"/>
            <w:vMerge w:val="restart"/>
            <w:tcBorders>
              <w:top w:val="nil"/>
              <w:left w:val="single" w:color="auto" w:sz="4" w:space="0"/>
              <w:bottom w:val="single" w:color="000000" w:sz="4" w:space="0"/>
              <w:right w:val="single" w:color="auto" w:sz="4" w:space="0"/>
            </w:tcBorders>
            <w:noWrap w:val="0"/>
            <w:vAlign w:val="center"/>
          </w:tcPr>
          <w:p w14:paraId="0A14EDBC">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1</w:t>
            </w:r>
            <w:r>
              <w:rPr>
                <w:rFonts w:hint="eastAsia" w:ascii="仿宋_GB2312" w:hAnsi="宋体" w:eastAsia="仿宋_GB2312" w:cs="宋体"/>
                <w:kern w:val="0"/>
                <w:sz w:val="20"/>
                <w:szCs w:val="20"/>
                <w:lang w:val="en-US" w:eastAsia="zh-CN"/>
              </w:rPr>
              <w:t>0</w:t>
            </w:r>
          </w:p>
        </w:tc>
        <w:tc>
          <w:tcPr>
            <w:tcW w:w="623" w:type="dxa"/>
            <w:vMerge w:val="restart"/>
            <w:tcBorders>
              <w:top w:val="nil"/>
              <w:left w:val="nil"/>
              <w:bottom w:val="single" w:color="auto" w:sz="4" w:space="0"/>
              <w:right w:val="single" w:color="auto" w:sz="4" w:space="0"/>
            </w:tcBorders>
            <w:noWrap w:val="0"/>
            <w:vAlign w:val="center"/>
          </w:tcPr>
          <w:p w14:paraId="51CD6EB0">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预算配置</w:t>
            </w:r>
          </w:p>
        </w:tc>
        <w:tc>
          <w:tcPr>
            <w:tcW w:w="416" w:type="dxa"/>
            <w:vMerge w:val="restart"/>
            <w:tcBorders>
              <w:top w:val="nil"/>
              <w:left w:val="single" w:color="auto" w:sz="4" w:space="0"/>
              <w:bottom w:val="single" w:color="000000" w:sz="4" w:space="0"/>
              <w:right w:val="single" w:color="auto" w:sz="4" w:space="0"/>
            </w:tcBorders>
            <w:noWrap w:val="0"/>
            <w:vAlign w:val="center"/>
          </w:tcPr>
          <w:p w14:paraId="3698FD64">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1</w:t>
            </w:r>
            <w:r>
              <w:rPr>
                <w:rFonts w:hint="eastAsia" w:ascii="仿宋_GB2312" w:hAnsi="宋体" w:eastAsia="仿宋_GB2312" w:cs="宋体"/>
                <w:kern w:val="0"/>
                <w:sz w:val="20"/>
                <w:szCs w:val="20"/>
                <w:lang w:val="en-US" w:eastAsia="zh-CN"/>
              </w:rPr>
              <w:t>0</w:t>
            </w:r>
          </w:p>
        </w:tc>
        <w:tc>
          <w:tcPr>
            <w:tcW w:w="1015" w:type="dxa"/>
            <w:tcBorders>
              <w:top w:val="nil"/>
              <w:left w:val="nil"/>
              <w:bottom w:val="single" w:color="auto" w:sz="4" w:space="0"/>
              <w:right w:val="single" w:color="auto" w:sz="4" w:space="0"/>
            </w:tcBorders>
            <w:noWrap w:val="0"/>
            <w:vAlign w:val="center"/>
          </w:tcPr>
          <w:p w14:paraId="119CCD51">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在职人员控制率</w:t>
            </w:r>
          </w:p>
        </w:tc>
        <w:tc>
          <w:tcPr>
            <w:tcW w:w="416" w:type="dxa"/>
            <w:tcBorders>
              <w:top w:val="nil"/>
              <w:left w:val="nil"/>
              <w:bottom w:val="single" w:color="auto" w:sz="4" w:space="0"/>
              <w:right w:val="single" w:color="auto" w:sz="4" w:space="0"/>
            </w:tcBorders>
            <w:noWrap w:val="0"/>
            <w:vAlign w:val="center"/>
          </w:tcPr>
          <w:p w14:paraId="2C08691F">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w:t>
            </w:r>
          </w:p>
        </w:tc>
        <w:tc>
          <w:tcPr>
            <w:tcW w:w="3016" w:type="dxa"/>
            <w:tcBorders>
              <w:top w:val="nil"/>
              <w:left w:val="nil"/>
              <w:bottom w:val="nil"/>
              <w:right w:val="nil"/>
            </w:tcBorders>
            <w:noWrap w:val="0"/>
            <w:vAlign w:val="center"/>
          </w:tcPr>
          <w:p w14:paraId="1DA529DC">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以100%为标准。在职人员控制率</w:t>
            </w:r>
            <w:r>
              <w:rPr>
                <w:rFonts w:hint="eastAsia" w:ascii="宋体" w:hAnsi="宋体" w:cs="宋体"/>
                <w:kern w:val="0"/>
                <w:sz w:val="20"/>
                <w:szCs w:val="20"/>
              </w:rPr>
              <w:t>≦</w:t>
            </w:r>
            <w:r>
              <w:rPr>
                <w:rFonts w:hint="eastAsia" w:ascii="仿宋_GB2312" w:hAnsi="宋体" w:eastAsia="仿宋_GB2312" w:cs="宋体"/>
                <w:kern w:val="0"/>
                <w:sz w:val="20"/>
                <w:szCs w:val="20"/>
              </w:rPr>
              <w:t>100%，计5分；每超过一个百分点扣0.5分，扣完为止。</w:t>
            </w:r>
          </w:p>
        </w:tc>
        <w:tc>
          <w:tcPr>
            <w:tcW w:w="3489" w:type="dxa"/>
            <w:tcBorders>
              <w:top w:val="nil"/>
              <w:left w:val="single" w:color="auto" w:sz="4" w:space="0"/>
              <w:bottom w:val="single" w:color="auto" w:sz="4" w:space="0"/>
              <w:right w:val="single" w:color="auto" w:sz="4" w:space="0"/>
            </w:tcBorders>
            <w:noWrap w:val="0"/>
            <w:vAlign w:val="center"/>
          </w:tcPr>
          <w:p w14:paraId="500852F5">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在职人员控制率=（在职人员数/编制数）×100%，在职人员数：部门（单位）实际在职人数，以财政确定的部门决算编制口径为准。</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编制数：机构编制部门核定批复的部门（单位）的人员编制数。</w:t>
            </w:r>
          </w:p>
        </w:tc>
        <w:tc>
          <w:tcPr>
            <w:tcW w:w="637" w:type="dxa"/>
            <w:tcBorders>
              <w:top w:val="nil"/>
              <w:left w:val="nil"/>
              <w:bottom w:val="single" w:color="auto" w:sz="4" w:space="0"/>
              <w:right w:val="single" w:color="auto" w:sz="4" w:space="0"/>
            </w:tcBorders>
            <w:noWrap w:val="0"/>
            <w:vAlign w:val="center"/>
          </w:tcPr>
          <w:p w14:paraId="259A45F6">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5</w:t>
            </w:r>
          </w:p>
        </w:tc>
      </w:tr>
      <w:tr w14:paraId="3859E7A3">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auto" w:sz="4" w:space="0"/>
              <w:right w:val="single" w:color="auto" w:sz="4" w:space="0"/>
            </w:tcBorders>
            <w:noWrap w:val="0"/>
            <w:vAlign w:val="center"/>
          </w:tcPr>
          <w:p w14:paraId="436C652A">
            <w:pPr>
              <w:widowControl/>
              <w:jc w:val="left"/>
              <w:rPr>
                <w:rFonts w:ascii="仿宋_GB2312" w:hAnsi="宋体" w:eastAsia="仿宋_GB2312" w:cs="宋体"/>
                <w:kern w:val="0"/>
                <w:sz w:val="20"/>
                <w:szCs w:val="20"/>
              </w:rPr>
            </w:pPr>
          </w:p>
        </w:tc>
        <w:tc>
          <w:tcPr>
            <w:tcW w:w="470" w:type="dxa"/>
            <w:vMerge w:val="continue"/>
            <w:tcBorders>
              <w:top w:val="nil"/>
              <w:left w:val="single" w:color="auto" w:sz="4" w:space="0"/>
              <w:bottom w:val="single" w:color="000000" w:sz="4" w:space="0"/>
              <w:right w:val="single" w:color="auto" w:sz="4" w:space="0"/>
            </w:tcBorders>
            <w:noWrap w:val="0"/>
            <w:vAlign w:val="center"/>
          </w:tcPr>
          <w:p w14:paraId="39091E7C">
            <w:pPr>
              <w:widowControl/>
              <w:jc w:val="left"/>
              <w:rPr>
                <w:rFonts w:ascii="仿宋_GB2312" w:hAnsi="宋体" w:eastAsia="仿宋_GB2312" w:cs="宋体"/>
                <w:kern w:val="0"/>
                <w:sz w:val="20"/>
                <w:szCs w:val="20"/>
              </w:rPr>
            </w:pPr>
          </w:p>
        </w:tc>
        <w:tc>
          <w:tcPr>
            <w:tcW w:w="623" w:type="dxa"/>
            <w:vMerge w:val="continue"/>
            <w:tcBorders>
              <w:top w:val="nil"/>
              <w:left w:val="nil"/>
              <w:bottom w:val="single" w:color="auto" w:sz="4" w:space="0"/>
              <w:right w:val="single" w:color="auto" w:sz="4" w:space="0"/>
            </w:tcBorders>
            <w:noWrap w:val="0"/>
            <w:vAlign w:val="center"/>
          </w:tcPr>
          <w:p w14:paraId="22BFF668">
            <w:pPr>
              <w:widowControl/>
              <w:jc w:val="left"/>
              <w:rPr>
                <w:rFonts w:ascii="仿宋_GB2312" w:hAnsi="宋体" w:eastAsia="仿宋_GB2312" w:cs="宋体"/>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14:paraId="2CB9BB8C">
            <w:pPr>
              <w:widowControl/>
              <w:jc w:val="left"/>
              <w:rPr>
                <w:rFonts w:ascii="仿宋_GB2312" w:hAnsi="宋体" w:eastAsia="仿宋_GB2312" w:cs="宋体"/>
                <w:kern w:val="0"/>
                <w:sz w:val="20"/>
                <w:szCs w:val="20"/>
              </w:rPr>
            </w:pPr>
          </w:p>
        </w:tc>
        <w:tc>
          <w:tcPr>
            <w:tcW w:w="1015" w:type="dxa"/>
            <w:tcBorders>
              <w:top w:val="nil"/>
              <w:left w:val="nil"/>
              <w:bottom w:val="single" w:color="auto" w:sz="4" w:space="0"/>
              <w:right w:val="single" w:color="auto" w:sz="4" w:space="0"/>
            </w:tcBorders>
            <w:noWrap w:val="0"/>
            <w:vAlign w:val="center"/>
          </w:tcPr>
          <w:p w14:paraId="6A08652E">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“三公经费”变动率</w:t>
            </w:r>
          </w:p>
        </w:tc>
        <w:tc>
          <w:tcPr>
            <w:tcW w:w="416" w:type="dxa"/>
            <w:tcBorders>
              <w:top w:val="nil"/>
              <w:left w:val="nil"/>
              <w:bottom w:val="single" w:color="auto" w:sz="4" w:space="0"/>
              <w:right w:val="single" w:color="auto" w:sz="4" w:space="0"/>
            </w:tcBorders>
            <w:noWrap w:val="0"/>
            <w:vAlign w:val="center"/>
          </w:tcPr>
          <w:p w14:paraId="25DCC777">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val="en-US" w:eastAsia="zh-CN"/>
              </w:rPr>
              <w:t>5</w:t>
            </w:r>
          </w:p>
        </w:tc>
        <w:tc>
          <w:tcPr>
            <w:tcW w:w="3016" w:type="dxa"/>
            <w:tcBorders>
              <w:top w:val="single" w:color="auto" w:sz="4" w:space="0"/>
              <w:left w:val="nil"/>
              <w:bottom w:val="single" w:color="auto" w:sz="4" w:space="0"/>
              <w:right w:val="single" w:color="auto" w:sz="4" w:space="0"/>
            </w:tcBorders>
            <w:noWrap w:val="0"/>
            <w:vAlign w:val="center"/>
          </w:tcPr>
          <w:p w14:paraId="010D1EAC">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“三公经费”变动率</w:t>
            </w:r>
            <w:r>
              <w:rPr>
                <w:rFonts w:hint="eastAsia" w:ascii="宋体" w:hAnsi="宋体" w:cs="宋体"/>
                <w:kern w:val="0"/>
                <w:sz w:val="20"/>
                <w:szCs w:val="20"/>
              </w:rPr>
              <w:t>≦</w:t>
            </w:r>
            <w:r>
              <w:rPr>
                <w:rFonts w:hint="eastAsia" w:ascii="仿宋_GB2312" w:hAnsi="宋体" w:eastAsia="仿宋_GB2312" w:cs="宋体"/>
                <w:kern w:val="0"/>
                <w:sz w:val="20"/>
                <w:szCs w:val="20"/>
              </w:rPr>
              <w:t>0,计</w:t>
            </w:r>
            <w:r>
              <w:rPr>
                <w:rFonts w:hint="eastAsia" w:ascii="仿宋_GB2312" w:hAnsi="宋体" w:eastAsia="仿宋_GB2312" w:cs="宋体"/>
                <w:kern w:val="0"/>
                <w:sz w:val="20"/>
                <w:szCs w:val="20"/>
                <w:lang w:val="en-US" w:eastAsia="zh-CN"/>
              </w:rPr>
              <w:t>5</w:t>
            </w:r>
            <w:r>
              <w:rPr>
                <w:rFonts w:hint="eastAsia" w:ascii="仿宋_GB2312" w:hAnsi="宋体" w:eastAsia="仿宋_GB2312" w:cs="宋体"/>
                <w:kern w:val="0"/>
                <w:sz w:val="20"/>
                <w:szCs w:val="20"/>
              </w:rPr>
              <w:t>分；“三公经费”＞0，每超过一个百分点扣0.</w:t>
            </w:r>
            <w:r>
              <w:rPr>
                <w:rFonts w:hint="eastAsia" w:ascii="仿宋_GB2312" w:hAnsi="宋体" w:eastAsia="仿宋_GB2312" w:cs="宋体"/>
                <w:kern w:val="0"/>
                <w:sz w:val="20"/>
                <w:szCs w:val="20"/>
                <w:lang w:val="en-US" w:eastAsia="zh-CN"/>
              </w:rPr>
              <w:t>5</w:t>
            </w:r>
            <w:r>
              <w:rPr>
                <w:rFonts w:hint="eastAsia" w:ascii="仿宋_GB2312" w:hAnsi="宋体" w:eastAsia="仿宋_GB2312" w:cs="宋体"/>
                <w:kern w:val="0"/>
                <w:sz w:val="20"/>
                <w:szCs w:val="20"/>
              </w:rPr>
              <w:t>分，扣完为止。</w:t>
            </w:r>
          </w:p>
        </w:tc>
        <w:tc>
          <w:tcPr>
            <w:tcW w:w="3489" w:type="dxa"/>
            <w:tcBorders>
              <w:top w:val="nil"/>
              <w:left w:val="nil"/>
              <w:bottom w:val="single" w:color="auto" w:sz="4" w:space="0"/>
              <w:right w:val="single" w:color="auto" w:sz="4" w:space="0"/>
            </w:tcBorders>
            <w:noWrap w:val="0"/>
            <w:vAlign w:val="center"/>
          </w:tcPr>
          <w:p w14:paraId="528A28FE">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“三公经费”变动率=[（本年度“三公经费”预算数-上年度“三公经费”预算数）/上年度“三公经费”预算数]×100%</w:t>
            </w:r>
          </w:p>
        </w:tc>
        <w:tc>
          <w:tcPr>
            <w:tcW w:w="637" w:type="dxa"/>
            <w:tcBorders>
              <w:top w:val="nil"/>
              <w:left w:val="nil"/>
              <w:bottom w:val="single" w:color="auto" w:sz="4" w:space="0"/>
              <w:right w:val="single" w:color="auto" w:sz="4" w:space="0"/>
            </w:tcBorders>
            <w:noWrap w:val="0"/>
            <w:vAlign w:val="center"/>
          </w:tcPr>
          <w:p w14:paraId="7F37ACBE">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5</w:t>
            </w:r>
          </w:p>
        </w:tc>
      </w:tr>
      <w:tr w14:paraId="3F32DF44">
        <w:tblPrEx>
          <w:tblCellMar>
            <w:top w:w="0" w:type="dxa"/>
            <w:left w:w="108" w:type="dxa"/>
            <w:bottom w:w="0" w:type="dxa"/>
            <w:right w:w="108" w:type="dxa"/>
          </w:tblCellMar>
        </w:tblPrEx>
        <w:trPr>
          <w:jc w:val="center"/>
        </w:trPr>
        <w:tc>
          <w:tcPr>
            <w:tcW w:w="518" w:type="dxa"/>
            <w:vMerge w:val="restart"/>
            <w:tcBorders>
              <w:top w:val="nil"/>
              <w:left w:val="single" w:color="auto" w:sz="4" w:space="0"/>
              <w:bottom w:val="single" w:color="000000" w:sz="4" w:space="0"/>
              <w:right w:val="single" w:color="auto" w:sz="4" w:space="0"/>
            </w:tcBorders>
            <w:noWrap w:val="0"/>
            <w:vAlign w:val="center"/>
          </w:tcPr>
          <w:p w14:paraId="72CEFA3F">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过                                                                                                                                       程</w:t>
            </w:r>
          </w:p>
        </w:tc>
        <w:tc>
          <w:tcPr>
            <w:tcW w:w="470" w:type="dxa"/>
            <w:vMerge w:val="restart"/>
            <w:tcBorders>
              <w:top w:val="nil"/>
              <w:left w:val="single" w:color="auto" w:sz="4" w:space="0"/>
              <w:bottom w:val="single" w:color="000000" w:sz="4" w:space="0"/>
              <w:right w:val="single" w:color="auto" w:sz="4" w:space="0"/>
            </w:tcBorders>
            <w:noWrap w:val="0"/>
            <w:vAlign w:val="center"/>
          </w:tcPr>
          <w:p w14:paraId="4A248108">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6</w:t>
            </w:r>
            <w:r>
              <w:rPr>
                <w:rFonts w:hint="eastAsia" w:ascii="仿宋_GB2312" w:hAnsi="宋体" w:eastAsia="仿宋_GB2312" w:cs="宋体"/>
                <w:kern w:val="0"/>
                <w:sz w:val="20"/>
                <w:szCs w:val="20"/>
                <w:lang w:val="en-US" w:eastAsia="zh-CN"/>
              </w:rPr>
              <w:t>0</w:t>
            </w:r>
          </w:p>
        </w:tc>
        <w:tc>
          <w:tcPr>
            <w:tcW w:w="623" w:type="dxa"/>
            <w:vMerge w:val="restart"/>
            <w:tcBorders>
              <w:top w:val="nil"/>
              <w:left w:val="single" w:color="auto" w:sz="4" w:space="0"/>
              <w:bottom w:val="single" w:color="000000" w:sz="4" w:space="0"/>
              <w:right w:val="single" w:color="auto" w:sz="4" w:space="0"/>
            </w:tcBorders>
            <w:noWrap w:val="0"/>
            <w:vAlign w:val="center"/>
          </w:tcPr>
          <w:p w14:paraId="7756858F">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预算执行</w:t>
            </w:r>
          </w:p>
        </w:tc>
        <w:tc>
          <w:tcPr>
            <w:tcW w:w="416" w:type="dxa"/>
            <w:vMerge w:val="restart"/>
            <w:tcBorders>
              <w:top w:val="nil"/>
              <w:left w:val="single" w:color="auto" w:sz="4" w:space="0"/>
              <w:bottom w:val="single" w:color="000000" w:sz="4" w:space="0"/>
              <w:right w:val="single" w:color="auto" w:sz="4" w:space="0"/>
            </w:tcBorders>
            <w:noWrap w:val="0"/>
            <w:vAlign w:val="center"/>
          </w:tcPr>
          <w:p w14:paraId="5DB4D879">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20</w:t>
            </w:r>
          </w:p>
        </w:tc>
        <w:tc>
          <w:tcPr>
            <w:tcW w:w="1015" w:type="dxa"/>
            <w:tcBorders>
              <w:top w:val="nil"/>
              <w:left w:val="nil"/>
              <w:bottom w:val="single" w:color="auto" w:sz="4" w:space="0"/>
              <w:right w:val="single" w:color="auto" w:sz="4" w:space="0"/>
            </w:tcBorders>
            <w:noWrap w:val="0"/>
            <w:vAlign w:val="center"/>
          </w:tcPr>
          <w:p w14:paraId="0433E889">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预算完成率</w:t>
            </w:r>
          </w:p>
        </w:tc>
        <w:tc>
          <w:tcPr>
            <w:tcW w:w="416" w:type="dxa"/>
            <w:tcBorders>
              <w:top w:val="nil"/>
              <w:left w:val="nil"/>
              <w:bottom w:val="single" w:color="auto" w:sz="4" w:space="0"/>
              <w:right w:val="single" w:color="auto" w:sz="4" w:space="0"/>
            </w:tcBorders>
            <w:noWrap w:val="0"/>
            <w:vAlign w:val="center"/>
          </w:tcPr>
          <w:p w14:paraId="59BF8FBE">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w:t>
            </w:r>
          </w:p>
        </w:tc>
        <w:tc>
          <w:tcPr>
            <w:tcW w:w="3016" w:type="dxa"/>
            <w:tcBorders>
              <w:top w:val="nil"/>
              <w:left w:val="nil"/>
              <w:bottom w:val="single" w:color="auto" w:sz="4" w:space="0"/>
              <w:right w:val="single" w:color="auto" w:sz="4" w:space="0"/>
            </w:tcBorders>
            <w:noWrap w:val="0"/>
            <w:vAlign w:val="center"/>
          </w:tcPr>
          <w:p w14:paraId="4ADB7DE6">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100%计满分，每低于5%扣2分，扣完为止。</w:t>
            </w:r>
          </w:p>
        </w:tc>
        <w:tc>
          <w:tcPr>
            <w:tcW w:w="3489" w:type="dxa"/>
            <w:tcBorders>
              <w:top w:val="nil"/>
              <w:left w:val="nil"/>
              <w:bottom w:val="single" w:color="auto" w:sz="4" w:space="0"/>
              <w:right w:val="single" w:color="auto" w:sz="4" w:space="0"/>
            </w:tcBorders>
            <w:noWrap w:val="0"/>
            <w:vAlign w:val="center"/>
          </w:tcPr>
          <w:p w14:paraId="021057F9">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预算完成率=（上年结转+年初预算+本年追加预算-年末结余）/（上年结转+年初预算+本年追加预算）×100%。</w:t>
            </w:r>
          </w:p>
        </w:tc>
        <w:tc>
          <w:tcPr>
            <w:tcW w:w="637" w:type="dxa"/>
            <w:tcBorders>
              <w:top w:val="nil"/>
              <w:left w:val="nil"/>
              <w:bottom w:val="single" w:color="auto" w:sz="4" w:space="0"/>
              <w:right w:val="single" w:color="auto" w:sz="4" w:space="0"/>
            </w:tcBorders>
            <w:noWrap w:val="0"/>
            <w:vAlign w:val="center"/>
          </w:tcPr>
          <w:p w14:paraId="1EA77FD8">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5</w:t>
            </w:r>
          </w:p>
        </w:tc>
      </w:tr>
      <w:tr w14:paraId="58DCE3FA">
        <w:tblPrEx>
          <w:tblCellMar>
            <w:top w:w="0" w:type="dxa"/>
            <w:left w:w="108" w:type="dxa"/>
            <w:bottom w:w="0" w:type="dxa"/>
            <w:right w:w="108" w:type="dxa"/>
          </w:tblCellMar>
        </w:tblPrEx>
        <w:trPr>
          <w:trHeight w:val="127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7BFB5C88">
            <w:pPr>
              <w:widowControl/>
              <w:jc w:val="left"/>
              <w:rPr>
                <w:rFonts w:ascii="仿宋_GB2312" w:hAnsi="宋体" w:eastAsia="仿宋_GB2312" w:cs="宋体"/>
                <w:kern w:val="0"/>
                <w:sz w:val="20"/>
                <w:szCs w:val="20"/>
              </w:rPr>
            </w:pPr>
          </w:p>
        </w:tc>
        <w:tc>
          <w:tcPr>
            <w:tcW w:w="470" w:type="dxa"/>
            <w:vMerge w:val="continue"/>
            <w:tcBorders>
              <w:top w:val="nil"/>
              <w:left w:val="single" w:color="auto" w:sz="4" w:space="0"/>
              <w:bottom w:val="single" w:color="000000" w:sz="4" w:space="0"/>
              <w:right w:val="single" w:color="auto" w:sz="4" w:space="0"/>
            </w:tcBorders>
            <w:noWrap w:val="0"/>
            <w:vAlign w:val="center"/>
          </w:tcPr>
          <w:p w14:paraId="50F12EBD">
            <w:pPr>
              <w:widowControl/>
              <w:jc w:val="left"/>
              <w:rPr>
                <w:rFonts w:ascii="仿宋_GB2312" w:hAnsi="宋体" w:eastAsia="仿宋_GB2312" w:cs="宋体"/>
                <w:kern w:val="0"/>
                <w:sz w:val="20"/>
                <w:szCs w:val="20"/>
              </w:rPr>
            </w:pPr>
          </w:p>
        </w:tc>
        <w:tc>
          <w:tcPr>
            <w:tcW w:w="623" w:type="dxa"/>
            <w:vMerge w:val="continue"/>
            <w:tcBorders>
              <w:top w:val="nil"/>
              <w:left w:val="single" w:color="auto" w:sz="4" w:space="0"/>
              <w:bottom w:val="single" w:color="000000" w:sz="4" w:space="0"/>
              <w:right w:val="single" w:color="auto" w:sz="4" w:space="0"/>
            </w:tcBorders>
            <w:noWrap w:val="0"/>
            <w:vAlign w:val="center"/>
          </w:tcPr>
          <w:p w14:paraId="6A14279B">
            <w:pPr>
              <w:widowControl/>
              <w:jc w:val="left"/>
              <w:rPr>
                <w:rFonts w:ascii="仿宋_GB2312" w:hAnsi="宋体" w:eastAsia="仿宋_GB2312" w:cs="宋体"/>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14:paraId="32B968DF">
            <w:pPr>
              <w:widowControl/>
              <w:jc w:val="left"/>
              <w:rPr>
                <w:rFonts w:ascii="仿宋_GB2312" w:hAnsi="宋体" w:eastAsia="仿宋_GB2312" w:cs="宋体"/>
                <w:kern w:val="0"/>
                <w:sz w:val="20"/>
                <w:szCs w:val="20"/>
              </w:rPr>
            </w:pPr>
          </w:p>
        </w:tc>
        <w:tc>
          <w:tcPr>
            <w:tcW w:w="1015" w:type="dxa"/>
            <w:tcBorders>
              <w:top w:val="nil"/>
              <w:left w:val="nil"/>
              <w:bottom w:val="single" w:color="auto" w:sz="4" w:space="0"/>
              <w:right w:val="single" w:color="auto" w:sz="4" w:space="0"/>
            </w:tcBorders>
            <w:noWrap w:val="0"/>
            <w:vAlign w:val="center"/>
          </w:tcPr>
          <w:p w14:paraId="03B80F13">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预算控制率</w:t>
            </w:r>
          </w:p>
        </w:tc>
        <w:tc>
          <w:tcPr>
            <w:tcW w:w="416" w:type="dxa"/>
            <w:tcBorders>
              <w:top w:val="nil"/>
              <w:left w:val="nil"/>
              <w:bottom w:val="single" w:color="auto" w:sz="4" w:space="0"/>
              <w:right w:val="single" w:color="auto" w:sz="4" w:space="0"/>
            </w:tcBorders>
            <w:noWrap w:val="0"/>
            <w:vAlign w:val="center"/>
          </w:tcPr>
          <w:p w14:paraId="3B82180F">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w:t>
            </w:r>
          </w:p>
        </w:tc>
        <w:tc>
          <w:tcPr>
            <w:tcW w:w="3016" w:type="dxa"/>
            <w:tcBorders>
              <w:top w:val="nil"/>
              <w:left w:val="nil"/>
              <w:bottom w:val="single" w:color="auto" w:sz="4" w:space="0"/>
              <w:right w:val="single" w:color="auto" w:sz="4" w:space="0"/>
            </w:tcBorders>
            <w:noWrap w:val="0"/>
            <w:vAlign w:val="center"/>
          </w:tcPr>
          <w:p w14:paraId="00CC1BB9">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预算控制率=0，计5分；0-10%（含），计4分；10-20%（含），计3分；20-30%（含），计2分；大于30%不得分。</w:t>
            </w:r>
          </w:p>
        </w:tc>
        <w:tc>
          <w:tcPr>
            <w:tcW w:w="3489" w:type="dxa"/>
            <w:tcBorders>
              <w:top w:val="nil"/>
              <w:left w:val="nil"/>
              <w:bottom w:val="single" w:color="auto" w:sz="4" w:space="0"/>
              <w:right w:val="single" w:color="auto" w:sz="4" w:space="0"/>
            </w:tcBorders>
            <w:noWrap w:val="0"/>
            <w:vAlign w:val="center"/>
          </w:tcPr>
          <w:p w14:paraId="3A96B651">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预算控制率=（本年追加预算/年初预算）×100%。</w:t>
            </w:r>
          </w:p>
        </w:tc>
        <w:tc>
          <w:tcPr>
            <w:tcW w:w="637" w:type="dxa"/>
            <w:tcBorders>
              <w:top w:val="nil"/>
              <w:left w:val="nil"/>
              <w:bottom w:val="single" w:color="auto" w:sz="4" w:space="0"/>
              <w:right w:val="single" w:color="auto" w:sz="4" w:space="0"/>
            </w:tcBorders>
            <w:noWrap w:val="0"/>
            <w:vAlign w:val="center"/>
          </w:tcPr>
          <w:p w14:paraId="028C3E25">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r w14:paraId="10774164">
        <w:tblPrEx>
          <w:tblCellMar>
            <w:top w:w="0" w:type="dxa"/>
            <w:left w:w="108" w:type="dxa"/>
            <w:bottom w:w="0" w:type="dxa"/>
            <w:right w:w="108" w:type="dxa"/>
          </w:tblCellMar>
        </w:tblPrEx>
        <w:trPr>
          <w:trHeight w:val="1160"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04D83ED4">
            <w:pPr>
              <w:widowControl/>
              <w:jc w:val="left"/>
              <w:rPr>
                <w:rFonts w:ascii="仿宋_GB2312" w:hAnsi="宋体" w:eastAsia="仿宋_GB2312" w:cs="宋体"/>
                <w:kern w:val="0"/>
                <w:sz w:val="20"/>
                <w:szCs w:val="20"/>
              </w:rPr>
            </w:pPr>
          </w:p>
        </w:tc>
        <w:tc>
          <w:tcPr>
            <w:tcW w:w="470" w:type="dxa"/>
            <w:vMerge w:val="continue"/>
            <w:tcBorders>
              <w:top w:val="nil"/>
              <w:left w:val="single" w:color="auto" w:sz="4" w:space="0"/>
              <w:bottom w:val="single" w:color="000000" w:sz="4" w:space="0"/>
              <w:right w:val="single" w:color="auto" w:sz="4" w:space="0"/>
            </w:tcBorders>
            <w:noWrap w:val="0"/>
            <w:vAlign w:val="center"/>
          </w:tcPr>
          <w:p w14:paraId="1049929F">
            <w:pPr>
              <w:widowControl/>
              <w:jc w:val="left"/>
              <w:rPr>
                <w:rFonts w:ascii="仿宋_GB2312" w:hAnsi="宋体" w:eastAsia="仿宋_GB2312" w:cs="宋体"/>
                <w:kern w:val="0"/>
                <w:sz w:val="20"/>
                <w:szCs w:val="20"/>
              </w:rPr>
            </w:pPr>
          </w:p>
        </w:tc>
        <w:tc>
          <w:tcPr>
            <w:tcW w:w="623" w:type="dxa"/>
            <w:vMerge w:val="continue"/>
            <w:tcBorders>
              <w:top w:val="nil"/>
              <w:left w:val="single" w:color="auto" w:sz="4" w:space="0"/>
              <w:bottom w:val="single" w:color="000000" w:sz="4" w:space="0"/>
              <w:right w:val="single" w:color="auto" w:sz="4" w:space="0"/>
            </w:tcBorders>
            <w:noWrap w:val="0"/>
            <w:vAlign w:val="center"/>
          </w:tcPr>
          <w:p w14:paraId="4C419F4F">
            <w:pPr>
              <w:widowControl/>
              <w:jc w:val="left"/>
              <w:rPr>
                <w:rFonts w:ascii="仿宋_GB2312" w:hAnsi="宋体" w:eastAsia="仿宋_GB2312" w:cs="宋体"/>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14:paraId="7F4F8390">
            <w:pPr>
              <w:widowControl/>
              <w:jc w:val="left"/>
              <w:rPr>
                <w:rFonts w:ascii="仿宋_GB2312" w:hAnsi="宋体" w:eastAsia="仿宋_GB2312" w:cs="宋体"/>
                <w:kern w:val="0"/>
                <w:sz w:val="20"/>
                <w:szCs w:val="20"/>
              </w:rPr>
            </w:pPr>
          </w:p>
        </w:tc>
        <w:tc>
          <w:tcPr>
            <w:tcW w:w="1015" w:type="dxa"/>
            <w:tcBorders>
              <w:top w:val="nil"/>
              <w:left w:val="nil"/>
              <w:bottom w:val="single" w:color="auto" w:sz="4" w:space="0"/>
              <w:right w:val="single" w:color="auto" w:sz="4" w:space="0"/>
            </w:tcBorders>
            <w:noWrap w:val="0"/>
            <w:vAlign w:val="center"/>
          </w:tcPr>
          <w:p w14:paraId="3FF9BAE3">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新建楼堂馆所面积控制率</w:t>
            </w:r>
          </w:p>
        </w:tc>
        <w:tc>
          <w:tcPr>
            <w:tcW w:w="416" w:type="dxa"/>
            <w:tcBorders>
              <w:top w:val="nil"/>
              <w:left w:val="nil"/>
              <w:bottom w:val="single" w:color="auto" w:sz="4" w:space="0"/>
              <w:right w:val="single" w:color="auto" w:sz="4" w:space="0"/>
            </w:tcBorders>
            <w:noWrap w:val="0"/>
            <w:vAlign w:val="center"/>
          </w:tcPr>
          <w:p w14:paraId="6320C27F">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w:t>
            </w:r>
          </w:p>
        </w:tc>
        <w:tc>
          <w:tcPr>
            <w:tcW w:w="3016" w:type="dxa"/>
            <w:tcBorders>
              <w:top w:val="nil"/>
              <w:left w:val="nil"/>
              <w:bottom w:val="single" w:color="auto" w:sz="4" w:space="0"/>
              <w:right w:val="single" w:color="auto" w:sz="4" w:space="0"/>
            </w:tcBorders>
            <w:noWrap w:val="0"/>
            <w:vAlign w:val="center"/>
          </w:tcPr>
          <w:p w14:paraId="6F52EF6C">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100%以下（含）计满分，每超出5%扣2分，扣完为止。没有楼堂馆所项目的部门按满分计算。</w:t>
            </w:r>
          </w:p>
        </w:tc>
        <w:tc>
          <w:tcPr>
            <w:tcW w:w="3489" w:type="dxa"/>
            <w:tcBorders>
              <w:top w:val="nil"/>
              <w:left w:val="nil"/>
              <w:bottom w:val="single" w:color="auto" w:sz="4" w:space="0"/>
              <w:right w:val="single" w:color="auto" w:sz="4" w:space="0"/>
            </w:tcBorders>
            <w:noWrap w:val="0"/>
            <w:vAlign w:val="center"/>
          </w:tcPr>
          <w:p w14:paraId="2688C437">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楼堂馆所面积控制率=实际建设面积/批准建设面积×100% 。</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该指标以</w:t>
            </w:r>
            <w:r>
              <w:rPr>
                <w:rFonts w:hint="eastAsia" w:ascii="仿宋_GB2312" w:hAnsi="宋体" w:eastAsia="仿宋_GB2312" w:cs="宋体"/>
                <w:kern w:val="0"/>
                <w:sz w:val="20"/>
                <w:szCs w:val="20"/>
                <w:lang w:val="en-US" w:eastAsia="zh-CN"/>
              </w:rPr>
              <w:t>2021</w:t>
            </w:r>
            <w:r>
              <w:rPr>
                <w:rFonts w:hint="eastAsia" w:ascii="仿宋_GB2312" w:hAnsi="宋体" w:eastAsia="仿宋_GB2312" w:cs="宋体"/>
                <w:kern w:val="0"/>
                <w:sz w:val="20"/>
                <w:szCs w:val="20"/>
              </w:rPr>
              <w:t>年完工的新建楼堂馆所为评价内容。</w:t>
            </w:r>
          </w:p>
        </w:tc>
        <w:tc>
          <w:tcPr>
            <w:tcW w:w="637" w:type="dxa"/>
            <w:tcBorders>
              <w:top w:val="nil"/>
              <w:left w:val="nil"/>
              <w:bottom w:val="single" w:color="auto" w:sz="4" w:space="0"/>
              <w:right w:val="single" w:color="auto" w:sz="4" w:space="0"/>
            </w:tcBorders>
            <w:noWrap w:val="0"/>
            <w:vAlign w:val="center"/>
          </w:tcPr>
          <w:p w14:paraId="2E0E6F8C">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5</w:t>
            </w:r>
          </w:p>
        </w:tc>
      </w:tr>
      <w:tr w14:paraId="13847C6F">
        <w:tblPrEx>
          <w:tblCellMar>
            <w:top w:w="0" w:type="dxa"/>
            <w:left w:w="108" w:type="dxa"/>
            <w:bottom w:w="0" w:type="dxa"/>
            <w:right w:w="108" w:type="dxa"/>
          </w:tblCellMar>
        </w:tblPrEx>
        <w:trPr>
          <w:trHeight w:val="154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162E2ACA">
            <w:pPr>
              <w:widowControl/>
              <w:jc w:val="left"/>
              <w:rPr>
                <w:rFonts w:ascii="仿宋_GB2312" w:hAnsi="宋体" w:eastAsia="仿宋_GB2312" w:cs="宋体"/>
                <w:kern w:val="0"/>
                <w:sz w:val="20"/>
                <w:szCs w:val="20"/>
              </w:rPr>
            </w:pPr>
          </w:p>
        </w:tc>
        <w:tc>
          <w:tcPr>
            <w:tcW w:w="470" w:type="dxa"/>
            <w:vMerge w:val="continue"/>
            <w:tcBorders>
              <w:top w:val="nil"/>
              <w:left w:val="single" w:color="auto" w:sz="4" w:space="0"/>
              <w:bottom w:val="single" w:color="000000" w:sz="4" w:space="0"/>
              <w:right w:val="single" w:color="auto" w:sz="4" w:space="0"/>
            </w:tcBorders>
            <w:noWrap w:val="0"/>
            <w:vAlign w:val="center"/>
          </w:tcPr>
          <w:p w14:paraId="4AC27B1C">
            <w:pPr>
              <w:widowControl/>
              <w:jc w:val="left"/>
              <w:rPr>
                <w:rFonts w:ascii="仿宋_GB2312" w:hAnsi="宋体" w:eastAsia="仿宋_GB2312" w:cs="宋体"/>
                <w:kern w:val="0"/>
                <w:sz w:val="20"/>
                <w:szCs w:val="20"/>
              </w:rPr>
            </w:pPr>
          </w:p>
        </w:tc>
        <w:tc>
          <w:tcPr>
            <w:tcW w:w="623" w:type="dxa"/>
            <w:vMerge w:val="continue"/>
            <w:tcBorders>
              <w:top w:val="nil"/>
              <w:left w:val="single" w:color="auto" w:sz="4" w:space="0"/>
              <w:bottom w:val="single" w:color="000000" w:sz="4" w:space="0"/>
              <w:right w:val="single" w:color="auto" w:sz="4" w:space="0"/>
            </w:tcBorders>
            <w:noWrap w:val="0"/>
            <w:vAlign w:val="center"/>
          </w:tcPr>
          <w:p w14:paraId="3FB96AD9">
            <w:pPr>
              <w:widowControl/>
              <w:jc w:val="left"/>
              <w:rPr>
                <w:rFonts w:ascii="仿宋_GB2312" w:hAnsi="宋体" w:eastAsia="仿宋_GB2312" w:cs="宋体"/>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14:paraId="4D4775F2">
            <w:pPr>
              <w:widowControl/>
              <w:jc w:val="left"/>
              <w:rPr>
                <w:rFonts w:ascii="仿宋_GB2312" w:hAnsi="宋体" w:eastAsia="仿宋_GB2312" w:cs="宋体"/>
                <w:kern w:val="0"/>
                <w:sz w:val="20"/>
                <w:szCs w:val="20"/>
              </w:rPr>
            </w:pPr>
          </w:p>
        </w:tc>
        <w:tc>
          <w:tcPr>
            <w:tcW w:w="1015" w:type="dxa"/>
            <w:tcBorders>
              <w:top w:val="nil"/>
              <w:left w:val="nil"/>
              <w:bottom w:val="single" w:color="auto" w:sz="4" w:space="0"/>
              <w:right w:val="single" w:color="auto" w:sz="4" w:space="0"/>
            </w:tcBorders>
            <w:noWrap w:val="0"/>
            <w:vAlign w:val="center"/>
          </w:tcPr>
          <w:p w14:paraId="12F706E3">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新建楼堂馆所投资概算控制率</w:t>
            </w:r>
          </w:p>
        </w:tc>
        <w:tc>
          <w:tcPr>
            <w:tcW w:w="416" w:type="dxa"/>
            <w:tcBorders>
              <w:top w:val="nil"/>
              <w:left w:val="nil"/>
              <w:bottom w:val="single" w:color="auto" w:sz="4" w:space="0"/>
              <w:right w:val="single" w:color="auto" w:sz="4" w:space="0"/>
            </w:tcBorders>
            <w:noWrap w:val="0"/>
            <w:vAlign w:val="center"/>
          </w:tcPr>
          <w:p w14:paraId="488506F7">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w:t>
            </w:r>
          </w:p>
        </w:tc>
        <w:tc>
          <w:tcPr>
            <w:tcW w:w="3016" w:type="dxa"/>
            <w:tcBorders>
              <w:top w:val="nil"/>
              <w:left w:val="nil"/>
              <w:bottom w:val="single" w:color="auto" w:sz="4" w:space="0"/>
              <w:right w:val="single" w:color="auto" w:sz="4" w:space="0"/>
            </w:tcBorders>
            <w:noWrap w:val="0"/>
            <w:vAlign w:val="center"/>
          </w:tcPr>
          <w:p w14:paraId="0C8EE2B8">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100%以下（含）计满分，每超出5%扣2分，扣完为止。</w:t>
            </w:r>
          </w:p>
        </w:tc>
        <w:tc>
          <w:tcPr>
            <w:tcW w:w="3489" w:type="dxa"/>
            <w:tcBorders>
              <w:top w:val="nil"/>
              <w:left w:val="nil"/>
              <w:bottom w:val="single" w:color="auto" w:sz="4" w:space="0"/>
              <w:right w:val="single" w:color="auto" w:sz="4" w:space="0"/>
            </w:tcBorders>
            <w:noWrap w:val="0"/>
            <w:vAlign w:val="center"/>
          </w:tcPr>
          <w:p w14:paraId="3670DF24">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楼堂馆所投资预算控制率=实际投资金额/批准投资金额×100% 。</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该指标以2</w:t>
            </w:r>
            <w:r>
              <w:rPr>
                <w:rFonts w:hint="eastAsia" w:ascii="仿宋_GB2312" w:hAnsi="宋体" w:eastAsia="仿宋_GB2312" w:cs="宋体"/>
                <w:kern w:val="0"/>
                <w:sz w:val="20"/>
                <w:szCs w:val="20"/>
                <w:lang w:val="en-US" w:eastAsia="zh-CN"/>
              </w:rPr>
              <w:t>021</w:t>
            </w:r>
            <w:r>
              <w:rPr>
                <w:rFonts w:hint="eastAsia" w:ascii="仿宋_GB2312" w:hAnsi="宋体" w:eastAsia="仿宋_GB2312" w:cs="宋体"/>
                <w:kern w:val="0"/>
                <w:sz w:val="20"/>
                <w:szCs w:val="20"/>
              </w:rPr>
              <w:t>年完工的新建楼堂馆所为评价内容。</w:t>
            </w:r>
          </w:p>
        </w:tc>
        <w:tc>
          <w:tcPr>
            <w:tcW w:w="637" w:type="dxa"/>
            <w:tcBorders>
              <w:top w:val="nil"/>
              <w:left w:val="nil"/>
              <w:bottom w:val="single" w:color="auto" w:sz="4" w:space="0"/>
              <w:right w:val="single" w:color="auto" w:sz="4" w:space="0"/>
            </w:tcBorders>
            <w:noWrap w:val="0"/>
            <w:vAlign w:val="center"/>
          </w:tcPr>
          <w:p w14:paraId="70DD2EFA">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5</w:t>
            </w:r>
          </w:p>
        </w:tc>
      </w:tr>
      <w:tr w14:paraId="6277D2F7">
        <w:tblPrEx>
          <w:tblCellMar>
            <w:top w:w="0" w:type="dxa"/>
            <w:left w:w="108" w:type="dxa"/>
            <w:bottom w:w="0" w:type="dxa"/>
            <w:right w:w="108" w:type="dxa"/>
          </w:tblCellMar>
        </w:tblPrEx>
        <w:trPr>
          <w:trHeight w:val="1562"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63EC5C9B">
            <w:pPr>
              <w:widowControl/>
              <w:jc w:val="left"/>
              <w:rPr>
                <w:rFonts w:ascii="仿宋_GB2312" w:hAnsi="宋体" w:eastAsia="仿宋_GB2312" w:cs="宋体"/>
                <w:kern w:val="0"/>
                <w:sz w:val="20"/>
                <w:szCs w:val="20"/>
              </w:rPr>
            </w:pPr>
          </w:p>
        </w:tc>
        <w:tc>
          <w:tcPr>
            <w:tcW w:w="470" w:type="dxa"/>
            <w:vMerge w:val="continue"/>
            <w:tcBorders>
              <w:top w:val="nil"/>
              <w:left w:val="single" w:color="auto" w:sz="4" w:space="0"/>
              <w:bottom w:val="single" w:color="000000" w:sz="4" w:space="0"/>
              <w:right w:val="single" w:color="auto" w:sz="4" w:space="0"/>
            </w:tcBorders>
            <w:noWrap w:val="0"/>
            <w:vAlign w:val="center"/>
          </w:tcPr>
          <w:p w14:paraId="3EB53FF4">
            <w:pPr>
              <w:widowControl/>
              <w:jc w:val="left"/>
              <w:rPr>
                <w:rFonts w:ascii="仿宋_GB2312" w:hAnsi="宋体" w:eastAsia="仿宋_GB2312" w:cs="宋体"/>
                <w:kern w:val="0"/>
                <w:sz w:val="20"/>
                <w:szCs w:val="20"/>
              </w:rPr>
            </w:pPr>
          </w:p>
        </w:tc>
        <w:tc>
          <w:tcPr>
            <w:tcW w:w="623" w:type="dxa"/>
            <w:vMerge w:val="restart"/>
            <w:tcBorders>
              <w:top w:val="nil"/>
              <w:left w:val="single" w:color="auto" w:sz="4" w:space="0"/>
              <w:bottom w:val="single" w:color="000000" w:sz="4" w:space="0"/>
              <w:right w:val="single" w:color="auto" w:sz="4" w:space="0"/>
            </w:tcBorders>
            <w:noWrap w:val="0"/>
            <w:vAlign w:val="center"/>
          </w:tcPr>
          <w:p w14:paraId="02B95670">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预算管理</w:t>
            </w:r>
          </w:p>
        </w:tc>
        <w:tc>
          <w:tcPr>
            <w:tcW w:w="416" w:type="dxa"/>
            <w:vMerge w:val="restart"/>
            <w:tcBorders>
              <w:top w:val="nil"/>
              <w:left w:val="single" w:color="auto" w:sz="4" w:space="0"/>
              <w:bottom w:val="single" w:color="000000" w:sz="4" w:space="0"/>
              <w:right w:val="single" w:color="auto" w:sz="4" w:space="0"/>
            </w:tcBorders>
            <w:noWrap w:val="0"/>
            <w:vAlign w:val="center"/>
          </w:tcPr>
          <w:p w14:paraId="294665BE">
            <w:pPr>
              <w:widowControl/>
              <w:jc w:val="center"/>
              <w:rPr>
                <w:rFonts w:hint="default"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40</w:t>
            </w:r>
          </w:p>
        </w:tc>
        <w:tc>
          <w:tcPr>
            <w:tcW w:w="1015" w:type="dxa"/>
            <w:tcBorders>
              <w:top w:val="nil"/>
              <w:left w:val="nil"/>
              <w:bottom w:val="single" w:color="auto" w:sz="4" w:space="0"/>
              <w:right w:val="single" w:color="auto" w:sz="4" w:space="0"/>
            </w:tcBorders>
            <w:noWrap w:val="0"/>
            <w:vAlign w:val="center"/>
          </w:tcPr>
          <w:p w14:paraId="5A35127F">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公用经费控制率</w:t>
            </w:r>
          </w:p>
        </w:tc>
        <w:tc>
          <w:tcPr>
            <w:tcW w:w="416" w:type="dxa"/>
            <w:tcBorders>
              <w:top w:val="nil"/>
              <w:left w:val="nil"/>
              <w:bottom w:val="single" w:color="auto" w:sz="4" w:space="0"/>
              <w:right w:val="single" w:color="auto" w:sz="4" w:space="0"/>
            </w:tcBorders>
            <w:noWrap w:val="0"/>
            <w:vAlign w:val="center"/>
          </w:tcPr>
          <w:p w14:paraId="6664EAD1">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8</w:t>
            </w:r>
          </w:p>
        </w:tc>
        <w:tc>
          <w:tcPr>
            <w:tcW w:w="3016" w:type="dxa"/>
            <w:tcBorders>
              <w:top w:val="nil"/>
              <w:left w:val="nil"/>
              <w:bottom w:val="single" w:color="auto" w:sz="4" w:space="0"/>
              <w:right w:val="single" w:color="auto" w:sz="4" w:space="0"/>
            </w:tcBorders>
            <w:noWrap w:val="0"/>
            <w:vAlign w:val="center"/>
          </w:tcPr>
          <w:p w14:paraId="7250A024">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100%以下（含）计满分，每超出1%扣1分，扣完为止。</w:t>
            </w:r>
          </w:p>
        </w:tc>
        <w:tc>
          <w:tcPr>
            <w:tcW w:w="3489" w:type="dxa"/>
            <w:tcBorders>
              <w:top w:val="nil"/>
              <w:left w:val="nil"/>
              <w:bottom w:val="single" w:color="auto" w:sz="4" w:space="0"/>
              <w:right w:val="single" w:color="auto" w:sz="4" w:space="0"/>
            </w:tcBorders>
            <w:noWrap w:val="0"/>
            <w:vAlign w:val="center"/>
          </w:tcPr>
          <w:p w14:paraId="7277A71B">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公用经费控制率=（实际支出公用经费总额/预算安排公用经费总额）×100%。</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公用经费支出是指部门基本支出中的一般商品和服务支出。</w:t>
            </w:r>
          </w:p>
        </w:tc>
        <w:tc>
          <w:tcPr>
            <w:tcW w:w="637" w:type="dxa"/>
            <w:tcBorders>
              <w:top w:val="nil"/>
              <w:left w:val="nil"/>
              <w:bottom w:val="single" w:color="auto" w:sz="4" w:space="0"/>
              <w:right w:val="single" w:color="auto" w:sz="4" w:space="0"/>
            </w:tcBorders>
            <w:noWrap w:val="0"/>
            <w:vAlign w:val="center"/>
          </w:tcPr>
          <w:p w14:paraId="55A12646">
            <w:pPr>
              <w:widowControl/>
              <w:jc w:val="center"/>
              <w:rPr>
                <w:rFonts w:ascii="宋体" w:hAnsi="宋体" w:cs="宋体"/>
                <w:kern w:val="0"/>
                <w:sz w:val="24"/>
              </w:rPr>
            </w:pPr>
            <w:r>
              <w:rPr>
                <w:rFonts w:hint="eastAsia" w:ascii="宋体" w:hAnsi="宋体" w:cs="宋体"/>
                <w:kern w:val="0"/>
                <w:sz w:val="24"/>
                <w:lang w:val="en-US" w:eastAsia="zh-CN"/>
              </w:rPr>
              <w:t>0</w:t>
            </w:r>
          </w:p>
        </w:tc>
      </w:tr>
      <w:tr w14:paraId="25619442">
        <w:tblPrEx>
          <w:tblCellMar>
            <w:top w:w="0" w:type="dxa"/>
            <w:left w:w="108" w:type="dxa"/>
            <w:bottom w:w="0" w:type="dxa"/>
            <w:right w:w="108" w:type="dxa"/>
          </w:tblCellMar>
        </w:tblPrEx>
        <w:trPr>
          <w:trHeight w:val="107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39DD9565">
            <w:pPr>
              <w:widowControl/>
              <w:jc w:val="left"/>
              <w:rPr>
                <w:rFonts w:ascii="仿宋_GB2312" w:hAnsi="宋体" w:eastAsia="仿宋_GB2312" w:cs="宋体"/>
                <w:kern w:val="0"/>
                <w:sz w:val="20"/>
                <w:szCs w:val="20"/>
              </w:rPr>
            </w:pPr>
          </w:p>
        </w:tc>
        <w:tc>
          <w:tcPr>
            <w:tcW w:w="470" w:type="dxa"/>
            <w:vMerge w:val="continue"/>
            <w:tcBorders>
              <w:top w:val="nil"/>
              <w:left w:val="single" w:color="auto" w:sz="4" w:space="0"/>
              <w:bottom w:val="single" w:color="000000" w:sz="4" w:space="0"/>
              <w:right w:val="single" w:color="auto" w:sz="4" w:space="0"/>
            </w:tcBorders>
            <w:noWrap w:val="0"/>
            <w:vAlign w:val="center"/>
          </w:tcPr>
          <w:p w14:paraId="77AEDC9B">
            <w:pPr>
              <w:widowControl/>
              <w:jc w:val="left"/>
              <w:rPr>
                <w:rFonts w:ascii="仿宋_GB2312" w:hAnsi="宋体" w:eastAsia="仿宋_GB2312" w:cs="宋体"/>
                <w:kern w:val="0"/>
                <w:sz w:val="20"/>
                <w:szCs w:val="20"/>
              </w:rPr>
            </w:pPr>
          </w:p>
        </w:tc>
        <w:tc>
          <w:tcPr>
            <w:tcW w:w="623" w:type="dxa"/>
            <w:vMerge w:val="continue"/>
            <w:tcBorders>
              <w:top w:val="nil"/>
              <w:left w:val="single" w:color="auto" w:sz="4" w:space="0"/>
              <w:bottom w:val="single" w:color="000000" w:sz="4" w:space="0"/>
              <w:right w:val="single" w:color="auto" w:sz="4" w:space="0"/>
            </w:tcBorders>
            <w:noWrap w:val="0"/>
            <w:vAlign w:val="center"/>
          </w:tcPr>
          <w:p w14:paraId="12B145E8">
            <w:pPr>
              <w:widowControl/>
              <w:jc w:val="left"/>
              <w:rPr>
                <w:rFonts w:ascii="仿宋_GB2312" w:hAnsi="宋体" w:eastAsia="仿宋_GB2312" w:cs="宋体"/>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14:paraId="25BC93A2">
            <w:pPr>
              <w:widowControl/>
              <w:jc w:val="left"/>
              <w:rPr>
                <w:rFonts w:ascii="仿宋_GB2312" w:hAnsi="宋体" w:eastAsia="仿宋_GB2312" w:cs="宋体"/>
                <w:kern w:val="0"/>
                <w:sz w:val="20"/>
                <w:szCs w:val="20"/>
              </w:rPr>
            </w:pPr>
          </w:p>
        </w:tc>
        <w:tc>
          <w:tcPr>
            <w:tcW w:w="1015" w:type="dxa"/>
            <w:tcBorders>
              <w:top w:val="nil"/>
              <w:left w:val="nil"/>
              <w:bottom w:val="single" w:color="auto" w:sz="4" w:space="0"/>
              <w:right w:val="single" w:color="auto" w:sz="4" w:space="0"/>
            </w:tcBorders>
            <w:noWrap w:val="0"/>
            <w:vAlign w:val="center"/>
          </w:tcPr>
          <w:p w14:paraId="5B7160E7">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“三公经费”控制率</w:t>
            </w:r>
          </w:p>
        </w:tc>
        <w:tc>
          <w:tcPr>
            <w:tcW w:w="416" w:type="dxa"/>
            <w:tcBorders>
              <w:top w:val="nil"/>
              <w:left w:val="nil"/>
              <w:bottom w:val="single" w:color="auto" w:sz="4" w:space="0"/>
              <w:right w:val="single" w:color="auto" w:sz="4" w:space="0"/>
            </w:tcBorders>
            <w:noWrap w:val="0"/>
            <w:vAlign w:val="center"/>
          </w:tcPr>
          <w:p w14:paraId="44B478D0">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val="en-US" w:eastAsia="zh-CN"/>
              </w:rPr>
              <w:t>7</w:t>
            </w:r>
          </w:p>
        </w:tc>
        <w:tc>
          <w:tcPr>
            <w:tcW w:w="3016" w:type="dxa"/>
            <w:tcBorders>
              <w:top w:val="nil"/>
              <w:left w:val="nil"/>
              <w:bottom w:val="single" w:color="auto" w:sz="4" w:space="0"/>
              <w:right w:val="single" w:color="auto" w:sz="4" w:space="0"/>
            </w:tcBorders>
            <w:noWrap w:val="0"/>
            <w:vAlign w:val="center"/>
          </w:tcPr>
          <w:p w14:paraId="31B06423">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100%以下（含）计满分，每超出1%扣1分，扣完为止。</w:t>
            </w:r>
          </w:p>
        </w:tc>
        <w:tc>
          <w:tcPr>
            <w:tcW w:w="3489" w:type="dxa"/>
            <w:tcBorders>
              <w:top w:val="nil"/>
              <w:left w:val="nil"/>
              <w:bottom w:val="single" w:color="auto" w:sz="4" w:space="0"/>
              <w:right w:val="single" w:color="auto" w:sz="4" w:space="0"/>
            </w:tcBorders>
            <w:noWrap w:val="0"/>
            <w:vAlign w:val="center"/>
          </w:tcPr>
          <w:p w14:paraId="5FFB8259">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“三公经费”控制率-（“三公经费”实际支出数/“三公经费”预算安排数）×100%。</w:t>
            </w:r>
          </w:p>
        </w:tc>
        <w:tc>
          <w:tcPr>
            <w:tcW w:w="637" w:type="dxa"/>
            <w:tcBorders>
              <w:top w:val="nil"/>
              <w:left w:val="nil"/>
              <w:bottom w:val="single" w:color="auto" w:sz="4" w:space="0"/>
              <w:right w:val="single" w:color="auto" w:sz="4" w:space="0"/>
            </w:tcBorders>
            <w:noWrap w:val="0"/>
            <w:vAlign w:val="center"/>
          </w:tcPr>
          <w:p w14:paraId="01680160">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7</w:t>
            </w:r>
          </w:p>
        </w:tc>
      </w:tr>
      <w:tr w14:paraId="19E6EAA2">
        <w:tblPrEx>
          <w:tblCellMar>
            <w:top w:w="0" w:type="dxa"/>
            <w:left w:w="108" w:type="dxa"/>
            <w:bottom w:w="0" w:type="dxa"/>
            <w:right w:w="108" w:type="dxa"/>
          </w:tblCellMar>
        </w:tblPrEx>
        <w:trPr>
          <w:trHeight w:val="918" w:hRule="atLeast"/>
          <w:jc w:val="center"/>
        </w:trPr>
        <w:tc>
          <w:tcPr>
            <w:tcW w:w="518" w:type="dxa"/>
            <w:vMerge w:val="continue"/>
            <w:tcBorders>
              <w:top w:val="nil"/>
              <w:left w:val="single" w:color="auto" w:sz="4" w:space="0"/>
              <w:bottom w:val="single" w:color="auto" w:sz="4" w:space="0"/>
              <w:right w:val="single" w:color="auto" w:sz="4" w:space="0"/>
            </w:tcBorders>
            <w:noWrap w:val="0"/>
            <w:vAlign w:val="center"/>
          </w:tcPr>
          <w:p w14:paraId="3C024CF8">
            <w:pPr>
              <w:widowControl/>
              <w:jc w:val="left"/>
              <w:rPr>
                <w:rFonts w:ascii="仿宋_GB2312" w:hAnsi="宋体" w:eastAsia="仿宋_GB2312" w:cs="宋体"/>
                <w:kern w:val="0"/>
                <w:sz w:val="20"/>
                <w:szCs w:val="20"/>
              </w:rPr>
            </w:pPr>
          </w:p>
        </w:tc>
        <w:tc>
          <w:tcPr>
            <w:tcW w:w="470" w:type="dxa"/>
            <w:vMerge w:val="continue"/>
            <w:tcBorders>
              <w:top w:val="nil"/>
              <w:left w:val="single" w:color="auto" w:sz="4" w:space="0"/>
              <w:bottom w:val="single" w:color="auto" w:sz="4" w:space="0"/>
              <w:right w:val="single" w:color="auto" w:sz="4" w:space="0"/>
            </w:tcBorders>
            <w:noWrap w:val="0"/>
            <w:vAlign w:val="center"/>
          </w:tcPr>
          <w:p w14:paraId="424F954D">
            <w:pPr>
              <w:widowControl/>
              <w:jc w:val="left"/>
              <w:rPr>
                <w:rFonts w:ascii="仿宋_GB2312" w:hAnsi="宋体" w:eastAsia="仿宋_GB2312" w:cs="宋体"/>
                <w:kern w:val="0"/>
                <w:sz w:val="20"/>
                <w:szCs w:val="20"/>
              </w:rPr>
            </w:pPr>
          </w:p>
        </w:tc>
        <w:tc>
          <w:tcPr>
            <w:tcW w:w="623" w:type="dxa"/>
            <w:vMerge w:val="continue"/>
            <w:tcBorders>
              <w:top w:val="nil"/>
              <w:left w:val="single" w:color="auto" w:sz="4" w:space="0"/>
              <w:bottom w:val="single" w:color="000000" w:sz="4" w:space="0"/>
              <w:right w:val="single" w:color="auto" w:sz="4" w:space="0"/>
            </w:tcBorders>
            <w:noWrap w:val="0"/>
            <w:vAlign w:val="center"/>
          </w:tcPr>
          <w:p w14:paraId="02CD4ECF">
            <w:pPr>
              <w:widowControl/>
              <w:jc w:val="left"/>
              <w:rPr>
                <w:rFonts w:ascii="仿宋_GB2312" w:hAnsi="宋体" w:eastAsia="仿宋_GB2312" w:cs="宋体"/>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14:paraId="603A7757">
            <w:pPr>
              <w:widowControl/>
              <w:jc w:val="left"/>
              <w:rPr>
                <w:rFonts w:ascii="仿宋_GB2312" w:hAnsi="宋体" w:eastAsia="仿宋_GB2312" w:cs="宋体"/>
                <w:kern w:val="0"/>
                <w:sz w:val="20"/>
                <w:szCs w:val="20"/>
              </w:rPr>
            </w:pPr>
          </w:p>
        </w:tc>
        <w:tc>
          <w:tcPr>
            <w:tcW w:w="1015" w:type="dxa"/>
            <w:tcBorders>
              <w:top w:val="nil"/>
              <w:left w:val="nil"/>
              <w:bottom w:val="single" w:color="auto" w:sz="4" w:space="0"/>
              <w:right w:val="single" w:color="auto" w:sz="4" w:space="0"/>
            </w:tcBorders>
            <w:noWrap w:val="0"/>
            <w:vAlign w:val="center"/>
          </w:tcPr>
          <w:p w14:paraId="2BC5BDEA">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政府采购执行率</w:t>
            </w:r>
          </w:p>
        </w:tc>
        <w:tc>
          <w:tcPr>
            <w:tcW w:w="416" w:type="dxa"/>
            <w:tcBorders>
              <w:top w:val="nil"/>
              <w:left w:val="nil"/>
              <w:bottom w:val="single" w:color="auto" w:sz="4" w:space="0"/>
              <w:right w:val="single" w:color="auto" w:sz="4" w:space="0"/>
            </w:tcBorders>
            <w:noWrap w:val="0"/>
            <w:vAlign w:val="center"/>
          </w:tcPr>
          <w:p w14:paraId="48EBEFB5">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6</w:t>
            </w:r>
          </w:p>
        </w:tc>
        <w:tc>
          <w:tcPr>
            <w:tcW w:w="3016" w:type="dxa"/>
            <w:tcBorders>
              <w:top w:val="nil"/>
              <w:left w:val="nil"/>
              <w:bottom w:val="single" w:color="auto" w:sz="4" w:space="0"/>
              <w:right w:val="single" w:color="auto" w:sz="4" w:space="0"/>
            </w:tcBorders>
            <w:noWrap w:val="0"/>
            <w:vAlign w:val="center"/>
          </w:tcPr>
          <w:p w14:paraId="2880610A">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100%计满分，每超过（降低）5%扣2分。扣完为止。</w:t>
            </w:r>
          </w:p>
        </w:tc>
        <w:tc>
          <w:tcPr>
            <w:tcW w:w="3489" w:type="dxa"/>
            <w:tcBorders>
              <w:top w:val="nil"/>
              <w:left w:val="nil"/>
              <w:bottom w:val="single" w:color="auto" w:sz="4" w:space="0"/>
              <w:right w:val="single" w:color="auto" w:sz="4" w:space="0"/>
            </w:tcBorders>
            <w:noWrap w:val="0"/>
            <w:vAlign w:val="center"/>
          </w:tcPr>
          <w:p w14:paraId="451698E4">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政府采购执行率=（实际政府采购金额/政府采购预算数）×100%</w:t>
            </w:r>
          </w:p>
        </w:tc>
        <w:tc>
          <w:tcPr>
            <w:tcW w:w="637" w:type="dxa"/>
            <w:tcBorders>
              <w:top w:val="nil"/>
              <w:left w:val="nil"/>
              <w:bottom w:val="single" w:color="auto" w:sz="4" w:space="0"/>
              <w:right w:val="single" w:color="auto" w:sz="4" w:space="0"/>
            </w:tcBorders>
            <w:noWrap w:val="0"/>
            <w:vAlign w:val="center"/>
          </w:tcPr>
          <w:p w14:paraId="438DE20D">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2</w:t>
            </w:r>
          </w:p>
        </w:tc>
      </w:tr>
      <w:tr w14:paraId="0536C880">
        <w:tblPrEx>
          <w:tblCellMar>
            <w:top w:w="0" w:type="dxa"/>
            <w:left w:w="108" w:type="dxa"/>
            <w:bottom w:w="0" w:type="dxa"/>
            <w:right w:w="108" w:type="dxa"/>
          </w:tblCellMar>
        </w:tblPrEx>
        <w:trPr>
          <w:jc w:val="center"/>
        </w:trPr>
        <w:tc>
          <w:tcPr>
            <w:tcW w:w="518" w:type="dxa"/>
            <w:vMerge w:val="restart"/>
            <w:tcBorders>
              <w:top w:val="single" w:color="auto" w:sz="4" w:space="0"/>
              <w:left w:val="single" w:color="auto" w:sz="4" w:space="0"/>
              <w:bottom w:val="single" w:color="000000" w:sz="4" w:space="0"/>
              <w:right w:val="single" w:color="auto" w:sz="4" w:space="0"/>
            </w:tcBorders>
            <w:noWrap w:val="0"/>
            <w:vAlign w:val="center"/>
          </w:tcPr>
          <w:p w14:paraId="4D62D876">
            <w:pPr>
              <w:jc w:val="left"/>
              <w:rPr>
                <w:rFonts w:ascii="仿宋_GB2312" w:hAnsi="宋体" w:eastAsia="仿宋_GB2312" w:cs="宋体"/>
                <w:kern w:val="0"/>
                <w:sz w:val="20"/>
                <w:szCs w:val="20"/>
              </w:rPr>
            </w:pPr>
            <w:r>
              <w:rPr>
                <w:rFonts w:hint="eastAsia" w:ascii="仿宋_GB2312" w:hAnsi="宋体" w:eastAsia="仿宋_GB2312" w:cs="宋体"/>
                <w:kern w:val="0"/>
                <w:sz w:val="20"/>
                <w:szCs w:val="20"/>
              </w:rPr>
              <w:t>过                                                                                                                                       程</w:t>
            </w:r>
          </w:p>
        </w:tc>
        <w:tc>
          <w:tcPr>
            <w:tcW w:w="470" w:type="dxa"/>
            <w:vMerge w:val="restart"/>
            <w:tcBorders>
              <w:top w:val="single" w:color="auto" w:sz="4" w:space="0"/>
              <w:left w:val="single" w:color="auto" w:sz="4" w:space="0"/>
              <w:bottom w:val="single" w:color="000000" w:sz="4" w:space="0"/>
              <w:right w:val="single" w:color="auto" w:sz="4" w:space="0"/>
            </w:tcBorders>
            <w:noWrap w:val="0"/>
            <w:vAlign w:val="center"/>
          </w:tcPr>
          <w:p w14:paraId="7C431FF8">
            <w:pPr>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6</w:t>
            </w:r>
            <w:r>
              <w:rPr>
                <w:rFonts w:hint="eastAsia" w:ascii="仿宋_GB2312" w:hAnsi="宋体" w:eastAsia="仿宋_GB2312" w:cs="宋体"/>
                <w:kern w:val="0"/>
                <w:sz w:val="20"/>
                <w:szCs w:val="20"/>
                <w:lang w:val="en-US" w:eastAsia="zh-CN"/>
              </w:rPr>
              <w:t>0</w:t>
            </w:r>
          </w:p>
        </w:tc>
        <w:tc>
          <w:tcPr>
            <w:tcW w:w="623" w:type="dxa"/>
            <w:vMerge w:val="restart"/>
            <w:tcBorders>
              <w:top w:val="nil"/>
              <w:left w:val="nil"/>
              <w:bottom w:val="single" w:color="auto" w:sz="4" w:space="0"/>
              <w:right w:val="single" w:color="auto" w:sz="4" w:space="0"/>
            </w:tcBorders>
            <w:noWrap w:val="0"/>
            <w:vAlign w:val="center"/>
          </w:tcPr>
          <w:p w14:paraId="7BD7C6F2">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预算管理</w:t>
            </w:r>
          </w:p>
        </w:tc>
        <w:tc>
          <w:tcPr>
            <w:tcW w:w="416" w:type="dxa"/>
            <w:vMerge w:val="continue"/>
            <w:tcBorders>
              <w:top w:val="nil"/>
              <w:left w:val="single" w:color="auto" w:sz="4" w:space="0"/>
              <w:bottom w:val="single" w:color="000000" w:sz="4" w:space="0"/>
              <w:right w:val="single" w:color="auto" w:sz="4" w:space="0"/>
            </w:tcBorders>
            <w:noWrap w:val="0"/>
            <w:vAlign w:val="center"/>
          </w:tcPr>
          <w:p w14:paraId="4B388023">
            <w:pPr>
              <w:widowControl/>
              <w:jc w:val="left"/>
              <w:rPr>
                <w:rFonts w:ascii="仿宋_GB2312" w:hAnsi="宋体" w:eastAsia="仿宋_GB2312" w:cs="宋体"/>
                <w:kern w:val="0"/>
                <w:sz w:val="20"/>
                <w:szCs w:val="20"/>
              </w:rPr>
            </w:pPr>
          </w:p>
        </w:tc>
        <w:tc>
          <w:tcPr>
            <w:tcW w:w="1015" w:type="dxa"/>
            <w:tcBorders>
              <w:top w:val="nil"/>
              <w:left w:val="nil"/>
              <w:bottom w:val="single" w:color="auto" w:sz="4" w:space="0"/>
              <w:right w:val="single" w:color="auto" w:sz="4" w:space="0"/>
            </w:tcBorders>
            <w:noWrap w:val="0"/>
            <w:vAlign w:val="center"/>
          </w:tcPr>
          <w:p w14:paraId="273DB352">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管理制度健全性</w:t>
            </w:r>
          </w:p>
        </w:tc>
        <w:tc>
          <w:tcPr>
            <w:tcW w:w="416" w:type="dxa"/>
            <w:tcBorders>
              <w:top w:val="nil"/>
              <w:left w:val="nil"/>
              <w:bottom w:val="single" w:color="auto" w:sz="4" w:space="0"/>
              <w:right w:val="single" w:color="auto" w:sz="4" w:space="0"/>
            </w:tcBorders>
            <w:noWrap w:val="0"/>
            <w:vAlign w:val="center"/>
          </w:tcPr>
          <w:p w14:paraId="6B230B37">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8</w:t>
            </w:r>
          </w:p>
        </w:tc>
        <w:tc>
          <w:tcPr>
            <w:tcW w:w="3016" w:type="dxa"/>
            <w:tcBorders>
              <w:top w:val="nil"/>
              <w:left w:val="nil"/>
              <w:bottom w:val="single" w:color="auto" w:sz="4" w:space="0"/>
              <w:right w:val="single" w:color="auto" w:sz="4" w:space="0"/>
            </w:tcBorders>
            <w:noWrap w:val="0"/>
            <w:vAlign w:val="center"/>
          </w:tcPr>
          <w:p w14:paraId="1DAEC026">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①有内部财务管理制度、会计核算制度等管理制度，2分；</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②有本部门厉行节约制度,2分；</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③相关管理制度合法、合规、完整，2分；④相关管理制度得到有效执行，2分。</w:t>
            </w:r>
          </w:p>
        </w:tc>
        <w:tc>
          <w:tcPr>
            <w:tcW w:w="3489" w:type="dxa"/>
            <w:tcBorders>
              <w:top w:val="nil"/>
              <w:left w:val="nil"/>
              <w:bottom w:val="single" w:color="auto" w:sz="4" w:space="0"/>
              <w:right w:val="single" w:color="auto" w:sz="4" w:space="0"/>
            </w:tcBorders>
            <w:noWrap w:val="0"/>
            <w:vAlign w:val="center"/>
          </w:tcPr>
          <w:p w14:paraId="33EB9445">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637" w:type="dxa"/>
            <w:tcBorders>
              <w:top w:val="nil"/>
              <w:left w:val="nil"/>
              <w:bottom w:val="single" w:color="auto" w:sz="4" w:space="0"/>
              <w:right w:val="single" w:color="auto" w:sz="4" w:space="0"/>
            </w:tcBorders>
            <w:noWrap w:val="0"/>
            <w:vAlign w:val="center"/>
          </w:tcPr>
          <w:p w14:paraId="136415E1">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8</w:t>
            </w:r>
          </w:p>
        </w:tc>
      </w:tr>
      <w:tr w14:paraId="3FFBAD25">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47DB5A37">
            <w:pPr>
              <w:widowControl/>
              <w:jc w:val="left"/>
              <w:rPr>
                <w:rFonts w:ascii="仿宋_GB2312" w:hAnsi="宋体" w:eastAsia="仿宋_GB2312" w:cs="宋体"/>
                <w:kern w:val="0"/>
                <w:sz w:val="20"/>
                <w:szCs w:val="20"/>
              </w:rPr>
            </w:pPr>
          </w:p>
        </w:tc>
        <w:tc>
          <w:tcPr>
            <w:tcW w:w="470" w:type="dxa"/>
            <w:vMerge w:val="continue"/>
            <w:tcBorders>
              <w:top w:val="nil"/>
              <w:left w:val="single" w:color="auto" w:sz="4" w:space="0"/>
              <w:bottom w:val="single" w:color="000000" w:sz="4" w:space="0"/>
              <w:right w:val="single" w:color="auto" w:sz="4" w:space="0"/>
            </w:tcBorders>
            <w:noWrap w:val="0"/>
            <w:vAlign w:val="center"/>
          </w:tcPr>
          <w:p w14:paraId="10CD233D">
            <w:pPr>
              <w:widowControl/>
              <w:jc w:val="left"/>
              <w:rPr>
                <w:rFonts w:ascii="仿宋_GB2312" w:hAnsi="宋体" w:eastAsia="仿宋_GB2312" w:cs="宋体"/>
                <w:kern w:val="0"/>
                <w:sz w:val="20"/>
                <w:szCs w:val="20"/>
              </w:rPr>
            </w:pPr>
          </w:p>
        </w:tc>
        <w:tc>
          <w:tcPr>
            <w:tcW w:w="623" w:type="dxa"/>
            <w:vMerge w:val="continue"/>
            <w:tcBorders>
              <w:top w:val="nil"/>
              <w:left w:val="nil"/>
              <w:bottom w:val="single" w:color="auto" w:sz="4" w:space="0"/>
              <w:right w:val="single" w:color="auto" w:sz="4" w:space="0"/>
            </w:tcBorders>
            <w:noWrap w:val="0"/>
            <w:vAlign w:val="center"/>
          </w:tcPr>
          <w:p w14:paraId="57EB73AB">
            <w:pPr>
              <w:widowControl/>
              <w:jc w:val="left"/>
              <w:rPr>
                <w:rFonts w:ascii="仿宋_GB2312" w:hAnsi="宋体" w:eastAsia="仿宋_GB2312" w:cs="宋体"/>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14:paraId="586EBAE8">
            <w:pPr>
              <w:widowControl/>
              <w:jc w:val="left"/>
              <w:rPr>
                <w:rFonts w:ascii="仿宋_GB2312" w:hAnsi="宋体" w:eastAsia="仿宋_GB2312" w:cs="宋体"/>
                <w:kern w:val="0"/>
                <w:sz w:val="20"/>
                <w:szCs w:val="20"/>
              </w:rPr>
            </w:pPr>
          </w:p>
        </w:tc>
        <w:tc>
          <w:tcPr>
            <w:tcW w:w="1015" w:type="dxa"/>
            <w:tcBorders>
              <w:top w:val="nil"/>
              <w:left w:val="nil"/>
              <w:bottom w:val="single" w:color="auto" w:sz="4" w:space="0"/>
              <w:right w:val="single" w:color="auto" w:sz="4" w:space="0"/>
            </w:tcBorders>
            <w:noWrap w:val="0"/>
            <w:vAlign w:val="center"/>
          </w:tcPr>
          <w:p w14:paraId="169706F1">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资金使用合规性</w:t>
            </w:r>
          </w:p>
        </w:tc>
        <w:tc>
          <w:tcPr>
            <w:tcW w:w="416" w:type="dxa"/>
            <w:tcBorders>
              <w:top w:val="nil"/>
              <w:left w:val="nil"/>
              <w:bottom w:val="single" w:color="auto" w:sz="4" w:space="0"/>
              <w:right w:val="single" w:color="auto" w:sz="4" w:space="0"/>
            </w:tcBorders>
            <w:noWrap w:val="0"/>
            <w:vAlign w:val="center"/>
          </w:tcPr>
          <w:p w14:paraId="2D73BEBC">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6</w:t>
            </w:r>
          </w:p>
        </w:tc>
        <w:tc>
          <w:tcPr>
            <w:tcW w:w="3016" w:type="dxa"/>
            <w:tcBorders>
              <w:top w:val="nil"/>
              <w:left w:val="nil"/>
              <w:bottom w:val="single" w:color="auto" w:sz="4" w:space="0"/>
              <w:right w:val="single" w:color="auto" w:sz="4" w:space="0"/>
            </w:tcBorders>
            <w:noWrap w:val="0"/>
            <w:vAlign w:val="center"/>
          </w:tcPr>
          <w:p w14:paraId="4861FE40">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以上情况每出现一例不符合要求的扣1分，扣完为止。</w:t>
            </w:r>
          </w:p>
        </w:tc>
        <w:tc>
          <w:tcPr>
            <w:tcW w:w="3489" w:type="dxa"/>
            <w:tcBorders>
              <w:top w:val="nil"/>
              <w:left w:val="nil"/>
              <w:bottom w:val="single" w:color="auto" w:sz="4" w:space="0"/>
              <w:right w:val="single" w:color="auto" w:sz="4" w:space="0"/>
            </w:tcBorders>
            <w:noWrap w:val="0"/>
            <w:vAlign w:val="center"/>
          </w:tcPr>
          <w:p w14:paraId="4B6B156E">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637" w:type="dxa"/>
            <w:tcBorders>
              <w:top w:val="nil"/>
              <w:left w:val="nil"/>
              <w:bottom w:val="single" w:color="auto" w:sz="4" w:space="0"/>
              <w:right w:val="single" w:color="auto" w:sz="4" w:space="0"/>
            </w:tcBorders>
            <w:noWrap w:val="0"/>
            <w:vAlign w:val="center"/>
          </w:tcPr>
          <w:p w14:paraId="511F2DFE">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6</w:t>
            </w:r>
          </w:p>
        </w:tc>
      </w:tr>
      <w:tr w14:paraId="6D108ACE">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142A4B26">
            <w:pPr>
              <w:widowControl/>
              <w:jc w:val="left"/>
              <w:rPr>
                <w:rFonts w:ascii="仿宋_GB2312" w:hAnsi="宋体" w:eastAsia="仿宋_GB2312" w:cs="宋体"/>
                <w:kern w:val="0"/>
                <w:sz w:val="20"/>
                <w:szCs w:val="20"/>
              </w:rPr>
            </w:pPr>
          </w:p>
        </w:tc>
        <w:tc>
          <w:tcPr>
            <w:tcW w:w="470" w:type="dxa"/>
            <w:vMerge w:val="continue"/>
            <w:tcBorders>
              <w:top w:val="nil"/>
              <w:left w:val="single" w:color="auto" w:sz="4" w:space="0"/>
              <w:bottom w:val="single" w:color="000000" w:sz="4" w:space="0"/>
              <w:right w:val="single" w:color="auto" w:sz="4" w:space="0"/>
            </w:tcBorders>
            <w:noWrap w:val="0"/>
            <w:vAlign w:val="center"/>
          </w:tcPr>
          <w:p w14:paraId="290272B6">
            <w:pPr>
              <w:widowControl/>
              <w:jc w:val="left"/>
              <w:rPr>
                <w:rFonts w:ascii="仿宋_GB2312" w:hAnsi="宋体" w:eastAsia="仿宋_GB2312" w:cs="宋体"/>
                <w:kern w:val="0"/>
                <w:sz w:val="20"/>
                <w:szCs w:val="20"/>
              </w:rPr>
            </w:pPr>
          </w:p>
        </w:tc>
        <w:tc>
          <w:tcPr>
            <w:tcW w:w="623" w:type="dxa"/>
            <w:vMerge w:val="continue"/>
            <w:tcBorders>
              <w:top w:val="nil"/>
              <w:left w:val="nil"/>
              <w:bottom w:val="single" w:color="auto" w:sz="4" w:space="0"/>
              <w:right w:val="single" w:color="auto" w:sz="4" w:space="0"/>
            </w:tcBorders>
            <w:noWrap w:val="0"/>
            <w:vAlign w:val="center"/>
          </w:tcPr>
          <w:p w14:paraId="670CF9B3">
            <w:pPr>
              <w:widowControl/>
              <w:jc w:val="left"/>
              <w:rPr>
                <w:rFonts w:ascii="仿宋_GB2312" w:hAnsi="宋体" w:eastAsia="仿宋_GB2312" w:cs="宋体"/>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14:paraId="1702D846">
            <w:pPr>
              <w:widowControl/>
              <w:jc w:val="left"/>
              <w:rPr>
                <w:rFonts w:ascii="仿宋_GB2312" w:hAnsi="宋体" w:eastAsia="仿宋_GB2312" w:cs="宋体"/>
                <w:kern w:val="0"/>
                <w:sz w:val="20"/>
                <w:szCs w:val="20"/>
              </w:rPr>
            </w:pPr>
          </w:p>
        </w:tc>
        <w:tc>
          <w:tcPr>
            <w:tcW w:w="1015" w:type="dxa"/>
            <w:tcBorders>
              <w:top w:val="nil"/>
              <w:left w:val="nil"/>
              <w:bottom w:val="single" w:color="auto" w:sz="4" w:space="0"/>
              <w:right w:val="single" w:color="auto" w:sz="4" w:space="0"/>
            </w:tcBorders>
            <w:noWrap w:val="0"/>
            <w:vAlign w:val="center"/>
          </w:tcPr>
          <w:p w14:paraId="65E0BC25">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预决算信息公开性</w:t>
            </w:r>
          </w:p>
        </w:tc>
        <w:tc>
          <w:tcPr>
            <w:tcW w:w="416" w:type="dxa"/>
            <w:tcBorders>
              <w:top w:val="nil"/>
              <w:left w:val="nil"/>
              <w:bottom w:val="single" w:color="auto" w:sz="4" w:space="0"/>
              <w:right w:val="single" w:color="auto" w:sz="4" w:space="0"/>
            </w:tcBorders>
            <w:noWrap w:val="0"/>
            <w:vAlign w:val="center"/>
          </w:tcPr>
          <w:p w14:paraId="5797F95C">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w:t>
            </w:r>
          </w:p>
        </w:tc>
        <w:tc>
          <w:tcPr>
            <w:tcW w:w="3016" w:type="dxa"/>
            <w:tcBorders>
              <w:top w:val="nil"/>
              <w:left w:val="nil"/>
              <w:bottom w:val="single" w:color="auto" w:sz="4" w:space="0"/>
              <w:right w:val="single" w:color="auto" w:sz="4" w:space="0"/>
            </w:tcBorders>
            <w:noWrap w:val="0"/>
            <w:vAlign w:val="center"/>
          </w:tcPr>
          <w:p w14:paraId="79A39866">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xml:space="preserve">①按规定内容公开预决算信息，1分；②按规定时限公开预决算信息，1分；③基础数据信息和会计信息资料真实，1分；④基础数据信息和会计信息资料完整，1分；⑤基础数据信息和汇集信息资料准确，1分。  </w:t>
            </w:r>
          </w:p>
        </w:tc>
        <w:tc>
          <w:tcPr>
            <w:tcW w:w="3489" w:type="dxa"/>
            <w:tcBorders>
              <w:top w:val="nil"/>
              <w:left w:val="nil"/>
              <w:bottom w:val="single" w:color="auto" w:sz="4" w:space="0"/>
              <w:right w:val="single" w:color="auto" w:sz="4" w:space="0"/>
            </w:tcBorders>
            <w:noWrap w:val="0"/>
            <w:vAlign w:val="center"/>
          </w:tcPr>
          <w:p w14:paraId="4F5DF334">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预决算信息是指与部门预算、执行、决算、监督、绩效等管理相关的信息。</w:t>
            </w:r>
          </w:p>
        </w:tc>
        <w:tc>
          <w:tcPr>
            <w:tcW w:w="637" w:type="dxa"/>
            <w:tcBorders>
              <w:top w:val="nil"/>
              <w:left w:val="nil"/>
              <w:bottom w:val="single" w:color="auto" w:sz="4" w:space="0"/>
              <w:right w:val="single" w:color="auto" w:sz="4" w:space="0"/>
            </w:tcBorders>
            <w:noWrap w:val="0"/>
            <w:vAlign w:val="center"/>
          </w:tcPr>
          <w:p w14:paraId="6C40EDDF">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5</w:t>
            </w:r>
          </w:p>
        </w:tc>
      </w:tr>
      <w:tr w14:paraId="00BFD931">
        <w:tblPrEx>
          <w:tblCellMar>
            <w:top w:w="0" w:type="dxa"/>
            <w:left w:w="108" w:type="dxa"/>
            <w:bottom w:w="0" w:type="dxa"/>
            <w:right w:w="108" w:type="dxa"/>
          </w:tblCellMar>
        </w:tblPrEx>
        <w:trPr>
          <w:jc w:val="center"/>
        </w:trPr>
        <w:tc>
          <w:tcPr>
            <w:tcW w:w="518" w:type="dxa"/>
            <w:vMerge w:val="restart"/>
            <w:tcBorders>
              <w:top w:val="nil"/>
              <w:left w:val="single" w:color="auto" w:sz="4" w:space="0"/>
              <w:bottom w:val="single" w:color="000000" w:sz="4" w:space="0"/>
              <w:right w:val="single" w:color="auto" w:sz="4" w:space="0"/>
            </w:tcBorders>
            <w:noWrap w:val="0"/>
            <w:vAlign w:val="center"/>
          </w:tcPr>
          <w:p w14:paraId="26BF059A">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产出及效率</w:t>
            </w:r>
          </w:p>
        </w:tc>
        <w:tc>
          <w:tcPr>
            <w:tcW w:w="470" w:type="dxa"/>
            <w:vMerge w:val="restart"/>
            <w:tcBorders>
              <w:top w:val="nil"/>
              <w:left w:val="single" w:color="auto" w:sz="4" w:space="0"/>
              <w:bottom w:val="single" w:color="000000" w:sz="4" w:space="0"/>
              <w:right w:val="single" w:color="auto" w:sz="4" w:space="0"/>
            </w:tcBorders>
            <w:noWrap w:val="0"/>
            <w:vAlign w:val="center"/>
          </w:tcPr>
          <w:p w14:paraId="44C275F8">
            <w:pPr>
              <w:widowControl/>
              <w:jc w:val="center"/>
              <w:rPr>
                <w:rFonts w:hint="default"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30</w:t>
            </w:r>
          </w:p>
        </w:tc>
        <w:tc>
          <w:tcPr>
            <w:tcW w:w="623" w:type="dxa"/>
            <w:tcBorders>
              <w:top w:val="nil"/>
              <w:left w:val="nil"/>
              <w:bottom w:val="single" w:color="auto" w:sz="4" w:space="0"/>
              <w:right w:val="single" w:color="auto" w:sz="4" w:space="0"/>
            </w:tcBorders>
            <w:noWrap w:val="0"/>
            <w:vAlign w:val="center"/>
          </w:tcPr>
          <w:p w14:paraId="21ED78F0">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职责履行</w:t>
            </w:r>
          </w:p>
        </w:tc>
        <w:tc>
          <w:tcPr>
            <w:tcW w:w="416" w:type="dxa"/>
            <w:tcBorders>
              <w:top w:val="nil"/>
              <w:left w:val="nil"/>
              <w:bottom w:val="single" w:color="auto" w:sz="4" w:space="0"/>
              <w:right w:val="single" w:color="auto" w:sz="4" w:space="0"/>
            </w:tcBorders>
            <w:noWrap w:val="0"/>
            <w:vAlign w:val="center"/>
          </w:tcPr>
          <w:p w14:paraId="50EFB88D">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8</w:t>
            </w:r>
          </w:p>
        </w:tc>
        <w:tc>
          <w:tcPr>
            <w:tcW w:w="1015" w:type="dxa"/>
            <w:tcBorders>
              <w:top w:val="nil"/>
              <w:left w:val="nil"/>
              <w:bottom w:val="nil"/>
              <w:right w:val="single" w:color="auto" w:sz="4" w:space="0"/>
            </w:tcBorders>
            <w:noWrap w:val="0"/>
            <w:vAlign w:val="center"/>
          </w:tcPr>
          <w:p w14:paraId="3AE40FEA">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重点工作实际完成率</w:t>
            </w:r>
          </w:p>
        </w:tc>
        <w:tc>
          <w:tcPr>
            <w:tcW w:w="416" w:type="dxa"/>
            <w:tcBorders>
              <w:top w:val="nil"/>
              <w:left w:val="nil"/>
              <w:bottom w:val="single" w:color="auto" w:sz="4" w:space="0"/>
              <w:right w:val="single" w:color="auto" w:sz="4" w:space="0"/>
            </w:tcBorders>
            <w:noWrap w:val="0"/>
            <w:vAlign w:val="center"/>
          </w:tcPr>
          <w:p w14:paraId="03A348F6">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8</w:t>
            </w:r>
          </w:p>
        </w:tc>
        <w:tc>
          <w:tcPr>
            <w:tcW w:w="3016" w:type="dxa"/>
            <w:tcBorders>
              <w:top w:val="nil"/>
              <w:left w:val="nil"/>
              <w:bottom w:val="single" w:color="auto" w:sz="4" w:space="0"/>
              <w:right w:val="single" w:color="auto" w:sz="4" w:space="0"/>
            </w:tcBorders>
            <w:noWrap w:val="0"/>
            <w:vAlign w:val="center"/>
          </w:tcPr>
          <w:p w14:paraId="707DAE5F">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根据绩效办20</w:t>
            </w:r>
            <w:r>
              <w:rPr>
                <w:rFonts w:hint="eastAsia" w:ascii="仿宋_GB2312" w:hAnsi="宋体" w:eastAsia="仿宋_GB2312" w:cs="宋体"/>
                <w:kern w:val="0"/>
                <w:sz w:val="20"/>
                <w:szCs w:val="20"/>
                <w:lang w:val="en-US" w:eastAsia="zh-CN"/>
              </w:rPr>
              <w:t>21</w:t>
            </w:r>
            <w:r>
              <w:rPr>
                <w:rFonts w:hint="eastAsia" w:ascii="仿宋_GB2312" w:hAnsi="宋体" w:eastAsia="仿宋_GB2312" w:cs="宋体"/>
                <w:kern w:val="0"/>
                <w:sz w:val="20"/>
                <w:szCs w:val="20"/>
              </w:rPr>
              <w:t>年对各部门为民办实事和部门重点工程与重点工作考核分数折算。</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该项得分=（绩效办对应部分考核得分/</w:t>
            </w:r>
            <w:r>
              <w:rPr>
                <w:rFonts w:hint="eastAsia" w:ascii="仿宋_GB2312" w:hAnsi="宋体" w:eastAsia="仿宋_GB2312" w:cs="宋体"/>
                <w:kern w:val="0"/>
                <w:sz w:val="20"/>
                <w:szCs w:val="20"/>
                <w:lang w:eastAsia="zh-CN"/>
              </w:rPr>
              <w:t>该部分总分</w:t>
            </w:r>
            <w:r>
              <w:rPr>
                <w:rFonts w:hint="eastAsia" w:ascii="仿宋_GB2312" w:hAnsi="宋体" w:eastAsia="仿宋_GB2312" w:cs="宋体"/>
                <w:kern w:val="0"/>
                <w:sz w:val="20"/>
                <w:szCs w:val="20"/>
              </w:rPr>
              <w:t>）*8</w:t>
            </w:r>
          </w:p>
        </w:tc>
        <w:tc>
          <w:tcPr>
            <w:tcW w:w="3489" w:type="dxa"/>
            <w:tcBorders>
              <w:top w:val="nil"/>
              <w:left w:val="nil"/>
              <w:bottom w:val="single" w:color="auto" w:sz="4" w:space="0"/>
              <w:right w:val="single" w:color="auto" w:sz="4" w:space="0"/>
            </w:tcBorders>
            <w:noWrap w:val="0"/>
            <w:vAlign w:val="center"/>
          </w:tcPr>
          <w:p w14:paraId="16E8746D">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637" w:type="dxa"/>
            <w:tcBorders>
              <w:top w:val="nil"/>
              <w:left w:val="nil"/>
              <w:bottom w:val="single" w:color="auto" w:sz="4" w:space="0"/>
              <w:right w:val="single" w:color="auto" w:sz="4" w:space="0"/>
            </w:tcBorders>
            <w:noWrap w:val="0"/>
            <w:vAlign w:val="center"/>
          </w:tcPr>
          <w:p w14:paraId="6FDE2FA2">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8</w:t>
            </w:r>
          </w:p>
        </w:tc>
      </w:tr>
      <w:tr w14:paraId="02A425EC">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0D02D3D6">
            <w:pPr>
              <w:widowControl/>
              <w:jc w:val="left"/>
              <w:rPr>
                <w:rFonts w:ascii="仿宋_GB2312" w:hAnsi="宋体" w:eastAsia="仿宋_GB2312" w:cs="宋体"/>
                <w:kern w:val="0"/>
                <w:sz w:val="20"/>
                <w:szCs w:val="20"/>
              </w:rPr>
            </w:pPr>
          </w:p>
        </w:tc>
        <w:tc>
          <w:tcPr>
            <w:tcW w:w="470" w:type="dxa"/>
            <w:vMerge w:val="continue"/>
            <w:tcBorders>
              <w:top w:val="nil"/>
              <w:left w:val="single" w:color="auto" w:sz="4" w:space="0"/>
              <w:bottom w:val="single" w:color="000000" w:sz="4" w:space="0"/>
              <w:right w:val="single" w:color="auto" w:sz="4" w:space="0"/>
            </w:tcBorders>
            <w:noWrap w:val="0"/>
            <w:vAlign w:val="center"/>
          </w:tcPr>
          <w:p w14:paraId="2A1DCE64">
            <w:pPr>
              <w:widowControl/>
              <w:jc w:val="left"/>
              <w:rPr>
                <w:rFonts w:ascii="仿宋_GB2312" w:hAnsi="宋体" w:eastAsia="仿宋_GB2312" w:cs="宋体"/>
                <w:kern w:val="0"/>
                <w:sz w:val="20"/>
                <w:szCs w:val="20"/>
              </w:rPr>
            </w:pPr>
          </w:p>
        </w:tc>
        <w:tc>
          <w:tcPr>
            <w:tcW w:w="623" w:type="dxa"/>
            <w:vMerge w:val="restart"/>
            <w:tcBorders>
              <w:top w:val="nil"/>
              <w:left w:val="single" w:color="auto" w:sz="4" w:space="0"/>
              <w:bottom w:val="single" w:color="000000" w:sz="4" w:space="0"/>
              <w:right w:val="single" w:color="auto" w:sz="4" w:space="0"/>
            </w:tcBorders>
            <w:noWrap w:val="0"/>
            <w:vAlign w:val="center"/>
          </w:tcPr>
          <w:p w14:paraId="6B04C845">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履职 效益</w:t>
            </w:r>
          </w:p>
        </w:tc>
        <w:tc>
          <w:tcPr>
            <w:tcW w:w="416" w:type="dxa"/>
            <w:vMerge w:val="restart"/>
            <w:tcBorders>
              <w:top w:val="nil"/>
              <w:left w:val="single" w:color="auto" w:sz="4" w:space="0"/>
              <w:bottom w:val="single" w:color="000000" w:sz="4" w:space="0"/>
              <w:right w:val="single" w:color="auto" w:sz="4" w:space="0"/>
            </w:tcBorders>
            <w:noWrap w:val="0"/>
            <w:vAlign w:val="center"/>
          </w:tcPr>
          <w:p w14:paraId="511600D7">
            <w:pPr>
              <w:widowControl/>
              <w:jc w:val="center"/>
              <w:rPr>
                <w:rFonts w:hint="default"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10</w:t>
            </w:r>
          </w:p>
        </w:tc>
        <w:tc>
          <w:tcPr>
            <w:tcW w:w="1015" w:type="dxa"/>
            <w:tcBorders>
              <w:top w:val="single" w:color="auto" w:sz="4" w:space="0"/>
              <w:left w:val="nil"/>
              <w:bottom w:val="single" w:color="auto" w:sz="4" w:space="0"/>
              <w:right w:val="single" w:color="auto" w:sz="4" w:space="0"/>
            </w:tcBorders>
            <w:noWrap w:val="0"/>
            <w:vAlign w:val="center"/>
          </w:tcPr>
          <w:p w14:paraId="761E591C">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经济效益</w:t>
            </w:r>
          </w:p>
        </w:tc>
        <w:tc>
          <w:tcPr>
            <w:tcW w:w="416" w:type="dxa"/>
            <w:vMerge w:val="restart"/>
            <w:tcBorders>
              <w:top w:val="nil"/>
              <w:left w:val="single" w:color="auto" w:sz="4" w:space="0"/>
              <w:bottom w:val="nil"/>
              <w:right w:val="single" w:color="auto" w:sz="4" w:space="0"/>
            </w:tcBorders>
            <w:noWrap w:val="0"/>
            <w:vAlign w:val="center"/>
          </w:tcPr>
          <w:p w14:paraId="55E4770D">
            <w:pPr>
              <w:widowControl/>
              <w:jc w:val="center"/>
              <w:rPr>
                <w:rFonts w:hint="default"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10</w:t>
            </w:r>
          </w:p>
        </w:tc>
        <w:tc>
          <w:tcPr>
            <w:tcW w:w="6505" w:type="dxa"/>
            <w:gridSpan w:val="2"/>
            <w:vMerge w:val="restart"/>
            <w:tcBorders>
              <w:top w:val="single" w:color="auto" w:sz="4" w:space="0"/>
              <w:left w:val="single" w:color="auto" w:sz="4" w:space="0"/>
              <w:bottom w:val="nil"/>
              <w:right w:val="single" w:color="000000" w:sz="4" w:space="0"/>
            </w:tcBorders>
            <w:noWrap w:val="0"/>
            <w:vAlign w:val="center"/>
          </w:tcPr>
          <w:p w14:paraId="7F0B42F1">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此两项指标为设置部门整体支出绩效评价指标时必须考虑的共性要素，可根据部门实际情况有选择的进行设置，并将其细化为相应的个性化指标。</w:t>
            </w:r>
          </w:p>
        </w:tc>
        <w:tc>
          <w:tcPr>
            <w:tcW w:w="637" w:type="dxa"/>
            <w:vMerge w:val="restart"/>
            <w:tcBorders>
              <w:top w:val="nil"/>
              <w:left w:val="nil"/>
              <w:right w:val="single" w:color="auto" w:sz="4" w:space="0"/>
            </w:tcBorders>
            <w:noWrap w:val="0"/>
            <w:vAlign w:val="center"/>
          </w:tcPr>
          <w:p w14:paraId="62709952">
            <w:pPr>
              <w:widowControl/>
              <w:jc w:val="left"/>
              <w:rPr>
                <w:rFonts w:hint="eastAsia" w:ascii="宋体" w:hAnsi="宋体" w:eastAsia="宋体" w:cs="宋体"/>
                <w:kern w:val="0"/>
                <w:sz w:val="24"/>
                <w:lang w:val="en-US" w:eastAsia="zh-CN"/>
              </w:rPr>
            </w:pPr>
            <w:r>
              <w:rPr>
                <w:rFonts w:hint="eastAsia" w:ascii="仿宋_GB2312" w:hAnsi="宋体" w:eastAsia="仿宋_GB2312" w:cs="宋体"/>
                <w:kern w:val="0"/>
                <w:sz w:val="20"/>
                <w:szCs w:val="20"/>
                <w:lang w:val="en-US" w:eastAsia="zh-CN"/>
              </w:rPr>
              <w:t>　</w:t>
            </w:r>
            <w:r>
              <w:rPr>
                <w:rFonts w:hint="eastAsia" w:ascii="宋体" w:hAnsi="宋体" w:eastAsia="宋体" w:cs="宋体"/>
                <w:kern w:val="0"/>
                <w:sz w:val="24"/>
                <w:lang w:val="en-US" w:eastAsia="zh-CN"/>
              </w:rPr>
              <w:t>10</w:t>
            </w:r>
          </w:p>
          <w:p w14:paraId="7DD751B8">
            <w:pPr>
              <w:widowControl/>
              <w:jc w:val="left"/>
              <w:rPr>
                <w:rFonts w:hint="default" w:ascii="宋体" w:hAnsi="宋体" w:eastAsia="宋体" w:cs="宋体"/>
                <w:kern w:val="0"/>
                <w:sz w:val="24"/>
                <w:lang w:val="en-US" w:eastAsia="zh-CN"/>
              </w:rPr>
            </w:pPr>
          </w:p>
          <w:p w14:paraId="712180D3">
            <w:pPr>
              <w:widowControl/>
              <w:jc w:val="center"/>
              <w:rPr>
                <w:rFonts w:hint="default"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　</w:t>
            </w:r>
          </w:p>
        </w:tc>
      </w:tr>
      <w:tr w14:paraId="3644899E">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7091AADB">
            <w:pPr>
              <w:widowControl/>
              <w:jc w:val="left"/>
              <w:rPr>
                <w:rFonts w:ascii="仿宋_GB2312" w:hAnsi="宋体" w:eastAsia="仿宋_GB2312" w:cs="宋体"/>
                <w:kern w:val="0"/>
                <w:sz w:val="20"/>
                <w:szCs w:val="20"/>
              </w:rPr>
            </w:pPr>
          </w:p>
        </w:tc>
        <w:tc>
          <w:tcPr>
            <w:tcW w:w="470" w:type="dxa"/>
            <w:vMerge w:val="continue"/>
            <w:tcBorders>
              <w:top w:val="nil"/>
              <w:left w:val="single" w:color="auto" w:sz="4" w:space="0"/>
              <w:bottom w:val="single" w:color="000000" w:sz="4" w:space="0"/>
              <w:right w:val="single" w:color="auto" w:sz="4" w:space="0"/>
            </w:tcBorders>
            <w:noWrap w:val="0"/>
            <w:vAlign w:val="center"/>
          </w:tcPr>
          <w:p w14:paraId="146B370E">
            <w:pPr>
              <w:widowControl/>
              <w:jc w:val="left"/>
              <w:rPr>
                <w:rFonts w:ascii="仿宋_GB2312" w:hAnsi="宋体" w:eastAsia="仿宋_GB2312" w:cs="宋体"/>
                <w:kern w:val="0"/>
                <w:sz w:val="20"/>
                <w:szCs w:val="20"/>
              </w:rPr>
            </w:pPr>
          </w:p>
        </w:tc>
        <w:tc>
          <w:tcPr>
            <w:tcW w:w="623" w:type="dxa"/>
            <w:vMerge w:val="continue"/>
            <w:tcBorders>
              <w:top w:val="nil"/>
              <w:left w:val="single" w:color="auto" w:sz="4" w:space="0"/>
              <w:bottom w:val="single" w:color="000000" w:sz="4" w:space="0"/>
              <w:right w:val="single" w:color="auto" w:sz="4" w:space="0"/>
            </w:tcBorders>
            <w:noWrap w:val="0"/>
            <w:vAlign w:val="center"/>
          </w:tcPr>
          <w:p w14:paraId="6299A32F">
            <w:pPr>
              <w:widowControl/>
              <w:jc w:val="left"/>
              <w:rPr>
                <w:rFonts w:ascii="仿宋_GB2312" w:hAnsi="宋体" w:eastAsia="仿宋_GB2312" w:cs="宋体"/>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14:paraId="023FCD3C">
            <w:pPr>
              <w:widowControl/>
              <w:jc w:val="left"/>
              <w:rPr>
                <w:rFonts w:ascii="仿宋_GB2312" w:hAnsi="宋体" w:eastAsia="仿宋_GB2312" w:cs="宋体"/>
                <w:kern w:val="0"/>
                <w:sz w:val="20"/>
                <w:szCs w:val="20"/>
              </w:rPr>
            </w:pPr>
          </w:p>
        </w:tc>
        <w:tc>
          <w:tcPr>
            <w:tcW w:w="1015" w:type="dxa"/>
            <w:tcBorders>
              <w:top w:val="nil"/>
              <w:left w:val="nil"/>
              <w:bottom w:val="single" w:color="auto" w:sz="4" w:space="0"/>
              <w:right w:val="single" w:color="auto" w:sz="4" w:space="0"/>
            </w:tcBorders>
            <w:noWrap w:val="0"/>
            <w:vAlign w:val="center"/>
          </w:tcPr>
          <w:p w14:paraId="256353CC">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社会效益</w:t>
            </w:r>
          </w:p>
        </w:tc>
        <w:tc>
          <w:tcPr>
            <w:tcW w:w="416" w:type="dxa"/>
            <w:vMerge w:val="continue"/>
            <w:tcBorders>
              <w:top w:val="nil"/>
              <w:left w:val="single" w:color="auto" w:sz="4" w:space="0"/>
              <w:bottom w:val="nil"/>
              <w:right w:val="single" w:color="auto" w:sz="4" w:space="0"/>
            </w:tcBorders>
            <w:noWrap w:val="0"/>
            <w:vAlign w:val="center"/>
          </w:tcPr>
          <w:p w14:paraId="2AB610CC">
            <w:pPr>
              <w:widowControl/>
              <w:jc w:val="left"/>
              <w:rPr>
                <w:rFonts w:ascii="仿宋_GB2312" w:hAnsi="宋体" w:eastAsia="仿宋_GB2312" w:cs="宋体"/>
                <w:kern w:val="0"/>
                <w:sz w:val="20"/>
                <w:szCs w:val="20"/>
              </w:rPr>
            </w:pPr>
          </w:p>
        </w:tc>
        <w:tc>
          <w:tcPr>
            <w:tcW w:w="6505" w:type="dxa"/>
            <w:gridSpan w:val="2"/>
            <w:vMerge w:val="continue"/>
            <w:tcBorders>
              <w:top w:val="single" w:color="auto" w:sz="4" w:space="0"/>
              <w:left w:val="single" w:color="auto" w:sz="4" w:space="0"/>
              <w:bottom w:val="nil"/>
              <w:right w:val="single" w:color="000000" w:sz="4" w:space="0"/>
            </w:tcBorders>
            <w:noWrap w:val="0"/>
            <w:vAlign w:val="center"/>
          </w:tcPr>
          <w:p w14:paraId="08465017">
            <w:pPr>
              <w:widowControl/>
              <w:jc w:val="left"/>
              <w:rPr>
                <w:rFonts w:ascii="仿宋_GB2312" w:hAnsi="宋体" w:eastAsia="仿宋_GB2312" w:cs="宋体"/>
                <w:kern w:val="0"/>
                <w:sz w:val="20"/>
                <w:szCs w:val="20"/>
              </w:rPr>
            </w:pPr>
          </w:p>
        </w:tc>
        <w:tc>
          <w:tcPr>
            <w:tcW w:w="637" w:type="dxa"/>
            <w:vMerge w:val="continue"/>
            <w:tcBorders>
              <w:left w:val="nil"/>
              <w:bottom w:val="nil"/>
              <w:right w:val="single" w:color="auto" w:sz="4" w:space="0"/>
            </w:tcBorders>
            <w:noWrap w:val="0"/>
            <w:vAlign w:val="center"/>
          </w:tcPr>
          <w:p w14:paraId="42CE3437">
            <w:pPr>
              <w:widowControl/>
              <w:jc w:val="left"/>
              <w:rPr>
                <w:rFonts w:ascii="宋体" w:hAnsi="宋体" w:cs="宋体"/>
                <w:kern w:val="0"/>
                <w:sz w:val="24"/>
              </w:rPr>
            </w:pPr>
          </w:p>
        </w:tc>
      </w:tr>
      <w:tr w14:paraId="0A6C470A">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03F4732C">
            <w:pPr>
              <w:widowControl/>
              <w:jc w:val="left"/>
              <w:rPr>
                <w:rFonts w:ascii="仿宋_GB2312" w:hAnsi="宋体" w:eastAsia="仿宋_GB2312" w:cs="宋体"/>
                <w:kern w:val="0"/>
                <w:sz w:val="20"/>
                <w:szCs w:val="20"/>
              </w:rPr>
            </w:pPr>
          </w:p>
        </w:tc>
        <w:tc>
          <w:tcPr>
            <w:tcW w:w="470" w:type="dxa"/>
            <w:vMerge w:val="continue"/>
            <w:tcBorders>
              <w:top w:val="nil"/>
              <w:left w:val="single" w:color="auto" w:sz="4" w:space="0"/>
              <w:bottom w:val="single" w:color="000000" w:sz="4" w:space="0"/>
              <w:right w:val="single" w:color="auto" w:sz="4" w:space="0"/>
            </w:tcBorders>
            <w:noWrap w:val="0"/>
            <w:vAlign w:val="center"/>
          </w:tcPr>
          <w:p w14:paraId="003C5784">
            <w:pPr>
              <w:widowControl/>
              <w:jc w:val="left"/>
              <w:rPr>
                <w:rFonts w:ascii="仿宋_GB2312" w:hAnsi="宋体" w:eastAsia="仿宋_GB2312" w:cs="宋体"/>
                <w:kern w:val="0"/>
                <w:sz w:val="20"/>
                <w:szCs w:val="20"/>
              </w:rPr>
            </w:pPr>
          </w:p>
        </w:tc>
        <w:tc>
          <w:tcPr>
            <w:tcW w:w="623" w:type="dxa"/>
            <w:vMerge w:val="continue"/>
            <w:tcBorders>
              <w:top w:val="nil"/>
              <w:left w:val="single" w:color="auto" w:sz="4" w:space="0"/>
              <w:bottom w:val="single" w:color="000000" w:sz="4" w:space="0"/>
              <w:right w:val="single" w:color="auto" w:sz="4" w:space="0"/>
            </w:tcBorders>
            <w:noWrap w:val="0"/>
            <w:vAlign w:val="center"/>
          </w:tcPr>
          <w:p w14:paraId="1F7040C9">
            <w:pPr>
              <w:widowControl/>
              <w:jc w:val="left"/>
              <w:rPr>
                <w:rFonts w:ascii="仿宋_GB2312" w:hAnsi="宋体" w:eastAsia="仿宋_GB2312" w:cs="宋体"/>
                <w:kern w:val="0"/>
                <w:sz w:val="20"/>
                <w:szCs w:val="20"/>
              </w:rPr>
            </w:pPr>
          </w:p>
        </w:tc>
        <w:tc>
          <w:tcPr>
            <w:tcW w:w="416" w:type="dxa"/>
            <w:vMerge w:val="restart"/>
            <w:tcBorders>
              <w:top w:val="nil"/>
              <w:left w:val="single" w:color="auto" w:sz="4" w:space="0"/>
              <w:bottom w:val="single" w:color="000000" w:sz="4" w:space="0"/>
              <w:right w:val="single" w:color="auto" w:sz="4" w:space="0"/>
            </w:tcBorders>
            <w:noWrap w:val="0"/>
            <w:vAlign w:val="center"/>
          </w:tcPr>
          <w:p w14:paraId="2A9E4F31">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12</w:t>
            </w:r>
          </w:p>
        </w:tc>
        <w:tc>
          <w:tcPr>
            <w:tcW w:w="1015" w:type="dxa"/>
            <w:tcBorders>
              <w:top w:val="nil"/>
              <w:left w:val="nil"/>
              <w:bottom w:val="single" w:color="auto" w:sz="4" w:space="0"/>
              <w:right w:val="single" w:color="auto" w:sz="4" w:space="0"/>
            </w:tcBorders>
            <w:noWrap w:val="0"/>
            <w:vAlign w:val="center"/>
          </w:tcPr>
          <w:p w14:paraId="50DD8F22">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行政效能</w:t>
            </w:r>
          </w:p>
        </w:tc>
        <w:tc>
          <w:tcPr>
            <w:tcW w:w="416" w:type="dxa"/>
            <w:tcBorders>
              <w:top w:val="single" w:color="auto" w:sz="4" w:space="0"/>
              <w:left w:val="nil"/>
              <w:bottom w:val="single" w:color="auto" w:sz="4" w:space="0"/>
              <w:right w:val="single" w:color="auto" w:sz="4" w:space="0"/>
            </w:tcBorders>
            <w:noWrap w:val="0"/>
            <w:vAlign w:val="center"/>
          </w:tcPr>
          <w:p w14:paraId="774F0B0A">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6</w:t>
            </w:r>
          </w:p>
        </w:tc>
        <w:tc>
          <w:tcPr>
            <w:tcW w:w="3016" w:type="dxa"/>
            <w:tcBorders>
              <w:top w:val="single" w:color="auto" w:sz="4" w:space="0"/>
              <w:left w:val="nil"/>
              <w:bottom w:val="single" w:color="auto" w:sz="4" w:space="0"/>
              <w:right w:val="single" w:color="auto" w:sz="4" w:space="0"/>
            </w:tcBorders>
            <w:noWrap w:val="0"/>
            <w:vAlign w:val="center"/>
          </w:tcPr>
          <w:p w14:paraId="3164DFBC">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促进部门改进文风会风，加强经费及资产管理，推动网上办事，提高行政效率，降低行政成本效果较好的计6分；一般3分；无效果或者效果不明显0分。</w:t>
            </w:r>
          </w:p>
        </w:tc>
        <w:tc>
          <w:tcPr>
            <w:tcW w:w="3489" w:type="dxa"/>
            <w:tcBorders>
              <w:top w:val="single" w:color="auto" w:sz="4" w:space="0"/>
              <w:left w:val="nil"/>
              <w:bottom w:val="single" w:color="auto" w:sz="4" w:space="0"/>
              <w:right w:val="single" w:color="auto" w:sz="4" w:space="0"/>
            </w:tcBorders>
            <w:noWrap w:val="0"/>
            <w:vAlign w:val="center"/>
          </w:tcPr>
          <w:p w14:paraId="4468E5E1">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根据部门自评材料评定。</w:t>
            </w:r>
          </w:p>
        </w:tc>
        <w:tc>
          <w:tcPr>
            <w:tcW w:w="637" w:type="dxa"/>
            <w:tcBorders>
              <w:top w:val="single" w:color="auto" w:sz="4" w:space="0"/>
              <w:left w:val="nil"/>
              <w:bottom w:val="single" w:color="auto" w:sz="4" w:space="0"/>
              <w:right w:val="single" w:color="auto" w:sz="4" w:space="0"/>
            </w:tcBorders>
            <w:noWrap w:val="0"/>
            <w:vAlign w:val="center"/>
          </w:tcPr>
          <w:p w14:paraId="3E4B8E24">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6</w:t>
            </w:r>
          </w:p>
        </w:tc>
      </w:tr>
      <w:tr w14:paraId="23C6A0FB">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18C956AB">
            <w:pPr>
              <w:widowControl/>
              <w:jc w:val="left"/>
              <w:rPr>
                <w:rFonts w:ascii="仿宋_GB2312" w:hAnsi="宋体" w:eastAsia="仿宋_GB2312" w:cs="宋体"/>
                <w:kern w:val="0"/>
                <w:sz w:val="20"/>
                <w:szCs w:val="20"/>
              </w:rPr>
            </w:pPr>
          </w:p>
        </w:tc>
        <w:tc>
          <w:tcPr>
            <w:tcW w:w="470" w:type="dxa"/>
            <w:vMerge w:val="continue"/>
            <w:tcBorders>
              <w:top w:val="nil"/>
              <w:left w:val="single" w:color="auto" w:sz="4" w:space="0"/>
              <w:bottom w:val="single" w:color="000000" w:sz="4" w:space="0"/>
              <w:right w:val="single" w:color="auto" w:sz="4" w:space="0"/>
            </w:tcBorders>
            <w:noWrap w:val="0"/>
            <w:vAlign w:val="center"/>
          </w:tcPr>
          <w:p w14:paraId="4ED3A1F3">
            <w:pPr>
              <w:widowControl/>
              <w:jc w:val="left"/>
              <w:rPr>
                <w:rFonts w:ascii="仿宋_GB2312" w:hAnsi="宋体" w:eastAsia="仿宋_GB2312" w:cs="宋体"/>
                <w:kern w:val="0"/>
                <w:sz w:val="20"/>
                <w:szCs w:val="20"/>
              </w:rPr>
            </w:pPr>
          </w:p>
        </w:tc>
        <w:tc>
          <w:tcPr>
            <w:tcW w:w="623" w:type="dxa"/>
            <w:vMerge w:val="continue"/>
            <w:tcBorders>
              <w:top w:val="nil"/>
              <w:left w:val="single" w:color="auto" w:sz="4" w:space="0"/>
              <w:bottom w:val="single" w:color="000000" w:sz="4" w:space="0"/>
              <w:right w:val="single" w:color="auto" w:sz="4" w:space="0"/>
            </w:tcBorders>
            <w:noWrap w:val="0"/>
            <w:vAlign w:val="center"/>
          </w:tcPr>
          <w:p w14:paraId="7761749A">
            <w:pPr>
              <w:widowControl/>
              <w:jc w:val="left"/>
              <w:rPr>
                <w:rFonts w:ascii="仿宋_GB2312" w:hAnsi="宋体" w:eastAsia="仿宋_GB2312" w:cs="宋体"/>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14:paraId="27335893">
            <w:pPr>
              <w:widowControl/>
              <w:jc w:val="left"/>
              <w:rPr>
                <w:rFonts w:ascii="仿宋_GB2312" w:hAnsi="宋体" w:eastAsia="仿宋_GB2312" w:cs="宋体"/>
                <w:kern w:val="0"/>
                <w:sz w:val="20"/>
                <w:szCs w:val="20"/>
              </w:rPr>
            </w:pPr>
          </w:p>
        </w:tc>
        <w:tc>
          <w:tcPr>
            <w:tcW w:w="1015" w:type="dxa"/>
            <w:tcBorders>
              <w:top w:val="nil"/>
              <w:left w:val="nil"/>
              <w:bottom w:val="single" w:color="auto" w:sz="4" w:space="0"/>
              <w:right w:val="single" w:color="auto" w:sz="4" w:space="0"/>
            </w:tcBorders>
            <w:noWrap w:val="0"/>
            <w:vAlign w:val="center"/>
          </w:tcPr>
          <w:p w14:paraId="2BAF96A9">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社会公众或服务对象满意度</w:t>
            </w:r>
          </w:p>
        </w:tc>
        <w:tc>
          <w:tcPr>
            <w:tcW w:w="416" w:type="dxa"/>
            <w:tcBorders>
              <w:top w:val="nil"/>
              <w:left w:val="nil"/>
              <w:bottom w:val="single" w:color="auto" w:sz="4" w:space="0"/>
              <w:right w:val="single" w:color="auto" w:sz="4" w:space="0"/>
            </w:tcBorders>
            <w:noWrap w:val="0"/>
            <w:vAlign w:val="center"/>
          </w:tcPr>
          <w:p w14:paraId="2730707F">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6</w:t>
            </w:r>
          </w:p>
        </w:tc>
        <w:tc>
          <w:tcPr>
            <w:tcW w:w="3016" w:type="dxa"/>
            <w:tcBorders>
              <w:top w:val="nil"/>
              <w:left w:val="nil"/>
              <w:bottom w:val="single" w:color="auto" w:sz="4" w:space="0"/>
              <w:right w:val="single" w:color="auto" w:sz="4" w:space="0"/>
            </w:tcBorders>
            <w:noWrap w:val="0"/>
            <w:vAlign w:val="center"/>
          </w:tcPr>
          <w:p w14:paraId="71BEA49A">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90%（含）以上计6分；</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80%（含）-90%，计4分；</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70%（含）-80%，计2分；</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低于70%计0分。</w:t>
            </w:r>
          </w:p>
        </w:tc>
        <w:tc>
          <w:tcPr>
            <w:tcW w:w="3489" w:type="dxa"/>
            <w:tcBorders>
              <w:top w:val="nil"/>
              <w:left w:val="nil"/>
              <w:bottom w:val="single" w:color="auto" w:sz="4" w:space="0"/>
              <w:right w:val="single" w:color="auto" w:sz="4" w:space="0"/>
            </w:tcBorders>
            <w:noWrap w:val="0"/>
            <w:vAlign w:val="center"/>
          </w:tcPr>
          <w:p w14:paraId="225E1830">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社会公众或服务对象是指部门（单位）履行职责而影响到的部门、群体或个人，一般采取社会调查的方式。</w:t>
            </w:r>
          </w:p>
        </w:tc>
        <w:tc>
          <w:tcPr>
            <w:tcW w:w="637" w:type="dxa"/>
            <w:tcBorders>
              <w:top w:val="nil"/>
              <w:left w:val="nil"/>
              <w:bottom w:val="single" w:color="auto" w:sz="4" w:space="0"/>
              <w:right w:val="single" w:color="auto" w:sz="4" w:space="0"/>
            </w:tcBorders>
            <w:noWrap w:val="0"/>
            <w:vAlign w:val="center"/>
          </w:tcPr>
          <w:p w14:paraId="5AEB5583">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6</w:t>
            </w:r>
          </w:p>
        </w:tc>
      </w:tr>
    </w:tbl>
    <w:p w14:paraId="4959F35A">
      <w:pPr>
        <w:spacing w:line="560" w:lineRule="exact"/>
        <w:rPr>
          <w:rFonts w:ascii="黑体" w:eastAsia="黑体"/>
          <w:sz w:val="28"/>
          <w:szCs w:val="28"/>
        </w:rPr>
      </w:pPr>
    </w:p>
    <w:p w14:paraId="10EAD9EB">
      <w:pPr>
        <w:spacing w:after="156" w:afterLines="50" w:line="600" w:lineRule="exact"/>
        <w:rPr>
          <w:rFonts w:hint="eastAsia" w:ascii="Times New Roman" w:hAnsi="Times New Roman" w:eastAsia="黑体" w:cs="Times New Roman"/>
          <w:sz w:val="32"/>
          <w:szCs w:val="32"/>
          <w:lang w:eastAsia="zh-CN"/>
        </w:rPr>
      </w:pPr>
      <w: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14:paraId="50458943">
      <w:pPr>
        <w:spacing w:after="156" w:afterLines="50" w:line="600" w:lineRule="exact"/>
        <w:jc w:val="center"/>
        <w:rPr>
          <w:rFonts w:ascii="Times New Roman" w:hAnsi="Times New Roman" w:eastAsia="仿宋_GB2312" w:cs="Times New Roman"/>
          <w:sz w:val="24"/>
        </w:rPr>
      </w:pPr>
      <w:r>
        <w:rPr>
          <w:rFonts w:ascii="Times New Roman" w:hAnsi="Times New Roman" w:eastAsia="方正小标宋_GBK" w:cs="Times New Roman"/>
          <w:sz w:val="36"/>
          <w:szCs w:val="36"/>
        </w:rPr>
        <w:t>部门整体支出绩效评价基础数据表</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54"/>
        <w:gridCol w:w="1189"/>
        <w:gridCol w:w="849"/>
        <w:gridCol w:w="1129"/>
        <w:gridCol w:w="1111"/>
        <w:gridCol w:w="1081"/>
        <w:gridCol w:w="960"/>
      </w:tblGrid>
      <w:tr w14:paraId="3B173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2E5A42B5">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46FC289F">
            <w:pPr>
              <w:widowControl/>
              <w:jc w:val="cente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1CBA216E">
            <w:pPr>
              <w:widowControl/>
              <w:jc w:val="cente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4</w:t>
            </w:r>
            <w:r>
              <w:rPr>
                <w:rFonts w:ascii="Times New Roman" w:hAnsi="Times New Roman" w:eastAsia="仿宋_GB2312" w:cs="Times New Roman"/>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78D0818C">
            <w:pPr>
              <w:widowControl/>
              <w:jc w:val="cente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控制率</w:t>
            </w:r>
          </w:p>
        </w:tc>
      </w:tr>
      <w:tr w14:paraId="04FE2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7F33AFDB">
            <w:pPr>
              <w:widowControl/>
              <w:jc w:val="left"/>
              <w:rPr>
                <w:rFonts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14:paraId="6D90C4CB">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27　</w:t>
            </w:r>
          </w:p>
        </w:tc>
        <w:tc>
          <w:tcPr>
            <w:tcW w:w="2240" w:type="dxa"/>
            <w:gridSpan w:val="2"/>
            <w:tcBorders>
              <w:top w:val="single" w:color="auto" w:sz="4" w:space="0"/>
              <w:left w:val="nil"/>
              <w:bottom w:val="single" w:color="auto" w:sz="4" w:space="0"/>
              <w:right w:val="single" w:color="auto" w:sz="4" w:space="0"/>
            </w:tcBorders>
            <w:noWrap w:val="0"/>
            <w:vAlign w:val="center"/>
          </w:tcPr>
          <w:p w14:paraId="2D2C3773">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20　</w:t>
            </w:r>
          </w:p>
        </w:tc>
        <w:tc>
          <w:tcPr>
            <w:tcW w:w="2041" w:type="dxa"/>
            <w:gridSpan w:val="2"/>
            <w:tcBorders>
              <w:top w:val="single" w:color="auto" w:sz="4" w:space="0"/>
              <w:left w:val="nil"/>
              <w:bottom w:val="single" w:color="auto" w:sz="4" w:space="0"/>
              <w:right w:val="single" w:color="auto" w:sz="4" w:space="0"/>
            </w:tcBorders>
            <w:noWrap w:val="0"/>
            <w:vAlign w:val="center"/>
          </w:tcPr>
          <w:p w14:paraId="22BDA9D1">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r>
              <w:rPr>
                <w:rFonts w:hint="eastAsia" w:ascii="仿宋" w:hAnsi="仿宋" w:eastAsia="仿宋" w:cs="宋体"/>
                <w:kern w:val="0"/>
                <w:sz w:val="24"/>
              </w:rPr>
              <w:t>81.48</w:t>
            </w:r>
          </w:p>
        </w:tc>
      </w:tr>
      <w:tr w14:paraId="205E3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DFE59F3">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27D25FE1">
            <w:pPr>
              <w:widowControl/>
              <w:jc w:val="cente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3</w:t>
            </w:r>
            <w:r>
              <w:rPr>
                <w:rFonts w:ascii="Times New Roman" w:hAnsi="Times New Roman" w:eastAsia="仿宋_GB2312" w:cs="Times New Roman"/>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6AB8C061">
            <w:pPr>
              <w:widowControl/>
              <w:jc w:val="cente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4</w:t>
            </w:r>
            <w:r>
              <w:rPr>
                <w:rFonts w:ascii="Times New Roman" w:hAnsi="Times New Roman" w:eastAsia="仿宋_GB2312" w:cs="Times New Roman"/>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754BF516">
            <w:pPr>
              <w:widowControl/>
              <w:jc w:val="cente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4</w:t>
            </w:r>
            <w:r>
              <w:rPr>
                <w:rFonts w:ascii="Times New Roman" w:hAnsi="Times New Roman" w:eastAsia="仿宋_GB2312" w:cs="Times New Roman"/>
                <w:b/>
                <w:bCs/>
                <w:sz w:val="20"/>
                <w:szCs w:val="20"/>
              </w:rPr>
              <w:t>年决算数</w:t>
            </w:r>
          </w:p>
        </w:tc>
      </w:tr>
      <w:tr w14:paraId="6A9E8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78EDDF5">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DF852A0">
            <w:pPr>
              <w:widowControl/>
              <w:jc w:val="center"/>
              <w:rPr>
                <w:rFonts w:ascii="Times New Roman" w:hAnsi="Times New Roman" w:eastAsia="仿宋_GB2312" w:cs="Times New Roman"/>
                <w:sz w:val="20"/>
                <w:szCs w:val="20"/>
              </w:rPr>
            </w:pPr>
            <w:r>
              <w:rPr>
                <w:rFonts w:hint="eastAsia" w:ascii="仿宋" w:hAnsi="仿宋" w:eastAsia="仿宋" w:cs="宋体"/>
                <w:kern w:val="0"/>
                <w:sz w:val="24"/>
                <w:lang w:val="en-US" w:eastAsia="zh-CN"/>
              </w:rPr>
              <w:t>0</w:t>
            </w:r>
            <w:r>
              <w:rPr>
                <w:rFonts w:ascii="Times New Roman" w:hAnsi="Times New Roman" w:eastAsia="仿宋_GB2312" w:cs="Times New Roman"/>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586CB77">
            <w:pPr>
              <w:widowControl/>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7BCF5D24">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0　</w:t>
            </w:r>
          </w:p>
        </w:tc>
      </w:tr>
      <w:tr w14:paraId="2A062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05D4B94">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823D495">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241D89C3">
            <w:pPr>
              <w:widowControl/>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78D4A15E">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0　</w:t>
            </w:r>
          </w:p>
        </w:tc>
      </w:tr>
      <w:tr w14:paraId="1D549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3CB8398">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18FACF5B">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11242BA5">
            <w:pPr>
              <w:widowControl/>
              <w:jc w:val="center"/>
              <w:rPr>
                <w:rFonts w:hint="eastAsia" w:ascii="仿宋" w:hAnsi="仿宋" w:eastAsia="仿宋" w:cs="宋体"/>
                <w:kern w:val="0"/>
                <w:sz w:val="24"/>
                <w:lang w:val="en-US" w:eastAsia="zh-CN"/>
              </w:rPr>
            </w:pPr>
            <w:r>
              <w:rPr>
                <w:rFonts w:hint="eastAsia" w:eastAsia="仿宋" w:cs="宋体"/>
                <w:kern w:val="0"/>
                <w:sz w:val="24"/>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72DCC0AB">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0　</w:t>
            </w:r>
          </w:p>
        </w:tc>
      </w:tr>
      <w:tr w14:paraId="598AE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4411546">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5AE9B63B">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1458D445">
            <w:pPr>
              <w:widowControl/>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42E45912">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0　</w:t>
            </w:r>
          </w:p>
        </w:tc>
      </w:tr>
      <w:tr w14:paraId="34BE3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07E283E">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E8E6F1F">
            <w:pPr>
              <w:widowControl/>
              <w:jc w:val="center"/>
              <w:rPr>
                <w:rFonts w:hint="eastAsia" w:ascii="仿宋" w:hAnsi="仿宋" w:eastAsia="仿宋" w:cs="宋体"/>
                <w:kern w:val="0"/>
                <w:sz w:val="24"/>
              </w:rPr>
            </w:pPr>
            <w:r>
              <w:rPr>
                <w:rFonts w:hint="eastAsia" w:ascii="仿宋" w:hAnsi="仿宋" w:eastAsia="仿宋" w:cs="宋体"/>
                <w:kern w:val="0"/>
                <w:sz w:val="24"/>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1770005D">
            <w:pPr>
              <w:widowControl/>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5A1BFECF">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0　</w:t>
            </w:r>
          </w:p>
        </w:tc>
      </w:tr>
      <w:tr w14:paraId="26071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E73D5BB">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05A4F5FC">
            <w:pPr>
              <w:widowControl/>
              <w:jc w:val="center"/>
              <w:rPr>
                <w:rFonts w:hint="eastAsia" w:ascii="仿宋" w:hAnsi="仿宋" w:eastAsia="仿宋" w:cs="宋体"/>
                <w:kern w:val="0"/>
                <w:sz w:val="24"/>
              </w:rPr>
            </w:pPr>
            <w:r>
              <w:rPr>
                <w:rFonts w:hint="eastAsia" w:ascii="仿宋" w:hAnsi="仿宋" w:eastAsia="仿宋" w:cs="宋体"/>
                <w:kern w:val="0"/>
                <w:sz w:val="24"/>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136FA18">
            <w:pPr>
              <w:widowControl/>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6006998D">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0　</w:t>
            </w:r>
          </w:p>
        </w:tc>
      </w:tr>
      <w:tr w14:paraId="2BF95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9112BD3">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57FFD9C8">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7DE83A2B">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D5BCC3F">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　</w:t>
            </w:r>
          </w:p>
        </w:tc>
      </w:tr>
      <w:tr w14:paraId="407EB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92F75E6">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4A7A5B1">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6E9DB267">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C516E2E">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　</w:t>
            </w:r>
          </w:p>
        </w:tc>
      </w:tr>
      <w:tr w14:paraId="37435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DA15504">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91C74A9">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15.3</w:t>
            </w:r>
          </w:p>
        </w:tc>
        <w:tc>
          <w:tcPr>
            <w:tcW w:w="2240" w:type="dxa"/>
            <w:gridSpan w:val="2"/>
            <w:tcBorders>
              <w:top w:val="single" w:color="auto" w:sz="4" w:space="0"/>
              <w:left w:val="nil"/>
              <w:bottom w:val="single" w:color="auto" w:sz="4" w:space="0"/>
              <w:right w:val="single" w:color="000000" w:sz="4" w:space="0"/>
            </w:tcBorders>
            <w:noWrap w:val="0"/>
            <w:vAlign w:val="center"/>
          </w:tcPr>
          <w:p w14:paraId="353AFCA9">
            <w:pPr>
              <w:widowControl/>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r>
              <w:rPr>
                <w:rFonts w:ascii="Times New Roman" w:hAnsi="Times New Roman" w:eastAsia="仿宋_GB2312" w:cs="Times New Roman"/>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F18EC01">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0　</w:t>
            </w:r>
          </w:p>
        </w:tc>
      </w:tr>
      <w:tr w14:paraId="2C82C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17C83F4">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0D4853B3">
            <w:pPr>
              <w:widowControl/>
              <w:jc w:val="center"/>
              <w:rPr>
                <w:rFonts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C279FB3">
            <w:pPr>
              <w:widowControl/>
              <w:jc w:val="center"/>
              <w:rPr>
                <w:rFonts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E75EDE9">
            <w:pPr>
              <w:widowControl/>
              <w:jc w:val="center"/>
              <w:rPr>
                <w:rFonts w:hint="eastAsia" w:ascii="仿宋" w:hAnsi="仿宋" w:eastAsia="仿宋" w:cs="宋体"/>
                <w:kern w:val="0"/>
                <w:sz w:val="24"/>
                <w:lang w:val="en-US" w:eastAsia="zh-CN"/>
              </w:rPr>
            </w:pPr>
          </w:p>
        </w:tc>
      </w:tr>
      <w:tr w14:paraId="7A9C0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F13A232">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3、专项资金（一个专项一行）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45F32C12">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7E3F4E1C">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65ECA53">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　</w:t>
            </w:r>
          </w:p>
        </w:tc>
      </w:tr>
      <w:tr w14:paraId="2F129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4D4E790">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71CE2415">
            <w:pPr>
              <w:widowControl/>
              <w:jc w:val="center"/>
              <w:rPr>
                <w:rFonts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41A6EA3">
            <w:pPr>
              <w:widowControl/>
              <w:jc w:val="center"/>
              <w:rPr>
                <w:rFonts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FC37BE3">
            <w:pPr>
              <w:widowControl/>
              <w:jc w:val="center"/>
              <w:rPr>
                <w:rFonts w:hint="eastAsia" w:ascii="仿宋" w:hAnsi="仿宋" w:eastAsia="仿宋" w:cs="宋体"/>
                <w:kern w:val="0"/>
                <w:sz w:val="24"/>
                <w:lang w:val="en-US" w:eastAsia="zh-CN"/>
              </w:rPr>
            </w:pPr>
          </w:p>
        </w:tc>
      </w:tr>
      <w:tr w14:paraId="25E2E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36E3472">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FA53CC1">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03FAD89F">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43A045D">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　</w:t>
            </w:r>
          </w:p>
        </w:tc>
      </w:tr>
      <w:tr w14:paraId="4E608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1D4CA9C">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A56F45C">
            <w:pPr>
              <w:widowControl/>
              <w:jc w:val="center"/>
              <w:rPr>
                <w:rFonts w:hint="default" w:ascii="Times New Roman" w:hAnsi="Times New Roman" w:eastAsia="仿宋_GB2312" w:cs="Times New Roman"/>
                <w:color w:val="FF0000"/>
                <w:sz w:val="20"/>
                <w:szCs w:val="20"/>
                <w:lang w:val="en-US" w:eastAsia="zh-CN"/>
              </w:rPr>
            </w:pPr>
            <w:r>
              <w:rPr>
                <w:rFonts w:hint="eastAsia" w:ascii="Times New Roman" w:hAnsi="Times New Roman" w:eastAsia="仿宋_GB2312" w:cs="Times New Roman"/>
                <w:color w:val="auto"/>
                <w:sz w:val="20"/>
                <w:szCs w:val="20"/>
                <w:lang w:val="en-US" w:eastAsia="zh-CN"/>
              </w:rPr>
              <w:t>5.08</w:t>
            </w:r>
          </w:p>
        </w:tc>
        <w:tc>
          <w:tcPr>
            <w:tcW w:w="2240" w:type="dxa"/>
            <w:gridSpan w:val="2"/>
            <w:tcBorders>
              <w:top w:val="single" w:color="auto" w:sz="4" w:space="0"/>
              <w:left w:val="nil"/>
              <w:bottom w:val="single" w:color="auto" w:sz="4" w:space="0"/>
              <w:right w:val="single" w:color="000000" w:sz="4" w:space="0"/>
            </w:tcBorders>
            <w:noWrap w:val="0"/>
            <w:vAlign w:val="center"/>
          </w:tcPr>
          <w:p w14:paraId="718E2BC2">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5</w:t>
            </w:r>
          </w:p>
        </w:tc>
        <w:tc>
          <w:tcPr>
            <w:tcW w:w="2041" w:type="dxa"/>
            <w:gridSpan w:val="2"/>
            <w:tcBorders>
              <w:top w:val="single" w:color="auto" w:sz="4" w:space="0"/>
              <w:left w:val="nil"/>
              <w:bottom w:val="single" w:color="auto" w:sz="4" w:space="0"/>
              <w:right w:val="single" w:color="000000" w:sz="4" w:space="0"/>
            </w:tcBorders>
            <w:noWrap w:val="0"/>
            <w:vAlign w:val="center"/>
          </w:tcPr>
          <w:p w14:paraId="6CCE4A45">
            <w:pPr>
              <w:widowControl/>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7.04</w:t>
            </w:r>
          </w:p>
        </w:tc>
      </w:tr>
      <w:tr w14:paraId="11061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8A355D2">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57FFB901">
            <w:pPr>
              <w:widowControl/>
              <w:jc w:val="center"/>
              <w:rPr>
                <w:rFonts w:hint="default" w:ascii="Times New Roman" w:hAnsi="Times New Roman" w:eastAsia="仿宋" w:cs="Times New Roman"/>
                <w:color w:val="FF0000"/>
                <w:sz w:val="20"/>
                <w:szCs w:val="20"/>
                <w:lang w:val="en-US" w:eastAsia="zh-CN"/>
              </w:rPr>
            </w:pPr>
            <w:r>
              <w:rPr>
                <w:rFonts w:hint="eastAsia" w:ascii="仿宋" w:hAnsi="仿宋" w:eastAsia="仿宋" w:cs="宋体"/>
                <w:kern w:val="0"/>
                <w:sz w:val="24"/>
              </w:rPr>
              <w:t>2.</w:t>
            </w:r>
            <w:r>
              <w:rPr>
                <w:rFonts w:hint="eastAsia" w:ascii="仿宋" w:hAnsi="仿宋" w:eastAsia="仿宋" w:cs="宋体"/>
                <w:kern w:val="0"/>
                <w:sz w:val="24"/>
                <w:lang w:val="en-US" w:eastAsia="zh-CN"/>
              </w:rPr>
              <w:t>07</w:t>
            </w:r>
          </w:p>
        </w:tc>
        <w:tc>
          <w:tcPr>
            <w:tcW w:w="2240" w:type="dxa"/>
            <w:gridSpan w:val="2"/>
            <w:tcBorders>
              <w:top w:val="single" w:color="auto" w:sz="4" w:space="0"/>
              <w:left w:val="nil"/>
              <w:bottom w:val="single" w:color="auto" w:sz="4" w:space="0"/>
              <w:right w:val="single" w:color="000000" w:sz="4" w:space="0"/>
            </w:tcBorders>
            <w:noWrap w:val="0"/>
            <w:vAlign w:val="center"/>
          </w:tcPr>
          <w:p w14:paraId="03C123FB">
            <w:pPr>
              <w:widowControl/>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3</w:t>
            </w:r>
          </w:p>
        </w:tc>
        <w:tc>
          <w:tcPr>
            <w:tcW w:w="2041" w:type="dxa"/>
            <w:gridSpan w:val="2"/>
            <w:tcBorders>
              <w:top w:val="single" w:color="auto" w:sz="4" w:space="0"/>
              <w:left w:val="nil"/>
              <w:bottom w:val="single" w:color="auto" w:sz="4" w:space="0"/>
              <w:right w:val="single" w:color="000000" w:sz="4" w:space="0"/>
            </w:tcBorders>
            <w:noWrap w:val="0"/>
            <w:vAlign w:val="center"/>
          </w:tcPr>
          <w:p w14:paraId="697EFBBB">
            <w:pPr>
              <w:widowControl/>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2.73</w:t>
            </w:r>
          </w:p>
        </w:tc>
      </w:tr>
      <w:tr w14:paraId="0EC43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B209696">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5F95E727">
            <w:pPr>
              <w:widowControl/>
              <w:jc w:val="center"/>
              <w:rPr>
                <w:rFonts w:hint="default" w:ascii="Times New Roman" w:hAnsi="Times New Roman" w:eastAsia="仿宋" w:cs="Times New Roman"/>
                <w:color w:val="FF0000"/>
                <w:sz w:val="20"/>
                <w:szCs w:val="20"/>
                <w:lang w:val="en-US" w:eastAsia="zh-CN"/>
              </w:rPr>
            </w:pPr>
            <w:r>
              <w:rPr>
                <w:rFonts w:hint="eastAsia" w:ascii="仿宋" w:hAnsi="仿宋" w:eastAsia="仿宋" w:cs="宋体"/>
                <w:kern w:val="0"/>
                <w:sz w:val="24"/>
              </w:rPr>
              <w:t>0.</w:t>
            </w:r>
            <w:r>
              <w:rPr>
                <w:rFonts w:hint="eastAsia" w:ascii="仿宋" w:hAnsi="仿宋" w:eastAsia="仿宋" w:cs="宋体"/>
                <w:kern w:val="0"/>
                <w:sz w:val="24"/>
                <w:lang w:val="en-US" w:eastAsia="zh-CN"/>
              </w:rPr>
              <w:t>15</w:t>
            </w:r>
          </w:p>
        </w:tc>
        <w:tc>
          <w:tcPr>
            <w:tcW w:w="2240" w:type="dxa"/>
            <w:gridSpan w:val="2"/>
            <w:tcBorders>
              <w:top w:val="single" w:color="auto" w:sz="4" w:space="0"/>
              <w:left w:val="nil"/>
              <w:bottom w:val="single" w:color="auto" w:sz="4" w:space="0"/>
              <w:right w:val="single" w:color="000000" w:sz="4" w:space="0"/>
            </w:tcBorders>
            <w:noWrap w:val="0"/>
            <w:vAlign w:val="center"/>
          </w:tcPr>
          <w:p w14:paraId="57293E0E">
            <w:pPr>
              <w:widowControl/>
              <w:jc w:val="center"/>
              <w:rPr>
                <w:rFonts w:ascii="Times New Roman" w:hAnsi="Times New Roman" w:eastAsia="仿宋_GB2312" w:cs="Times New Roman"/>
                <w:color w:val="FF0000"/>
                <w:sz w:val="20"/>
                <w:szCs w:val="20"/>
              </w:rPr>
            </w:pPr>
            <w:r>
              <w:rPr>
                <w:rFonts w:hint="eastAsia" w:ascii="Times New Roman" w:hAnsi="Times New Roman" w:eastAsia="仿宋_GB2312" w:cs="Times New Roman"/>
                <w:color w:val="auto"/>
                <w:sz w:val="20"/>
                <w:szCs w:val="20"/>
                <w:lang w:val="en-US" w:eastAsia="zh-CN"/>
              </w:rPr>
              <w:t>1</w:t>
            </w:r>
            <w:r>
              <w:rPr>
                <w:rFonts w:ascii="Times New Roman" w:hAnsi="Times New Roman" w:eastAsia="仿宋_GB2312" w:cs="Times New Roman"/>
                <w:color w:val="auto"/>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46B003C">
            <w:pPr>
              <w:widowControl/>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0.27</w:t>
            </w:r>
          </w:p>
        </w:tc>
      </w:tr>
      <w:tr w14:paraId="734AB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599A50C">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6F5D37D9">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18CEB0F3">
            <w:pPr>
              <w:widowControl/>
              <w:jc w:val="center"/>
              <w:rPr>
                <w:rFonts w:ascii="Times New Roman" w:hAnsi="Times New Roman" w:eastAsia="仿宋_GB2312" w:cs="Times New Roman"/>
                <w:sz w:val="20"/>
                <w:szCs w:val="20"/>
              </w:rPr>
            </w:pPr>
            <w:r>
              <w:rPr>
                <w:rFonts w:hint="eastAsia" w:ascii="仿宋" w:hAnsi="仿宋" w:eastAsia="仿宋" w:cs="宋体"/>
                <w:kern w:val="0"/>
                <w:sz w:val="24"/>
                <w:lang w:val="en-US" w:eastAsia="zh-CN"/>
              </w:rPr>
              <w:t>6　</w:t>
            </w:r>
          </w:p>
        </w:tc>
        <w:tc>
          <w:tcPr>
            <w:tcW w:w="2041" w:type="dxa"/>
            <w:gridSpan w:val="2"/>
            <w:tcBorders>
              <w:top w:val="single" w:color="auto" w:sz="4" w:space="0"/>
              <w:left w:val="nil"/>
              <w:bottom w:val="single" w:color="auto" w:sz="4" w:space="0"/>
              <w:right w:val="single" w:color="000000" w:sz="4" w:space="0"/>
            </w:tcBorders>
            <w:noWrap w:val="0"/>
            <w:vAlign w:val="center"/>
          </w:tcPr>
          <w:p w14:paraId="473FABC9">
            <w:pPr>
              <w:widowControl/>
              <w:jc w:val="center"/>
              <w:rPr>
                <w:rFonts w:ascii="Times New Roman" w:hAnsi="Times New Roman" w:eastAsia="仿宋_GB2312" w:cs="Times New Roman"/>
                <w:sz w:val="20"/>
                <w:szCs w:val="20"/>
              </w:rPr>
            </w:pPr>
            <w:r>
              <w:rPr>
                <w:rFonts w:hint="eastAsia" w:ascii="仿宋" w:hAnsi="仿宋" w:eastAsia="仿宋" w:cs="宋体"/>
                <w:kern w:val="0"/>
                <w:sz w:val="24"/>
                <w:lang w:val="en-US" w:eastAsia="zh-CN"/>
              </w:rPr>
              <w:t>6.86</w:t>
            </w:r>
            <w:r>
              <w:rPr>
                <w:rFonts w:ascii="Times New Roman" w:hAnsi="Times New Roman" w:eastAsia="仿宋_GB2312" w:cs="Times New Roman"/>
                <w:sz w:val="20"/>
                <w:szCs w:val="20"/>
              </w:rPr>
              <w:t>　</w:t>
            </w:r>
          </w:p>
        </w:tc>
      </w:tr>
      <w:tr w14:paraId="70A0E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AD79E8B">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1EF8DA75">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5B97058C">
            <w:pPr>
              <w:widowControl/>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472.16</w:t>
            </w:r>
            <w:r>
              <w:rPr>
                <w:rFonts w:ascii="Times New Roman" w:hAnsi="Times New Roman" w:eastAsia="仿宋_GB2312" w:cs="Times New Roman"/>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D19031A">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r>
      <w:tr w14:paraId="33A67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1D3B144F">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楼堂馆所控制情况</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（202</w:t>
            </w:r>
            <w:r>
              <w:rPr>
                <w:rFonts w:hint="eastAsia" w:ascii="Times New Roman" w:hAnsi="Times New Roman" w:eastAsia="仿宋_GB2312" w:cs="Times New Roman"/>
                <w:sz w:val="20"/>
                <w:szCs w:val="20"/>
                <w:lang w:val="en-US" w:eastAsia="zh-CN"/>
              </w:rPr>
              <w:t>4</w:t>
            </w:r>
            <w:r>
              <w:rPr>
                <w:rFonts w:ascii="Times New Roman" w:hAnsi="Times New Roman" w:eastAsia="仿宋_GB2312" w:cs="Times New Roman"/>
                <w:sz w:val="20"/>
                <w:szCs w:val="20"/>
              </w:rPr>
              <w:t>年完工项目）</w:t>
            </w:r>
          </w:p>
        </w:tc>
        <w:tc>
          <w:tcPr>
            <w:tcW w:w="1189" w:type="dxa"/>
            <w:tcBorders>
              <w:top w:val="nil"/>
              <w:left w:val="nil"/>
              <w:bottom w:val="single" w:color="auto" w:sz="4" w:space="0"/>
              <w:right w:val="single" w:color="auto" w:sz="4" w:space="0"/>
            </w:tcBorders>
            <w:noWrap w:val="0"/>
            <w:vAlign w:val="center"/>
          </w:tcPr>
          <w:p w14:paraId="3051692F">
            <w:pPr>
              <w:widowControl/>
              <w:spacing w:line="240" w:lineRule="exact"/>
              <w:jc w:val="center"/>
              <w:rPr>
                <w:rFonts w:ascii="Times New Roman" w:hAnsi="Times New Roman" w:eastAsia="仿宋_GB2312" w:cs="Times New Roman"/>
                <w:bCs/>
                <w:sz w:val="20"/>
                <w:szCs w:val="20"/>
              </w:rPr>
            </w:pPr>
            <w:r>
              <w:rPr>
                <w:rFonts w:ascii="Times New Roman" w:hAnsi="Times New Roman" w:eastAsia="仿宋_GB2312" w:cs="Times New Roman"/>
                <w:bCs/>
                <w:sz w:val="20"/>
                <w:szCs w:val="20"/>
              </w:rPr>
              <w:t>批复规模</w:t>
            </w:r>
            <w:r>
              <w:rPr>
                <w:rFonts w:ascii="Times New Roman" w:hAnsi="Times New Roman" w:eastAsia="仿宋_GB2312" w:cs="Times New Roman"/>
                <w:bCs/>
                <w:sz w:val="20"/>
                <w:szCs w:val="20"/>
              </w:rPr>
              <w:br w:type="textWrapping"/>
            </w:r>
            <w:r>
              <w:rPr>
                <w:rFonts w:ascii="Times New Roman" w:hAnsi="Times New Roman" w:eastAsia="仿宋_GB2312" w:cs="Times New Roman"/>
                <w:bCs/>
                <w:sz w:val="20"/>
                <w:szCs w:val="20"/>
              </w:rPr>
              <w:t>（</w:t>
            </w:r>
            <w:r>
              <w:rPr>
                <w:rFonts w:ascii="Times New Roman" w:hAnsi="Times New Roman" w:cs="Times New Roman"/>
                <w:bCs/>
                <w:sz w:val="20"/>
                <w:szCs w:val="20"/>
              </w:rPr>
              <w:t>㎡</w:t>
            </w:r>
            <w:r>
              <w:rPr>
                <w:rFonts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noWrap w:val="0"/>
            <w:vAlign w:val="center"/>
          </w:tcPr>
          <w:p w14:paraId="18A12A36">
            <w:pPr>
              <w:widowControl/>
              <w:spacing w:line="240" w:lineRule="exact"/>
              <w:jc w:val="center"/>
              <w:rPr>
                <w:rFonts w:ascii="Times New Roman" w:hAnsi="Times New Roman" w:eastAsia="仿宋_GB2312" w:cs="Times New Roman"/>
                <w:bCs/>
                <w:sz w:val="20"/>
                <w:szCs w:val="20"/>
              </w:rPr>
            </w:pPr>
            <w:r>
              <w:rPr>
                <w:rFonts w:ascii="Times New Roman" w:hAnsi="Times New Roman" w:eastAsia="仿宋_GB2312" w:cs="Times New Roman"/>
                <w:bCs/>
                <w:sz w:val="20"/>
                <w:szCs w:val="20"/>
              </w:rPr>
              <w:t>实际规模（</w:t>
            </w:r>
            <w:r>
              <w:rPr>
                <w:rFonts w:ascii="Times New Roman" w:hAnsi="Times New Roman" w:cs="Times New Roman"/>
                <w:bCs/>
                <w:sz w:val="20"/>
                <w:szCs w:val="20"/>
              </w:rPr>
              <w:t>㎡</w:t>
            </w:r>
            <w:r>
              <w:rPr>
                <w:rFonts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noWrap w:val="0"/>
            <w:vAlign w:val="center"/>
          </w:tcPr>
          <w:p w14:paraId="3BB49901">
            <w:pPr>
              <w:widowControl/>
              <w:spacing w:line="240" w:lineRule="exact"/>
              <w:jc w:val="center"/>
              <w:rPr>
                <w:rFonts w:ascii="Times New Roman" w:hAnsi="Times New Roman" w:eastAsia="仿宋_GB2312" w:cs="Times New Roman"/>
                <w:bCs/>
                <w:sz w:val="20"/>
                <w:szCs w:val="20"/>
              </w:rPr>
            </w:pPr>
            <w:r>
              <w:rPr>
                <w:rFonts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noWrap w:val="0"/>
            <w:vAlign w:val="center"/>
          </w:tcPr>
          <w:p w14:paraId="140D9BC2">
            <w:pPr>
              <w:widowControl/>
              <w:spacing w:line="240" w:lineRule="exact"/>
              <w:jc w:val="center"/>
              <w:rPr>
                <w:rFonts w:ascii="Times New Roman" w:hAnsi="Times New Roman" w:eastAsia="仿宋_GB2312" w:cs="Times New Roman"/>
                <w:bCs/>
                <w:sz w:val="20"/>
                <w:szCs w:val="20"/>
              </w:rPr>
            </w:pPr>
            <w:r>
              <w:rPr>
                <w:rFonts w:ascii="Times New Roman" w:hAnsi="Times New Roman" w:eastAsia="仿宋_GB2312" w:cs="Times New Roman"/>
                <w:bCs/>
                <w:sz w:val="20"/>
                <w:szCs w:val="20"/>
              </w:rPr>
              <w:t>预算投资（万元）</w:t>
            </w:r>
          </w:p>
        </w:tc>
        <w:tc>
          <w:tcPr>
            <w:tcW w:w="1081" w:type="dxa"/>
            <w:tcBorders>
              <w:top w:val="nil"/>
              <w:left w:val="nil"/>
              <w:bottom w:val="single" w:color="auto" w:sz="4" w:space="0"/>
              <w:right w:val="single" w:color="auto" w:sz="4" w:space="0"/>
            </w:tcBorders>
            <w:noWrap w:val="0"/>
            <w:vAlign w:val="center"/>
          </w:tcPr>
          <w:p w14:paraId="22971D0C">
            <w:pPr>
              <w:widowControl/>
              <w:spacing w:line="240" w:lineRule="exact"/>
              <w:jc w:val="center"/>
              <w:rPr>
                <w:rFonts w:ascii="Times New Roman" w:hAnsi="Times New Roman" w:eastAsia="仿宋_GB2312" w:cs="Times New Roman"/>
                <w:bCs/>
                <w:sz w:val="20"/>
                <w:szCs w:val="20"/>
              </w:rPr>
            </w:pPr>
            <w:r>
              <w:rPr>
                <w:rFonts w:ascii="Times New Roman" w:hAnsi="Times New Roman" w:eastAsia="仿宋_GB2312" w:cs="Times New Roman"/>
                <w:bCs/>
                <w:sz w:val="20"/>
                <w:szCs w:val="20"/>
              </w:rPr>
              <w:t>实际投资（万元）</w:t>
            </w:r>
          </w:p>
        </w:tc>
        <w:tc>
          <w:tcPr>
            <w:tcW w:w="960" w:type="dxa"/>
            <w:tcBorders>
              <w:top w:val="nil"/>
              <w:left w:val="nil"/>
              <w:bottom w:val="single" w:color="auto" w:sz="4" w:space="0"/>
              <w:right w:val="single" w:color="auto" w:sz="4" w:space="0"/>
            </w:tcBorders>
            <w:noWrap w:val="0"/>
            <w:vAlign w:val="center"/>
          </w:tcPr>
          <w:p w14:paraId="4D903C27">
            <w:pPr>
              <w:widowControl/>
              <w:spacing w:line="240" w:lineRule="exact"/>
              <w:jc w:val="center"/>
              <w:rPr>
                <w:rFonts w:ascii="Times New Roman" w:hAnsi="Times New Roman" w:eastAsia="仿宋_GB2312" w:cs="Times New Roman"/>
                <w:bCs/>
                <w:sz w:val="20"/>
                <w:szCs w:val="20"/>
              </w:rPr>
            </w:pPr>
            <w:r>
              <w:rPr>
                <w:rFonts w:ascii="Times New Roman" w:hAnsi="Times New Roman" w:eastAsia="仿宋_GB2312" w:cs="Times New Roman"/>
                <w:bCs/>
                <w:sz w:val="20"/>
                <w:szCs w:val="20"/>
              </w:rPr>
              <w:t>投资概算控制率</w:t>
            </w:r>
          </w:p>
        </w:tc>
      </w:tr>
      <w:tr w14:paraId="1EA87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7AE92C77">
            <w:pPr>
              <w:widowControl/>
              <w:jc w:val="left"/>
              <w:rPr>
                <w:rFonts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noWrap w:val="0"/>
            <w:vAlign w:val="center"/>
          </w:tcPr>
          <w:p w14:paraId="53478409">
            <w:pPr>
              <w:widowControl/>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r>
              <w:rPr>
                <w:rFonts w:ascii="Times New Roman" w:hAnsi="Times New Roman" w:eastAsia="仿宋_GB2312" w:cs="Times New Roman"/>
                <w:sz w:val="20"/>
                <w:szCs w:val="20"/>
              </w:rPr>
              <w:t>　</w:t>
            </w:r>
          </w:p>
        </w:tc>
        <w:tc>
          <w:tcPr>
            <w:tcW w:w="849" w:type="dxa"/>
            <w:tcBorders>
              <w:top w:val="nil"/>
              <w:left w:val="nil"/>
              <w:bottom w:val="single" w:color="auto" w:sz="4" w:space="0"/>
              <w:right w:val="single" w:color="auto" w:sz="4" w:space="0"/>
            </w:tcBorders>
            <w:noWrap w:val="0"/>
            <w:vAlign w:val="center"/>
          </w:tcPr>
          <w:p w14:paraId="296265F0">
            <w:pPr>
              <w:widowControl/>
              <w:jc w:val="left"/>
              <w:rPr>
                <w:rFonts w:hint="eastAsia" w:ascii="Times New Roman" w:hAnsi="Times New Roman" w:eastAsia="仿宋_GB2312" w:cs="Times New Roman"/>
                <w:sz w:val="20"/>
                <w:szCs w:val="20"/>
                <w:lang w:val="en-US" w:eastAsia="zh-CN"/>
              </w:rPr>
            </w:pPr>
            <w:r>
              <w:rPr>
                <w:rFonts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0</w:t>
            </w:r>
          </w:p>
        </w:tc>
        <w:tc>
          <w:tcPr>
            <w:tcW w:w="1129" w:type="dxa"/>
            <w:tcBorders>
              <w:top w:val="nil"/>
              <w:left w:val="nil"/>
              <w:bottom w:val="single" w:color="auto" w:sz="4" w:space="0"/>
              <w:right w:val="single" w:color="auto" w:sz="4" w:space="0"/>
            </w:tcBorders>
            <w:noWrap w:val="0"/>
            <w:vAlign w:val="center"/>
          </w:tcPr>
          <w:p w14:paraId="0A2F193C">
            <w:pPr>
              <w:widowControl/>
              <w:jc w:val="left"/>
              <w:rPr>
                <w:rFonts w:hint="eastAsia" w:ascii="Times New Roman" w:hAnsi="Times New Roman" w:eastAsia="仿宋_GB2312" w:cs="Times New Roman"/>
                <w:sz w:val="20"/>
                <w:szCs w:val="20"/>
                <w:lang w:val="en-US" w:eastAsia="zh-CN"/>
              </w:rPr>
            </w:pPr>
            <w:r>
              <w:rPr>
                <w:rFonts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0</w:t>
            </w:r>
          </w:p>
        </w:tc>
        <w:tc>
          <w:tcPr>
            <w:tcW w:w="1111" w:type="dxa"/>
            <w:tcBorders>
              <w:top w:val="nil"/>
              <w:left w:val="nil"/>
              <w:bottom w:val="single" w:color="auto" w:sz="4" w:space="0"/>
              <w:right w:val="single" w:color="auto" w:sz="4" w:space="0"/>
            </w:tcBorders>
            <w:noWrap w:val="0"/>
            <w:vAlign w:val="center"/>
          </w:tcPr>
          <w:p w14:paraId="01687169">
            <w:pPr>
              <w:widowControl/>
              <w:jc w:val="left"/>
              <w:rPr>
                <w:rFonts w:hint="eastAsia" w:ascii="Times New Roman" w:hAnsi="Times New Roman" w:eastAsia="仿宋_GB2312" w:cs="Times New Roman"/>
                <w:sz w:val="20"/>
                <w:szCs w:val="20"/>
                <w:lang w:val="en-US" w:eastAsia="zh-CN"/>
              </w:rPr>
            </w:pPr>
            <w:r>
              <w:rPr>
                <w:rFonts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0</w:t>
            </w:r>
          </w:p>
        </w:tc>
        <w:tc>
          <w:tcPr>
            <w:tcW w:w="1081" w:type="dxa"/>
            <w:tcBorders>
              <w:top w:val="nil"/>
              <w:left w:val="nil"/>
              <w:bottom w:val="single" w:color="auto" w:sz="4" w:space="0"/>
              <w:right w:val="single" w:color="auto" w:sz="4" w:space="0"/>
            </w:tcBorders>
            <w:noWrap w:val="0"/>
            <w:vAlign w:val="center"/>
          </w:tcPr>
          <w:p w14:paraId="6B236577">
            <w:pPr>
              <w:widowControl/>
              <w:jc w:val="left"/>
              <w:rPr>
                <w:rFonts w:hint="eastAsia" w:ascii="Times New Roman" w:hAnsi="Times New Roman" w:eastAsia="仿宋_GB2312" w:cs="Times New Roman"/>
                <w:sz w:val="20"/>
                <w:szCs w:val="20"/>
                <w:lang w:val="en-US" w:eastAsia="zh-CN"/>
              </w:rPr>
            </w:pPr>
            <w:r>
              <w:rPr>
                <w:rFonts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0</w:t>
            </w:r>
          </w:p>
        </w:tc>
        <w:tc>
          <w:tcPr>
            <w:tcW w:w="960" w:type="dxa"/>
            <w:tcBorders>
              <w:top w:val="nil"/>
              <w:left w:val="nil"/>
              <w:bottom w:val="single" w:color="auto" w:sz="4" w:space="0"/>
              <w:right w:val="single" w:color="auto" w:sz="4" w:space="0"/>
            </w:tcBorders>
            <w:noWrap w:val="0"/>
            <w:vAlign w:val="center"/>
          </w:tcPr>
          <w:p w14:paraId="00D251C1">
            <w:pPr>
              <w:widowControl/>
              <w:jc w:val="left"/>
              <w:rPr>
                <w:rFonts w:hint="eastAsia" w:ascii="Times New Roman" w:hAnsi="Times New Roman" w:eastAsia="仿宋_GB2312" w:cs="Times New Roman"/>
                <w:sz w:val="20"/>
                <w:szCs w:val="20"/>
                <w:lang w:val="en-US" w:eastAsia="zh-CN"/>
              </w:rPr>
            </w:pPr>
            <w:r>
              <w:rPr>
                <w:rFonts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0</w:t>
            </w:r>
          </w:p>
        </w:tc>
      </w:tr>
      <w:tr w14:paraId="74466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BC760C4">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067045FF">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r>
    </w:tbl>
    <w:p w14:paraId="46E47732">
      <w:pPr>
        <w:widowControl/>
        <w:jc w:val="left"/>
        <w:rPr>
          <w:rFonts w:ascii="Times New Roman" w:hAnsi="Times New Roman" w:eastAsia="仿宋_GB2312" w:cs="Times New Roman"/>
          <w:sz w:val="22"/>
        </w:rPr>
      </w:pPr>
    </w:p>
    <w:p w14:paraId="1439F8BB">
      <w:pPr>
        <w:widowControl/>
        <w:jc w:val="left"/>
        <w:rPr>
          <w:rFonts w:ascii="Times New Roman" w:hAnsi="Times New Roman" w:eastAsia="仿宋_GB2312" w:cs="Times New Roman"/>
          <w:sz w:val="22"/>
        </w:rPr>
      </w:pPr>
      <w:r>
        <w:rPr>
          <w:rFonts w:ascii="Times New Roman" w:hAnsi="Times New Roman" w:eastAsia="仿宋_GB2312" w:cs="Times New Roman"/>
          <w:sz w:val="22"/>
        </w:rPr>
        <w:t>说明：“项目支出”需要填报基本支出以外的所有项目支出情况，“公用经费”填报基本支出中的一般商品和服务支出。</w:t>
      </w:r>
    </w:p>
    <w:p w14:paraId="637D5E94">
      <w:pPr>
        <w:widowControl/>
        <w:jc w:val="left"/>
        <w:rPr>
          <w:rFonts w:ascii="Times New Roman" w:hAnsi="Times New Roman" w:eastAsia="仿宋_GB2312" w:cs="Times New Roman"/>
          <w:sz w:val="22"/>
        </w:rPr>
      </w:pPr>
    </w:p>
    <w:p w14:paraId="1781C43F">
      <w:pPr>
        <w:rPr>
          <w:rFonts w:hint="eastAsia" w:eastAsia="仿宋_GB2312"/>
          <w:lang w:eastAsia="zh-CN"/>
        </w:rPr>
      </w:pPr>
      <w:r>
        <w:rPr>
          <w:rFonts w:ascii="Times New Roman" w:hAnsi="Times New Roman" w:eastAsia="仿宋_GB2312" w:cs="Times New Roman"/>
          <w:sz w:val="22"/>
        </w:rPr>
        <w:t>填表人：</w:t>
      </w:r>
      <w:r>
        <w:rPr>
          <w:rFonts w:hint="eastAsia" w:ascii="Times New Roman" w:hAnsi="Times New Roman" w:eastAsia="仿宋_GB2312" w:cs="Times New Roman"/>
          <w:sz w:val="22"/>
          <w:lang w:eastAsia="zh-CN"/>
        </w:rPr>
        <w:t>向浩华</w:t>
      </w:r>
      <w:r>
        <w:rPr>
          <w:rFonts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2025.7</w:t>
      </w:r>
      <w:r>
        <w:rPr>
          <w:rFonts w:ascii="Times New Roman" w:hAnsi="Times New Roman" w:eastAsia="仿宋_GB2312" w:cs="Times New Roman"/>
          <w:sz w:val="22"/>
        </w:rPr>
        <w:t xml:space="preserve">  联系电话：</w:t>
      </w:r>
      <w:r>
        <w:rPr>
          <w:rFonts w:hint="eastAsia" w:ascii="Times New Roman" w:hAnsi="Times New Roman" w:eastAsia="仿宋_GB2312" w:cs="Times New Roman"/>
          <w:sz w:val="22"/>
          <w:lang w:val="en-US" w:eastAsia="zh-CN"/>
        </w:rPr>
        <w:t>18074558989</w:t>
      </w:r>
      <w:r>
        <w:rPr>
          <w:rFonts w:ascii="Times New Roman" w:hAnsi="Times New Roman" w:eastAsia="仿宋_GB2312" w:cs="Times New Roman"/>
          <w:sz w:val="22"/>
        </w:rPr>
        <w:t>单位负责人签字</w:t>
      </w:r>
      <w:r>
        <w:rPr>
          <w:rFonts w:hint="eastAsia" w:ascii="Times New Roman" w:hAnsi="Times New Roman" w:eastAsia="仿宋_GB2312" w:cs="Times New Roman"/>
          <w:sz w:val="22"/>
          <w:lang w:eastAsia="zh-CN"/>
        </w:rPr>
        <w:t>：唐华华</w:t>
      </w:r>
    </w:p>
    <w:p w14:paraId="470C4D22">
      <w:pPr>
        <w:widowControl/>
        <w:spacing w:after="156" w:afterLines="50"/>
        <w:jc w:val="left"/>
        <w:rPr>
          <w:rFonts w:hint="eastAsia" w:ascii="Times New Roman" w:hAnsi="Times New Roman" w:eastAsia="黑体" w:cs="Times New Roman"/>
          <w:sz w:val="32"/>
          <w:szCs w:val="32"/>
          <w:lang w:val="en-US" w:eastAsia="zh-CN"/>
        </w:rPr>
      </w:pPr>
      <w: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p>
    <w:p w14:paraId="6EFDDD1D">
      <w:pPr>
        <w:widowControl/>
        <w:spacing w:after="156" w:afterLines="50"/>
        <w:jc w:val="center"/>
        <w:rPr>
          <w:rFonts w:ascii="Times New Roman" w:hAnsi="Times New Roman" w:eastAsia="方正小标宋_GBK" w:cs="Times New Roman"/>
          <w:color w:val="000000"/>
          <w:sz w:val="36"/>
          <w:szCs w:val="36"/>
        </w:rPr>
      </w:pPr>
      <w:r>
        <w:rPr>
          <w:rFonts w:ascii="Times New Roman" w:hAnsi="Times New Roman" w:eastAsia="方正小标宋_GBK" w:cs="Times New Roman"/>
          <w:color w:val="000000"/>
          <w:sz w:val="36"/>
          <w:szCs w:val="36"/>
        </w:rPr>
        <w:t>部门整体支出绩效自评表</w:t>
      </w:r>
    </w:p>
    <w:tbl>
      <w:tblPr>
        <w:tblStyle w:val="6"/>
        <w:tblW w:w="0" w:type="auto"/>
        <w:jc w:val="center"/>
        <w:tblLayout w:type="fixed"/>
        <w:tblCellMar>
          <w:top w:w="0" w:type="dxa"/>
          <w:left w:w="108" w:type="dxa"/>
          <w:bottom w:w="0" w:type="dxa"/>
          <w:right w:w="108" w:type="dxa"/>
        </w:tblCellMar>
      </w:tblPr>
      <w:tblGrid>
        <w:gridCol w:w="1080"/>
        <w:gridCol w:w="1080"/>
        <w:gridCol w:w="953"/>
        <w:gridCol w:w="1256"/>
        <w:gridCol w:w="95"/>
        <w:gridCol w:w="1311"/>
        <w:gridCol w:w="1269"/>
        <w:gridCol w:w="716"/>
        <w:gridCol w:w="881"/>
        <w:gridCol w:w="1438"/>
      </w:tblGrid>
      <w:tr w14:paraId="3E1BBC64">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A50C8FC">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市直</w:t>
            </w:r>
            <w:r>
              <w:rPr>
                <w:rFonts w:ascii="Times New Roman" w:hAnsi="Times New Roman" w:eastAsia="仿宋_GB2312" w:cs="Times New Roman"/>
                <w:color w:val="000000"/>
                <w:sz w:val="20"/>
                <w:szCs w:val="20"/>
              </w:rPr>
              <w:t>预算部门名称</w:t>
            </w:r>
          </w:p>
        </w:tc>
        <w:tc>
          <w:tcPr>
            <w:tcW w:w="8999" w:type="dxa"/>
            <w:gridSpan w:val="9"/>
            <w:tcBorders>
              <w:top w:val="single" w:color="auto" w:sz="4" w:space="0"/>
              <w:left w:val="nil"/>
              <w:bottom w:val="single" w:color="auto" w:sz="4" w:space="0"/>
              <w:right w:val="single" w:color="auto" w:sz="4" w:space="0"/>
            </w:tcBorders>
            <w:noWrap w:val="0"/>
            <w:vAlign w:val="center"/>
          </w:tcPr>
          <w:p w14:paraId="5822A360">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4"/>
                <w:szCs w:val="24"/>
              </w:rPr>
              <w:t>怀化市市委市政府机关幼儿园</w:t>
            </w:r>
            <w:r>
              <w:rPr>
                <w:rFonts w:ascii="Times New Roman" w:hAnsi="Times New Roman" w:eastAsia="仿宋_GB2312" w:cs="Times New Roman"/>
                <w:color w:val="000000"/>
                <w:sz w:val="20"/>
                <w:szCs w:val="20"/>
              </w:rPr>
              <w:t>　</w:t>
            </w:r>
          </w:p>
        </w:tc>
      </w:tr>
      <w:tr w14:paraId="1C93514C">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5FEB6D34">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年度预</w:t>
            </w:r>
          </w:p>
          <w:p w14:paraId="0C573157">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算申请</w:t>
            </w:r>
            <w:r>
              <w:rPr>
                <w:rFonts w:ascii="Times New Roman" w:hAnsi="Times New Roman" w:eastAsia="仿宋_GB2312" w:cs="Times New Roman"/>
                <w:color w:val="000000"/>
                <w:sz w:val="20"/>
                <w:szCs w:val="20"/>
              </w:rPr>
              <w:br w:type="textWrapping"/>
            </w:r>
            <w:r>
              <w:rPr>
                <w:rFonts w:ascii="Times New Roman" w:hAnsi="Times New Roman" w:eastAsia="仿宋_GB2312" w:cs="Times New Roman"/>
                <w:color w:val="000000"/>
                <w:sz w:val="20"/>
                <w:szCs w:val="20"/>
              </w:rPr>
              <w:t>（万元）</w:t>
            </w:r>
          </w:p>
        </w:tc>
        <w:tc>
          <w:tcPr>
            <w:tcW w:w="2033" w:type="dxa"/>
            <w:gridSpan w:val="2"/>
            <w:tcBorders>
              <w:top w:val="nil"/>
              <w:left w:val="nil"/>
              <w:bottom w:val="single" w:color="auto" w:sz="4" w:space="0"/>
              <w:right w:val="single" w:color="auto" w:sz="4" w:space="0"/>
            </w:tcBorders>
            <w:noWrap w:val="0"/>
            <w:vAlign w:val="center"/>
          </w:tcPr>
          <w:p w14:paraId="766600A0">
            <w:pPr>
              <w:spacing w:line="240" w:lineRule="exact"/>
              <w:jc w:val="center"/>
              <w:rPr>
                <w:rFonts w:ascii="Times New Roman" w:hAnsi="Times New Roman" w:eastAsia="仿宋_GB2312" w:cs="Times New Roman"/>
                <w:sz w:val="20"/>
                <w:szCs w:val="20"/>
              </w:rPr>
            </w:pPr>
          </w:p>
        </w:tc>
        <w:tc>
          <w:tcPr>
            <w:tcW w:w="1256" w:type="dxa"/>
            <w:tcBorders>
              <w:top w:val="nil"/>
              <w:left w:val="nil"/>
              <w:bottom w:val="single" w:color="auto" w:sz="4" w:space="0"/>
              <w:right w:val="single" w:color="auto" w:sz="4" w:space="0"/>
            </w:tcBorders>
            <w:noWrap w:val="0"/>
            <w:vAlign w:val="center"/>
          </w:tcPr>
          <w:p w14:paraId="20FE009A">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年初预算数</w:t>
            </w:r>
          </w:p>
        </w:tc>
        <w:tc>
          <w:tcPr>
            <w:tcW w:w="1406" w:type="dxa"/>
            <w:gridSpan w:val="2"/>
            <w:tcBorders>
              <w:top w:val="nil"/>
              <w:left w:val="nil"/>
              <w:bottom w:val="single" w:color="auto" w:sz="4" w:space="0"/>
              <w:right w:val="single" w:color="auto" w:sz="4" w:space="0"/>
            </w:tcBorders>
            <w:noWrap w:val="0"/>
            <w:vAlign w:val="center"/>
          </w:tcPr>
          <w:p w14:paraId="494C3355">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全年预算数</w:t>
            </w:r>
          </w:p>
        </w:tc>
        <w:tc>
          <w:tcPr>
            <w:tcW w:w="1269" w:type="dxa"/>
            <w:tcBorders>
              <w:top w:val="nil"/>
              <w:left w:val="nil"/>
              <w:bottom w:val="single" w:color="auto" w:sz="4" w:space="0"/>
              <w:right w:val="single" w:color="auto" w:sz="4" w:space="0"/>
            </w:tcBorders>
            <w:noWrap w:val="0"/>
            <w:vAlign w:val="center"/>
          </w:tcPr>
          <w:p w14:paraId="013CDAB4">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全年执行数</w:t>
            </w:r>
          </w:p>
        </w:tc>
        <w:tc>
          <w:tcPr>
            <w:tcW w:w="716" w:type="dxa"/>
            <w:tcBorders>
              <w:top w:val="nil"/>
              <w:left w:val="nil"/>
              <w:bottom w:val="single" w:color="auto" w:sz="4" w:space="0"/>
              <w:right w:val="single" w:color="auto" w:sz="4" w:space="0"/>
            </w:tcBorders>
            <w:noWrap w:val="0"/>
            <w:vAlign w:val="center"/>
          </w:tcPr>
          <w:p w14:paraId="7A3E877C">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分值</w:t>
            </w:r>
          </w:p>
        </w:tc>
        <w:tc>
          <w:tcPr>
            <w:tcW w:w="881" w:type="dxa"/>
            <w:tcBorders>
              <w:top w:val="nil"/>
              <w:left w:val="nil"/>
              <w:bottom w:val="single" w:color="auto" w:sz="4" w:space="0"/>
              <w:right w:val="single" w:color="auto" w:sz="4" w:space="0"/>
            </w:tcBorders>
            <w:noWrap w:val="0"/>
            <w:vAlign w:val="center"/>
          </w:tcPr>
          <w:p w14:paraId="06B9EDC9">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执行率</w:t>
            </w:r>
          </w:p>
        </w:tc>
        <w:tc>
          <w:tcPr>
            <w:tcW w:w="1438" w:type="dxa"/>
            <w:tcBorders>
              <w:top w:val="nil"/>
              <w:left w:val="nil"/>
              <w:bottom w:val="single" w:color="auto" w:sz="4" w:space="0"/>
              <w:right w:val="single" w:color="auto" w:sz="4" w:space="0"/>
            </w:tcBorders>
            <w:noWrap w:val="0"/>
            <w:vAlign w:val="center"/>
          </w:tcPr>
          <w:p w14:paraId="004A0CC1">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得分</w:t>
            </w:r>
          </w:p>
        </w:tc>
      </w:tr>
      <w:tr w14:paraId="2FE1993E">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11A64C55">
            <w:pPr>
              <w:widowControl/>
              <w:spacing w:line="240" w:lineRule="exact"/>
              <w:jc w:val="center"/>
              <w:rPr>
                <w:rFonts w:ascii="Times New Roman" w:hAnsi="Times New Roman" w:eastAsia="仿宋_GB2312" w:cs="Times New Roman"/>
                <w:color w:val="000000"/>
                <w:sz w:val="20"/>
                <w:szCs w:val="20"/>
              </w:rPr>
            </w:pPr>
          </w:p>
        </w:tc>
        <w:tc>
          <w:tcPr>
            <w:tcW w:w="2033" w:type="dxa"/>
            <w:gridSpan w:val="2"/>
            <w:tcBorders>
              <w:top w:val="nil"/>
              <w:left w:val="nil"/>
              <w:bottom w:val="single" w:color="auto" w:sz="4" w:space="0"/>
              <w:right w:val="single" w:color="auto" w:sz="4" w:space="0"/>
            </w:tcBorders>
            <w:noWrap w:val="0"/>
            <w:vAlign w:val="center"/>
          </w:tcPr>
          <w:p w14:paraId="28560EE0">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color w:val="000000"/>
                <w:sz w:val="20"/>
                <w:szCs w:val="20"/>
              </w:rPr>
              <w:t>年度资金总额</w:t>
            </w:r>
          </w:p>
        </w:tc>
        <w:tc>
          <w:tcPr>
            <w:tcW w:w="1256" w:type="dxa"/>
            <w:tcBorders>
              <w:top w:val="nil"/>
              <w:left w:val="nil"/>
              <w:bottom w:val="single" w:color="auto" w:sz="4" w:space="0"/>
              <w:right w:val="single" w:color="auto" w:sz="4" w:space="0"/>
            </w:tcBorders>
            <w:noWrap w:val="0"/>
            <w:vAlign w:val="center"/>
          </w:tcPr>
          <w:p w14:paraId="7A90A653">
            <w:pPr>
              <w:spacing w:line="240" w:lineRule="exact"/>
              <w:jc w:val="both"/>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466.04</w:t>
            </w:r>
          </w:p>
        </w:tc>
        <w:tc>
          <w:tcPr>
            <w:tcW w:w="1406" w:type="dxa"/>
            <w:gridSpan w:val="2"/>
            <w:tcBorders>
              <w:top w:val="nil"/>
              <w:left w:val="nil"/>
              <w:bottom w:val="single" w:color="auto" w:sz="4" w:space="0"/>
              <w:right w:val="single" w:color="auto" w:sz="4" w:space="0"/>
            </w:tcBorders>
            <w:noWrap w:val="0"/>
            <w:vAlign w:val="center"/>
          </w:tcPr>
          <w:p w14:paraId="2120D9D8">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492.91</w:t>
            </w:r>
          </w:p>
        </w:tc>
        <w:tc>
          <w:tcPr>
            <w:tcW w:w="1269" w:type="dxa"/>
            <w:tcBorders>
              <w:top w:val="nil"/>
              <w:left w:val="nil"/>
              <w:bottom w:val="single" w:color="auto" w:sz="4" w:space="0"/>
              <w:right w:val="single" w:color="auto" w:sz="4" w:space="0"/>
            </w:tcBorders>
            <w:noWrap w:val="0"/>
            <w:vAlign w:val="center"/>
          </w:tcPr>
          <w:p w14:paraId="604091EE">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472.16</w:t>
            </w:r>
          </w:p>
        </w:tc>
        <w:tc>
          <w:tcPr>
            <w:tcW w:w="716" w:type="dxa"/>
            <w:tcBorders>
              <w:top w:val="nil"/>
              <w:left w:val="nil"/>
              <w:bottom w:val="single" w:color="auto" w:sz="4" w:space="0"/>
              <w:right w:val="single" w:color="auto" w:sz="4" w:space="0"/>
            </w:tcBorders>
            <w:noWrap w:val="0"/>
            <w:vAlign w:val="center"/>
          </w:tcPr>
          <w:p w14:paraId="3EB24D14">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10</w:t>
            </w:r>
          </w:p>
        </w:tc>
        <w:tc>
          <w:tcPr>
            <w:tcW w:w="881" w:type="dxa"/>
            <w:tcBorders>
              <w:top w:val="nil"/>
              <w:left w:val="nil"/>
              <w:bottom w:val="single" w:color="auto" w:sz="4" w:space="0"/>
              <w:right w:val="single" w:color="auto" w:sz="4" w:space="0"/>
            </w:tcBorders>
            <w:noWrap w:val="0"/>
            <w:vAlign w:val="center"/>
          </w:tcPr>
          <w:p w14:paraId="1C64D284">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95.79%</w:t>
            </w:r>
          </w:p>
        </w:tc>
        <w:tc>
          <w:tcPr>
            <w:tcW w:w="1438" w:type="dxa"/>
            <w:tcBorders>
              <w:top w:val="nil"/>
              <w:left w:val="nil"/>
              <w:bottom w:val="single" w:color="auto" w:sz="4" w:space="0"/>
              <w:right w:val="single" w:color="auto" w:sz="4" w:space="0"/>
            </w:tcBorders>
            <w:noWrap w:val="0"/>
            <w:vAlign w:val="center"/>
          </w:tcPr>
          <w:p w14:paraId="73080CEB">
            <w:pPr>
              <w:spacing w:line="240" w:lineRule="exact"/>
              <w:jc w:val="center"/>
              <w:rPr>
                <w:rFonts w:ascii="Times New Roman" w:hAnsi="Times New Roman" w:eastAsia="仿宋_GB2312" w:cs="Times New Roman"/>
                <w:sz w:val="20"/>
                <w:szCs w:val="20"/>
              </w:rPr>
            </w:pPr>
          </w:p>
        </w:tc>
      </w:tr>
      <w:tr w14:paraId="2EF834D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7850716">
            <w:pPr>
              <w:widowControl/>
              <w:spacing w:line="240" w:lineRule="exact"/>
              <w:jc w:val="left"/>
              <w:rPr>
                <w:rFonts w:ascii="Times New Roman" w:hAnsi="Times New Roman" w:eastAsia="仿宋_GB2312" w:cs="Times New Roman"/>
                <w:color w:val="000000"/>
                <w:sz w:val="20"/>
                <w:szCs w:val="20"/>
              </w:rPr>
            </w:pPr>
          </w:p>
        </w:tc>
        <w:tc>
          <w:tcPr>
            <w:tcW w:w="4695" w:type="dxa"/>
            <w:gridSpan w:val="5"/>
            <w:tcBorders>
              <w:top w:val="nil"/>
              <w:left w:val="nil"/>
              <w:bottom w:val="single" w:color="auto" w:sz="4" w:space="0"/>
              <w:right w:val="single" w:color="auto" w:sz="4" w:space="0"/>
            </w:tcBorders>
            <w:noWrap w:val="0"/>
            <w:vAlign w:val="center"/>
          </w:tcPr>
          <w:p w14:paraId="720491B3">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按收入性质分：</w:t>
            </w:r>
          </w:p>
        </w:tc>
        <w:tc>
          <w:tcPr>
            <w:tcW w:w="4304" w:type="dxa"/>
            <w:gridSpan w:val="4"/>
            <w:tcBorders>
              <w:top w:val="nil"/>
              <w:left w:val="nil"/>
              <w:bottom w:val="single" w:color="auto" w:sz="4" w:space="0"/>
              <w:right w:val="single" w:color="auto" w:sz="4" w:space="0"/>
            </w:tcBorders>
            <w:noWrap w:val="0"/>
            <w:vAlign w:val="center"/>
          </w:tcPr>
          <w:p w14:paraId="2CA7DA52">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按支出性质分：</w:t>
            </w:r>
          </w:p>
        </w:tc>
      </w:tr>
      <w:tr w14:paraId="444A3C5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BAD4AEF">
            <w:pPr>
              <w:widowControl/>
              <w:spacing w:line="240" w:lineRule="exact"/>
              <w:jc w:val="left"/>
              <w:rPr>
                <w:rFonts w:ascii="Times New Roman" w:hAnsi="Times New Roman" w:eastAsia="仿宋_GB2312" w:cs="Times New Roman"/>
                <w:color w:val="000000"/>
                <w:sz w:val="20"/>
                <w:szCs w:val="20"/>
              </w:rPr>
            </w:pPr>
          </w:p>
        </w:tc>
        <w:tc>
          <w:tcPr>
            <w:tcW w:w="4695" w:type="dxa"/>
            <w:gridSpan w:val="5"/>
            <w:tcBorders>
              <w:top w:val="nil"/>
              <w:left w:val="nil"/>
              <w:bottom w:val="single" w:color="auto" w:sz="4" w:space="0"/>
              <w:right w:val="single" w:color="auto" w:sz="4" w:space="0"/>
            </w:tcBorders>
            <w:noWrap w:val="0"/>
            <w:vAlign w:val="center"/>
          </w:tcPr>
          <w:p w14:paraId="1031F038">
            <w:pPr>
              <w:widowControl/>
              <w:spacing w:line="240" w:lineRule="exact"/>
              <w:jc w:val="left"/>
              <w:rPr>
                <w:rFonts w:hint="default"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xml:space="preserve">  其中：  一般公共预算：</w:t>
            </w:r>
            <w:r>
              <w:rPr>
                <w:rFonts w:hint="eastAsia" w:ascii="Times New Roman" w:hAnsi="Times New Roman" w:eastAsia="仿宋_GB2312" w:cs="Times New Roman"/>
                <w:color w:val="000000"/>
                <w:sz w:val="20"/>
                <w:szCs w:val="20"/>
                <w:lang w:val="en-US" w:eastAsia="zh-CN"/>
              </w:rPr>
              <w:t>472.16</w:t>
            </w:r>
          </w:p>
        </w:tc>
        <w:tc>
          <w:tcPr>
            <w:tcW w:w="4304" w:type="dxa"/>
            <w:gridSpan w:val="4"/>
            <w:tcBorders>
              <w:top w:val="nil"/>
              <w:left w:val="nil"/>
              <w:bottom w:val="single" w:color="auto" w:sz="4" w:space="0"/>
              <w:right w:val="single" w:color="auto" w:sz="4" w:space="0"/>
            </w:tcBorders>
            <w:noWrap w:val="0"/>
            <w:vAlign w:val="center"/>
          </w:tcPr>
          <w:p w14:paraId="502F8C6C">
            <w:pPr>
              <w:widowControl/>
              <w:spacing w:line="240" w:lineRule="exact"/>
              <w:jc w:val="left"/>
              <w:rPr>
                <w:rFonts w:hint="default"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其中：基本支出：</w:t>
            </w:r>
            <w:r>
              <w:rPr>
                <w:rFonts w:hint="eastAsia" w:ascii="Times New Roman" w:hAnsi="Times New Roman" w:eastAsia="仿宋_GB2312" w:cs="Times New Roman"/>
                <w:color w:val="000000"/>
                <w:sz w:val="20"/>
                <w:szCs w:val="20"/>
                <w:lang w:val="en-US" w:eastAsia="zh-CN"/>
              </w:rPr>
              <w:t>353.59</w:t>
            </w:r>
          </w:p>
        </w:tc>
      </w:tr>
      <w:tr w14:paraId="4DF9FB0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9DC1554">
            <w:pPr>
              <w:widowControl/>
              <w:spacing w:line="240" w:lineRule="exact"/>
              <w:jc w:val="left"/>
              <w:rPr>
                <w:rFonts w:ascii="Times New Roman" w:hAnsi="Times New Roman" w:eastAsia="仿宋_GB2312" w:cs="Times New Roman"/>
                <w:color w:val="000000"/>
                <w:sz w:val="20"/>
                <w:szCs w:val="20"/>
              </w:rPr>
            </w:pPr>
          </w:p>
        </w:tc>
        <w:tc>
          <w:tcPr>
            <w:tcW w:w="4695" w:type="dxa"/>
            <w:gridSpan w:val="5"/>
            <w:tcBorders>
              <w:top w:val="nil"/>
              <w:left w:val="nil"/>
              <w:bottom w:val="single" w:color="auto" w:sz="4" w:space="0"/>
              <w:right w:val="single" w:color="auto" w:sz="4" w:space="0"/>
            </w:tcBorders>
            <w:noWrap w:val="0"/>
            <w:vAlign w:val="center"/>
          </w:tcPr>
          <w:p w14:paraId="5A1F6DAA">
            <w:pPr>
              <w:widowControl/>
              <w:spacing w:line="240" w:lineRule="exact"/>
              <w:ind w:firstLine="800" w:firstLineChars="400"/>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政府性基金拨款：</w:t>
            </w:r>
          </w:p>
        </w:tc>
        <w:tc>
          <w:tcPr>
            <w:tcW w:w="4304" w:type="dxa"/>
            <w:gridSpan w:val="4"/>
            <w:tcBorders>
              <w:top w:val="nil"/>
              <w:left w:val="nil"/>
              <w:bottom w:val="single" w:color="auto" w:sz="4" w:space="0"/>
              <w:right w:val="single" w:color="auto" w:sz="4" w:space="0"/>
            </w:tcBorders>
            <w:noWrap w:val="0"/>
            <w:vAlign w:val="center"/>
          </w:tcPr>
          <w:p w14:paraId="7395EC2A">
            <w:pPr>
              <w:widowControl/>
              <w:spacing w:line="240" w:lineRule="exact"/>
              <w:ind w:firstLine="600" w:firstLineChars="300"/>
              <w:jc w:val="left"/>
              <w:rPr>
                <w:rFonts w:hint="default"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项目支出：</w:t>
            </w:r>
            <w:r>
              <w:rPr>
                <w:rFonts w:hint="eastAsia" w:ascii="Times New Roman" w:hAnsi="Times New Roman" w:eastAsia="仿宋_GB2312" w:cs="Times New Roman"/>
                <w:color w:val="000000"/>
                <w:sz w:val="20"/>
                <w:szCs w:val="20"/>
                <w:lang w:val="en-US" w:eastAsia="zh-CN"/>
              </w:rPr>
              <w:t>118.57</w:t>
            </w:r>
          </w:p>
        </w:tc>
      </w:tr>
      <w:tr w14:paraId="3FBD3DF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ED16923">
            <w:pPr>
              <w:widowControl/>
              <w:spacing w:line="240" w:lineRule="exact"/>
              <w:jc w:val="left"/>
              <w:rPr>
                <w:rFonts w:ascii="Times New Roman" w:hAnsi="Times New Roman" w:eastAsia="仿宋_GB2312" w:cs="Times New Roman"/>
                <w:color w:val="000000"/>
                <w:sz w:val="20"/>
                <w:szCs w:val="20"/>
              </w:rPr>
            </w:pPr>
          </w:p>
        </w:tc>
        <w:tc>
          <w:tcPr>
            <w:tcW w:w="4695" w:type="dxa"/>
            <w:gridSpan w:val="5"/>
            <w:tcBorders>
              <w:top w:val="nil"/>
              <w:left w:val="nil"/>
              <w:bottom w:val="single" w:color="auto" w:sz="4" w:space="0"/>
              <w:right w:val="single" w:color="auto" w:sz="4" w:space="0"/>
            </w:tcBorders>
            <w:noWrap w:val="0"/>
            <w:vAlign w:val="center"/>
          </w:tcPr>
          <w:p w14:paraId="723E6135">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782FACB2">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103.74</w:t>
            </w:r>
          </w:p>
        </w:tc>
      </w:tr>
      <w:tr w14:paraId="53334ACB">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77A9951C">
            <w:pPr>
              <w:widowControl/>
              <w:spacing w:line="240" w:lineRule="exact"/>
              <w:jc w:val="left"/>
              <w:rPr>
                <w:rFonts w:ascii="Times New Roman" w:hAnsi="Times New Roman" w:eastAsia="仿宋_GB2312" w:cs="Times New Roman"/>
                <w:color w:val="000000"/>
                <w:sz w:val="20"/>
                <w:szCs w:val="20"/>
              </w:rPr>
            </w:pPr>
          </w:p>
        </w:tc>
        <w:tc>
          <w:tcPr>
            <w:tcW w:w="4695" w:type="dxa"/>
            <w:gridSpan w:val="5"/>
            <w:tcBorders>
              <w:top w:val="nil"/>
              <w:left w:val="nil"/>
              <w:bottom w:val="single" w:color="auto" w:sz="4" w:space="0"/>
              <w:right w:val="single" w:color="auto" w:sz="4" w:space="0"/>
            </w:tcBorders>
            <w:noWrap w:val="0"/>
            <w:vAlign w:val="center"/>
          </w:tcPr>
          <w:p w14:paraId="631CC14E">
            <w:pPr>
              <w:widowControl/>
              <w:spacing w:line="240" w:lineRule="exact"/>
              <w:ind w:firstLine="1400" w:firstLineChars="700"/>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其他资金：</w:t>
            </w:r>
          </w:p>
        </w:tc>
        <w:tc>
          <w:tcPr>
            <w:tcW w:w="4304" w:type="dxa"/>
            <w:gridSpan w:val="4"/>
            <w:tcBorders>
              <w:top w:val="nil"/>
              <w:left w:val="nil"/>
              <w:bottom w:val="single" w:color="auto" w:sz="4" w:space="0"/>
              <w:right w:val="single" w:color="auto" w:sz="4" w:space="0"/>
            </w:tcBorders>
            <w:noWrap w:val="0"/>
            <w:vAlign w:val="center"/>
          </w:tcPr>
          <w:p w14:paraId="6421A442">
            <w:pPr>
              <w:widowControl/>
              <w:spacing w:line="240" w:lineRule="exact"/>
              <w:jc w:val="left"/>
              <w:rPr>
                <w:rFonts w:ascii="Times New Roman" w:hAnsi="Times New Roman" w:eastAsia="仿宋_GB2312" w:cs="Times New Roman"/>
                <w:color w:val="000000"/>
                <w:sz w:val="20"/>
                <w:szCs w:val="20"/>
              </w:rPr>
            </w:pPr>
          </w:p>
        </w:tc>
      </w:tr>
      <w:tr w14:paraId="6BDBABB1">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9E14A95">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年度总体目标</w:t>
            </w:r>
          </w:p>
        </w:tc>
        <w:tc>
          <w:tcPr>
            <w:tcW w:w="4695" w:type="dxa"/>
            <w:gridSpan w:val="5"/>
            <w:tcBorders>
              <w:top w:val="single" w:color="auto" w:sz="4" w:space="0"/>
              <w:left w:val="nil"/>
              <w:bottom w:val="single" w:color="auto" w:sz="4" w:space="0"/>
              <w:right w:val="single" w:color="000000" w:sz="4" w:space="0"/>
            </w:tcBorders>
            <w:noWrap w:val="0"/>
            <w:vAlign w:val="center"/>
          </w:tcPr>
          <w:p w14:paraId="642A4A73">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40D01BCD">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实际完成情况　</w:t>
            </w:r>
          </w:p>
        </w:tc>
      </w:tr>
      <w:tr w14:paraId="422EE16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3249A1B">
            <w:pPr>
              <w:widowControl/>
              <w:spacing w:line="240" w:lineRule="exact"/>
              <w:jc w:val="left"/>
              <w:rPr>
                <w:rFonts w:ascii="Times New Roman" w:hAnsi="Times New Roman" w:eastAsia="仿宋_GB2312" w:cs="Times New Roman"/>
                <w:color w:val="000000"/>
                <w:sz w:val="20"/>
                <w:szCs w:val="20"/>
              </w:rPr>
            </w:pPr>
          </w:p>
        </w:tc>
        <w:tc>
          <w:tcPr>
            <w:tcW w:w="4695" w:type="dxa"/>
            <w:gridSpan w:val="5"/>
            <w:tcBorders>
              <w:top w:val="single" w:color="auto" w:sz="4" w:space="0"/>
              <w:left w:val="nil"/>
              <w:bottom w:val="single" w:color="auto" w:sz="4" w:space="0"/>
              <w:right w:val="single" w:color="000000" w:sz="4" w:space="0"/>
            </w:tcBorders>
            <w:noWrap w:val="0"/>
            <w:vAlign w:val="center"/>
          </w:tcPr>
          <w:p w14:paraId="62153D92">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以办人民满意教育、创一流平安和谐幼儿园、以让每一位孩子健康、快乐地成长的办园宗旨，促进每个幼儿富有个性的发展，全面提高了幼儿园的保教质量</w:t>
            </w:r>
            <w:r>
              <w:rPr>
                <w:rFonts w:ascii="Times New Roman" w:hAnsi="Times New Roman" w:eastAsia="仿宋_GB2312" w:cs="Times New Roman"/>
                <w:color w:val="000000"/>
                <w:sz w:val="20"/>
                <w:szCs w:val="20"/>
              </w:rPr>
              <w:t>　　</w:t>
            </w:r>
          </w:p>
        </w:tc>
        <w:tc>
          <w:tcPr>
            <w:tcW w:w="4304" w:type="dxa"/>
            <w:gridSpan w:val="4"/>
            <w:tcBorders>
              <w:top w:val="single" w:color="auto" w:sz="4" w:space="0"/>
              <w:left w:val="nil"/>
              <w:bottom w:val="single" w:color="auto" w:sz="4" w:space="0"/>
              <w:right w:val="single" w:color="auto" w:sz="4" w:space="0"/>
            </w:tcBorders>
            <w:noWrap w:val="0"/>
            <w:vAlign w:val="center"/>
          </w:tcPr>
          <w:p w14:paraId="443C0BE6">
            <w:pPr>
              <w:widowControl/>
              <w:spacing w:line="240" w:lineRule="exact"/>
              <w:jc w:val="left"/>
              <w:rPr>
                <w:rFonts w:hint="default"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2024年被评为怀化绩效优秀单位，社会影响较好</w:t>
            </w:r>
          </w:p>
        </w:tc>
      </w:tr>
      <w:tr w14:paraId="27029FC9">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665C33AF">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绩</w:t>
            </w:r>
          </w:p>
          <w:p w14:paraId="1F85F0B2">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效</w:t>
            </w:r>
          </w:p>
          <w:p w14:paraId="681DCA5B">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指</w:t>
            </w:r>
          </w:p>
          <w:p w14:paraId="607A5871">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标</w:t>
            </w:r>
          </w:p>
          <w:p w14:paraId="2479AC79">
            <w:pPr>
              <w:widowControl/>
              <w:spacing w:line="240" w:lineRule="exact"/>
              <w:jc w:val="center"/>
              <w:rPr>
                <w:rFonts w:ascii="Times New Roman" w:hAnsi="Times New Roman" w:eastAsia="仿宋_GB2312" w:cs="Times New Roman"/>
                <w:color w:val="000000"/>
                <w:sz w:val="20"/>
                <w:szCs w:val="20"/>
              </w:rPr>
            </w:pPr>
          </w:p>
        </w:tc>
        <w:tc>
          <w:tcPr>
            <w:tcW w:w="1080" w:type="dxa"/>
            <w:tcBorders>
              <w:top w:val="nil"/>
              <w:left w:val="nil"/>
              <w:bottom w:val="single" w:color="auto" w:sz="4" w:space="0"/>
              <w:right w:val="single" w:color="auto" w:sz="4" w:space="0"/>
            </w:tcBorders>
            <w:noWrap w:val="0"/>
            <w:vAlign w:val="center"/>
          </w:tcPr>
          <w:p w14:paraId="62476F14">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一级指标</w:t>
            </w:r>
          </w:p>
        </w:tc>
        <w:tc>
          <w:tcPr>
            <w:tcW w:w="953" w:type="dxa"/>
            <w:tcBorders>
              <w:top w:val="nil"/>
              <w:left w:val="nil"/>
              <w:bottom w:val="single" w:color="auto" w:sz="4" w:space="0"/>
              <w:right w:val="single" w:color="auto" w:sz="4" w:space="0"/>
            </w:tcBorders>
            <w:noWrap w:val="0"/>
            <w:vAlign w:val="center"/>
          </w:tcPr>
          <w:p w14:paraId="3F8EDFE8">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二级指标</w:t>
            </w:r>
          </w:p>
        </w:tc>
        <w:tc>
          <w:tcPr>
            <w:tcW w:w="1351" w:type="dxa"/>
            <w:gridSpan w:val="2"/>
            <w:tcBorders>
              <w:top w:val="nil"/>
              <w:left w:val="nil"/>
              <w:bottom w:val="single" w:color="auto" w:sz="4" w:space="0"/>
              <w:right w:val="single" w:color="auto" w:sz="4" w:space="0"/>
            </w:tcBorders>
            <w:noWrap w:val="0"/>
            <w:vAlign w:val="center"/>
          </w:tcPr>
          <w:p w14:paraId="4DE48451">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三级指标</w:t>
            </w:r>
          </w:p>
        </w:tc>
        <w:tc>
          <w:tcPr>
            <w:tcW w:w="1311" w:type="dxa"/>
            <w:tcBorders>
              <w:top w:val="nil"/>
              <w:left w:val="nil"/>
              <w:bottom w:val="single" w:color="auto" w:sz="4" w:space="0"/>
              <w:right w:val="single" w:color="auto" w:sz="4" w:space="0"/>
            </w:tcBorders>
            <w:noWrap w:val="0"/>
            <w:vAlign w:val="center"/>
          </w:tcPr>
          <w:p w14:paraId="684BE41D">
            <w:pPr>
              <w:widowControl/>
              <w:spacing w:line="240" w:lineRule="exact"/>
              <w:jc w:val="both"/>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年度指标值</w:t>
            </w:r>
          </w:p>
        </w:tc>
        <w:tc>
          <w:tcPr>
            <w:tcW w:w="1269" w:type="dxa"/>
            <w:tcBorders>
              <w:top w:val="nil"/>
              <w:left w:val="nil"/>
              <w:bottom w:val="single" w:color="auto" w:sz="4" w:space="0"/>
              <w:right w:val="single" w:color="auto" w:sz="4" w:space="0"/>
            </w:tcBorders>
            <w:noWrap w:val="0"/>
            <w:vAlign w:val="center"/>
          </w:tcPr>
          <w:p w14:paraId="1617F418">
            <w:pPr>
              <w:widowControl/>
              <w:spacing w:line="240" w:lineRule="exac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实际完成值</w:t>
            </w:r>
          </w:p>
        </w:tc>
        <w:tc>
          <w:tcPr>
            <w:tcW w:w="716" w:type="dxa"/>
            <w:tcBorders>
              <w:top w:val="nil"/>
              <w:left w:val="nil"/>
              <w:bottom w:val="single" w:color="auto" w:sz="4" w:space="0"/>
              <w:right w:val="single" w:color="auto" w:sz="4" w:space="0"/>
            </w:tcBorders>
            <w:noWrap w:val="0"/>
            <w:vAlign w:val="center"/>
          </w:tcPr>
          <w:p w14:paraId="3B45C484">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分值</w:t>
            </w:r>
          </w:p>
        </w:tc>
        <w:tc>
          <w:tcPr>
            <w:tcW w:w="881" w:type="dxa"/>
            <w:tcBorders>
              <w:top w:val="nil"/>
              <w:left w:val="nil"/>
              <w:bottom w:val="single" w:color="auto" w:sz="4" w:space="0"/>
              <w:right w:val="single" w:color="auto" w:sz="4" w:space="0"/>
            </w:tcBorders>
            <w:noWrap w:val="0"/>
            <w:vAlign w:val="center"/>
          </w:tcPr>
          <w:p w14:paraId="1F8BB108">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得分</w:t>
            </w:r>
          </w:p>
        </w:tc>
        <w:tc>
          <w:tcPr>
            <w:tcW w:w="1438" w:type="dxa"/>
            <w:tcBorders>
              <w:top w:val="nil"/>
              <w:left w:val="nil"/>
              <w:bottom w:val="single" w:color="auto" w:sz="4" w:space="0"/>
              <w:right w:val="single" w:color="auto" w:sz="4" w:space="0"/>
            </w:tcBorders>
            <w:noWrap w:val="0"/>
            <w:vAlign w:val="center"/>
          </w:tcPr>
          <w:p w14:paraId="2CDAA7F8">
            <w:pPr>
              <w:widowControl/>
              <w:spacing w:line="240" w:lineRule="exact"/>
              <w:jc w:val="both"/>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偏差原因分析及改进措施</w:t>
            </w:r>
          </w:p>
        </w:tc>
      </w:tr>
      <w:tr w14:paraId="534CB4D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5BAA27A">
            <w:pPr>
              <w:spacing w:line="240" w:lineRule="exact"/>
              <w:jc w:val="left"/>
              <w:rPr>
                <w:rFonts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4C2E5BB">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产出指标</w:t>
            </w:r>
          </w:p>
          <w:p w14:paraId="7BAD8A37">
            <w:pPr>
              <w:widowControl/>
              <w:spacing w:line="240" w:lineRule="exact"/>
              <w:jc w:val="center"/>
              <w:rPr>
                <w:rFonts w:ascii="Times New Roman" w:hAnsi="Times New Roman" w:eastAsia="仿宋_GB2312" w:cs="Times New Roman"/>
                <w:color w:val="000000"/>
                <w:sz w:val="20"/>
                <w:szCs w:val="20"/>
              </w:rPr>
            </w:pPr>
          </w:p>
          <w:p w14:paraId="46805ABE">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(50分)</w:t>
            </w:r>
          </w:p>
        </w:tc>
        <w:tc>
          <w:tcPr>
            <w:tcW w:w="953" w:type="dxa"/>
            <w:vMerge w:val="restart"/>
            <w:tcBorders>
              <w:top w:val="nil"/>
              <w:left w:val="nil"/>
              <w:right w:val="single" w:color="auto" w:sz="4" w:space="0"/>
            </w:tcBorders>
            <w:noWrap w:val="0"/>
            <w:vAlign w:val="center"/>
          </w:tcPr>
          <w:p w14:paraId="23261961">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数量指标</w:t>
            </w:r>
          </w:p>
        </w:tc>
        <w:tc>
          <w:tcPr>
            <w:tcW w:w="1351" w:type="dxa"/>
            <w:gridSpan w:val="2"/>
            <w:tcBorders>
              <w:top w:val="nil"/>
              <w:left w:val="nil"/>
              <w:bottom w:val="single" w:color="auto" w:sz="4" w:space="0"/>
              <w:right w:val="single" w:color="auto" w:sz="4" w:space="0"/>
            </w:tcBorders>
            <w:noWrap w:val="0"/>
            <w:vAlign w:val="center"/>
          </w:tcPr>
          <w:p w14:paraId="21662405">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开设大中小三个年级</w:t>
            </w:r>
          </w:p>
        </w:tc>
        <w:tc>
          <w:tcPr>
            <w:tcW w:w="1311" w:type="dxa"/>
            <w:tcBorders>
              <w:top w:val="nil"/>
              <w:left w:val="nil"/>
              <w:bottom w:val="single" w:color="auto" w:sz="4" w:space="0"/>
              <w:right w:val="single" w:color="auto" w:sz="4" w:space="0"/>
            </w:tcBorders>
            <w:noWrap w:val="0"/>
            <w:vAlign w:val="center"/>
          </w:tcPr>
          <w:p w14:paraId="63D9E904">
            <w:pPr>
              <w:widowControl/>
              <w:spacing w:line="240" w:lineRule="exact"/>
              <w:jc w:val="left"/>
              <w:rPr>
                <w:rFonts w:hint="eastAsia"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w:t>
            </w:r>
          </w:p>
        </w:tc>
        <w:tc>
          <w:tcPr>
            <w:tcW w:w="1269" w:type="dxa"/>
            <w:tcBorders>
              <w:top w:val="nil"/>
              <w:left w:val="nil"/>
              <w:bottom w:val="single" w:color="auto" w:sz="4" w:space="0"/>
              <w:right w:val="single" w:color="auto" w:sz="4" w:space="0"/>
            </w:tcBorders>
            <w:noWrap w:val="0"/>
            <w:vAlign w:val="center"/>
          </w:tcPr>
          <w:p w14:paraId="1E181312">
            <w:pPr>
              <w:widowControl/>
              <w:spacing w:line="240" w:lineRule="exact"/>
              <w:jc w:val="left"/>
              <w:rPr>
                <w:rFonts w:hint="eastAsia"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w:t>
            </w:r>
          </w:p>
        </w:tc>
        <w:tc>
          <w:tcPr>
            <w:tcW w:w="716" w:type="dxa"/>
            <w:tcBorders>
              <w:top w:val="nil"/>
              <w:left w:val="nil"/>
              <w:bottom w:val="single" w:color="auto" w:sz="4" w:space="0"/>
              <w:right w:val="single" w:color="auto" w:sz="4" w:space="0"/>
            </w:tcBorders>
            <w:noWrap w:val="0"/>
            <w:vAlign w:val="center"/>
          </w:tcPr>
          <w:p w14:paraId="32D6B23B">
            <w:pPr>
              <w:widowControl/>
              <w:spacing w:line="240" w:lineRule="exact"/>
              <w:jc w:val="left"/>
              <w:rPr>
                <w:rFonts w:hint="default"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81" w:type="dxa"/>
            <w:tcBorders>
              <w:top w:val="nil"/>
              <w:left w:val="nil"/>
              <w:bottom w:val="single" w:color="auto" w:sz="4" w:space="0"/>
              <w:right w:val="single" w:color="auto" w:sz="4" w:space="0"/>
            </w:tcBorders>
            <w:noWrap w:val="0"/>
            <w:vAlign w:val="center"/>
          </w:tcPr>
          <w:p w14:paraId="05AEDFC7">
            <w:pPr>
              <w:widowControl/>
              <w:spacing w:line="240" w:lineRule="exact"/>
              <w:jc w:val="left"/>
              <w:rPr>
                <w:rFonts w:hint="default"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38" w:type="dxa"/>
            <w:tcBorders>
              <w:top w:val="nil"/>
              <w:left w:val="nil"/>
              <w:bottom w:val="single" w:color="auto" w:sz="4" w:space="0"/>
              <w:right w:val="single" w:color="auto" w:sz="4" w:space="0"/>
            </w:tcBorders>
            <w:noWrap w:val="0"/>
            <w:vAlign w:val="center"/>
          </w:tcPr>
          <w:p w14:paraId="5606BA59">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p>
        </w:tc>
      </w:tr>
      <w:tr w14:paraId="2BDF3F3F">
        <w:tblPrEx>
          <w:tblCellMar>
            <w:top w:w="0" w:type="dxa"/>
            <w:left w:w="108" w:type="dxa"/>
            <w:bottom w:w="0" w:type="dxa"/>
            <w:right w:w="108" w:type="dxa"/>
          </w:tblCellMar>
        </w:tblPrEx>
        <w:trPr>
          <w:trHeight w:val="430" w:hRule="atLeast"/>
          <w:jc w:val="center"/>
        </w:trPr>
        <w:tc>
          <w:tcPr>
            <w:tcW w:w="1080" w:type="dxa"/>
            <w:vMerge w:val="continue"/>
            <w:tcBorders>
              <w:left w:val="single" w:color="auto" w:sz="4" w:space="0"/>
              <w:right w:val="single" w:color="auto" w:sz="4" w:space="0"/>
            </w:tcBorders>
            <w:noWrap w:val="0"/>
            <w:vAlign w:val="center"/>
          </w:tcPr>
          <w:p w14:paraId="3780E186">
            <w:pPr>
              <w:spacing w:line="240" w:lineRule="exact"/>
              <w:jc w:val="left"/>
              <w:rPr>
                <w:rFonts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361EA86">
            <w:pPr>
              <w:spacing w:line="240" w:lineRule="exact"/>
              <w:jc w:val="left"/>
              <w:rPr>
                <w:rFonts w:ascii="Times New Roman" w:hAnsi="Times New Roman" w:eastAsia="仿宋_GB2312" w:cs="Times New Roman"/>
                <w:color w:val="000000"/>
                <w:sz w:val="20"/>
                <w:szCs w:val="20"/>
              </w:rPr>
            </w:pPr>
          </w:p>
        </w:tc>
        <w:tc>
          <w:tcPr>
            <w:tcW w:w="953" w:type="dxa"/>
            <w:vMerge w:val="continue"/>
            <w:tcBorders>
              <w:left w:val="nil"/>
              <w:bottom w:val="single" w:color="auto" w:sz="4" w:space="0"/>
              <w:right w:val="single" w:color="auto" w:sz="4" w:space="0"/>
            </w:tcBorders>
            <w:noWrap w:val="0"/>
            <w:vAlign w:val="center"/>
          </w:tcPr>
          <w:p w14:paraId="3983C345">
            <w:pPr>
              <w:spacing w:line="240" w:lineRule="exact"/>
              <w:jc w:val="center"/>
              <w:rPr>
                <w:rFonts w:ascii="Times New Roman" w:hAnsi="Times New Roman" w:eastAsia="仿宋_GB2312" w:cs="Times New Roman"/>
                <w:color w:val="000000"/>
                <w:sz w:val="20"/>
                <w:szCs w:val="20"/>
              </w:rPr>
            </w:pPr>
          </w:p>
        </w:tc>
        <w:tc>
          <w:tcPr>
            <w:tcW w:w="1351" w:type="dxa"/>
            <w:gridSpan w:val="2"/>
            <w:tcBorders>
              <w:top w:val="nil"/>
              <w:left w:val="nil"/>
              <w:bottom w:val="single" w:color="auto" w:sz="4" w:space="0"/>
              <w:right w:val="single" w:color="auto" w:sz="4" w:space="0"/>
            </w:tcBorders>
            <w:noWrap w:val="0"/>
            <w:vAlign w:val="center"/>
          </w:tcPr>
          <w:p w14:paraId="298A549C">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eastAsia="zh-CN"/>
              </w:rPr>
              <w:t>总共</w:t>
            </w:r>
            <w:r>
              <w:rPr>
                <w:rFonts w:hint="eastAsia" w:ascii="Times New Roman" w:hAnsi="Times New Roman" w:eastAsia="仿宋_GB2312" w:cs="Times New Roman"/>
                <w:color w:val="000000"/>
                <w:sz w:val="20"/>
                <w:szCs w:val="20"/>
                <w:lang w:val="en-US" w:eastAsia="zh-CN"/>
              </w:rPr>
              <w:t>5个班</w:t>
            </w:r>
          </w:p>
        </w:tc>
        <w:tc>
          <w:tcPr>
            <w:tcW w:w="1311" w:type="dxa"/>
            <w:tcBorders>
              <w:top w:val="nil"/>
              <w:left w:val="nil"/>
              <w:bottom w:val="single" w:color="auto" w:sz="4" w:space="0"/>
              <w:right w:val="single" w:color="auto" w:sz="4" w:space="0"/>
            </w:tcBorders>
            <w:noWrap w:val="0"/>
            <w:vAlign w:val="center"/>
          </w:tcPr>
          <w:p w14:paraId="5905A306">
            <w:pPr>
              <w:widowControl/>
              <w:spacing w:line="240" w:lineRule="exact"/>
              <w:jc w:val="left"/>
              <w:rPr>
                <w:rFonts w:hint="eastAsia"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269" w:type="dxa"/>
            <w:tcBorders>
              <w:top w:val="nil"/>
              <w:left w:val="nil"/>
              <w:bottom w:val="single" w:color="auto" w:sz="4" w:space="0"/>
              <w:right w:val="single" w:color="auto" w:sz="4" w:space="0"/>
            </w:tcBorders>
            <w:noWrap w:val="0"/>
            <w:vAlign w:val="center"/>
          </w:tcPr>
          <w:p w14:paraId="314484F8">
            <w:pPr>
              <w:widowControl/>
              <w:spacing w:line="240" w:lineRule="exact"/>
              <w:jc w:val="left"/>
              <w:rPr>
                <w:rFonts w:hint="eastAsia"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716" w:type="dxa"/>
            <w:tcBorders>
              <w:top w:val="nil"/>
              <w:left w:val="nil"/>
              <w:bottom w:val="single" w:color="auto" w:sz="4" w:space="0"/>
              <w:right w:val="single" w:color="auto" w:sz="4" w:space="0"/>
            </w:tcBorders>
            <w:noWrap w:val="0"/>
            <w:vAlign w:val="center"/>
          </w:tcPr>
          <w:p w14:paraId="51C033C9">
            <w:pPr>
              <w:widowControl/>
              <w:spacing w:line="240" w:lineRule="exact"/>
              <w:jc w:val="left"/>
              <w:rPr>
                <w:rFonts w:hint="default"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81" w:type="dxa"/>
            <w:tcBorders>
              <w:top w:val="nil"/>
              <w:left w:val="nil"/>
              <w:bottom w:val="single" w:color="auto" w:sz="4" w:space="0"/>
              <w:right w:val="single" w:color="auto" w:sz="4" w:space="0"/>
            </w:tcBorders>
            <w:noWrap w:val="0"/>
            <w:vAlign w:val="center"/>
          </w:tcPr>
          <w:p w14:paraId="462F8B9F">
            <w:pPr>
              <w:widowControl/>
              <w:spacing w:line="240" w:lineRule="exact"/>
              <w:jc w:val="left"/>
              <w:rPr>
                <w:rFonts w:hint="default"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38" w:type="dxa"/>
            <w:tcBorders>
              <w:top w:val="nil"/>
              <w:left w:val="nil"/>
              <w:bottom w:val="single" w:color="auto" w:sz="4" w:space="0"/>
              <w:right w:val="single" w:color="auto" w:sz="4" w:space="0"/>
            </w:tcBorders>
            <w:noWrap w:val="0"/>
            <w:vAlign w:val="center"/>
          </w:tcPr>
          <w:p w14:paraId="3AC0967D">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p>
        </w:tc>
      </w:tr>
      <w:tr w14:paraId="67D3196D">
        <w:tblPrEx>
          <w:tblCellMar>
            <w:top w:w="0" w:type="dxa"/>
            <w:left w:w="108" w:type="dxa"/>
            <w:bottom w:w="0" w:type="dxa"/>
            <w:right w:w="108" w:type="dxa"/>
          </w:tblCellMar>
        </w:tblPrEx>
        <w:trPr>
          <w:trHeight w:val="740" w:hRule="atLeast"/>
          <w:jc w:val="center"/>
        </w:trPr>
        <w:tc>
          <w:tcPr>
            <w:tcW w:w="1080" w:type="dxa"/>
            <w:vMerge w:val="continue"/>
            <w:tcBorders>
              <w:left w:val="single" w:color="auto" w:sz="4" w:space="0"/>
              <w:right w:val="single" w:color="auto" w:sz="4" w:space="0"/>
            </w:tcBorders>
            <w:noWrap w:val="0"/>
            <w:vAlign w:val="center"/>
          </w:tcPr>
          <w:p w14:paraId="06433205">
            <w:pPr>
              <w:spacing w:line="240" w:lineRule="exact"/>
              <w:jc w:val="left"/>
              <w:rPr>
                <w:rFonts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C7B569F">
            <w:pPr>
              <w:spacing w:line="240" w:lineRule="exact"/>
              <w:jc w:val="left"/>
              <w:rPr>
                <w:rFonts w:ascii="Times New Roman" w:hAnsi="Times New Roman" w:eastAsia="仿宋_GB2312" w:cs="Times New Roman"/>
                <w:color w:val="000000"/>
                <w:sz w:val="20"/>
                <w:szCs w:val="20"/>
              </w:rPr>
            </w:pPr>
          </w:p>
        </w:tc>
        <w:tc>
          <w:tcPr>
            <w:tcW w:w="953" w:type="dxa"/>
            <w:tcBorders>
              <w:top w:val="single" w:color="auto" w:sz="4" w:space="0"/>
              <w:left w:val="single" w:color="auto" w:sz="4" w:space="0"/>
              <w:bottom w:val="single" w:color="auto" w:sz="4" w:space="0"/>
              <w:right w:val="single" w:color="auto" w:sz="4" w:space="0"/>
            </w:tcBorders>
            <w:noWrap w:val="0"/>
            <w:vAlign w:val="center"/>
          </w:tcPr>
          <w:p w14:paraId="21A1D63B">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质量指标</w:t>
            </w:r>
          </w:p>
        </w:tc>
        <w:tc>
          <w:tcPr>
            <w:tcW w:w="1351" w:type="dxa"/>
            <w:gridSpan w:val="2"/>
            <w:tcBorders>
              <w:top w:val="nil"/>
              <w:left w:val="nil"/>
              <w:bottom w:val="single" w:color="auto" w:sz="4" w:space="0"/>
              <w:right w:val="single" w:color="auto" w:sz="4" w:space="0"/>
            </w:tcBorders>
            <w:noWrap w:val="0"/>
            <w:vAlign w:val="center"/>
          </w:tcPr>
          <w:p w14:paraId="74DE5274">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全年安全</w:t>
            </w:r>
            <w:r>
              <w:rPr>
                <w:rFonts w:hint="eastAsia" w:ascii="Times New Roman" w:hAnsi="Times New Roman" w:eastAsia="仿宋_GB2312" w:cs="Times New Roman"/>
                <w:color w:val="000000"/>
                <w:sz w:val="20"/>
                <w:szCs w:val="20"/>
                <w:lang w:val="en-US" w:eastAsia="zh-CN"/>
              </w:rPr>
              <w:t>0</w:t>
            </w:r>
            <w:r>
              <w:rPr>
                <w:rFonts w:hint="eastAsia" w:ascii="Times New Roman" w:hAnsi="Times New Roman" w:eastAsia="仿宋_GB2312" w:cs="Times New Roman"/>
                <w:color w:val="000000"/>
                <w:sz w:val="20"/>
                <w:szCs w:val="20"/>
                <w:lang w:eastAsia="zh-CN"/>
              </w:rPr>
              <w:t>事故</w:t>
            </w:r>
          </w:p>
        </w:tc>
        <w:tc>
          <w:tcPr>
            <w:tcW w:w="1311" w:type="dxa"/>
            <w:tcBorders>
              <w:top w:val="nil"/>
              <w:left w:val="nil"/>
              <w:bottom w:val="single" w:color="auto" w:sz="4" w:space="0"/>
              <w:right w:val="single" w:color="auto" w:sz="4" w:space="0"/>
            </w:tcBorders>
            <w:noWrap w:val="0"/>
            <w:vAlign w:val="center"/>
          </w:tcPr>
          <w:p w14:paraId="0FEFD49F">
            <w:pPr>
              <w:widowControl/>
              <w:spacing w:line="240" w:lineRule="exact"/>
              <w:jc w:val="left"/>
              <w:rPr>
                <w:rFonts w:hint="eastAsia"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0</w:t>
            </w:r>
          </w:p>
        </w:tc>
        <w:tc>
          <w:tcPr>
            <w:tcW w:w="1269" w:type="dxa"/>
            <w:tcBorders>
              <w:top w:val="nil"/>
              <w:left w:val="nil"/>
              <w:bottom w:val="single" w:color="auto" w:sz="4" w:space="0"/>
              <w:right w:val="single" w:color="auto" w:sz="4" w:space="0"/>
            </w:tcBorders>
            <w:noWrap w:val="0"/>
            <w:vAlign w:val="center"/>
          </w:tcPr>
          <w:p w14:paraId="1FBCC9D1">
            <w:pPr>
              <w:widowControl/>
              <w:spacing w:line="240" w:lineRule="exact"/>
              <w:jc w:val="left"/>
              <w:rPr>
                <w:rFonts w:hint="eastAsia"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0</w:t>
            </w:r>
          </w:p>
        </w:tc>
        <w:tc>
          <w:tcPr>
            <w:tcW w:w="716" w:type="dxa"/>
            <w:tcBorders>
              <w:top w:val="nil"/>
              <w:left w:val="nil"/>
              <w:bottom w:val="single" w:color="auto" w:sz="4" w:space="0"/>
              <w:right w:val="single" w:color="auto" w:sz="4" w:space="0"/>
            </w:tcBorders>
            <w:noWrap w:val="0"/>
            <w:vAlign w:val="center"/>
          </w:tcPr>
          <w:p w14:paraId="4DD50C9F">
            <w:pPr>
              <w:widowControl/>
              <w:spacing w:line="240" w:lineRule="exact"/>
              <w:jc w:val="left"/>
              <w:rPr>
                <w:rFonts w:hint="default"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81" w:type="dxa"/>
            <w:tcBorders>
              <w:top w:val="nil"/>
              <w:left w:val="nil"/>
              <w:bottom w:val="single" w:color="auto" w:sz="4" w:space="0"/>
              <w:right w:val="single" w:color="auto" w:sz="4" w:space="0"/>
            </w:tcBorders>
            <w:noWrap w:val="0"/>
            <w:vAlign w:val="center"/>
          </w:tcPr>
          <w:p w14:paraId="66697DDF">
            <w:pPr>
              <w:widowControl/>
              <w:spacing w:line="240" w:lineRule="exact"/>
              <w:jc w:val="left"/>
              <w:rPr>
                <w:rFonts w:hint="default"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38" w:type="dxa"/>
            <w:tcBorders>
              <w:top w:val="nil"/>
              <w:left w:val="nil"/>
              <w:bottom w:val="single" w:color="auto" w:sz="4" w:space="0"/>
              <w:right w:val="single" w:color="auto" w:sz="4" w:space="0"/>
            </w:tcBorders>
            <w:noWrap w:val="0"/>
            <w:vAlign w:val="center"/>
          </w:tcPr>
          <w:p w14:paraId="2073A491">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p>
        </w:tc>
      </w:tr>
      <w:tr w14:paraId="6BC64FF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7569803">
            <w:pPr>
              <w:spacing w:line="240" w:lineRule="exact"/>
              <w:jc w:val="left"/>
              <w:rPr>
                <w:rFonts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57B1F54">
            <w:pPr>
              <w:spacing w:line="240" w:lineRule="exact"/>
              <w:jc w:val="left"/>
              <w:rPr>
                <w:rFonts w:ascii="Times New Roman" w:hAnsi="Times New Roman" w:eastAsia="仿宋_GB2312" w:cs="Times New Roman"/>
                <w:color w:val="000000"/>
                <w:sz w:val="20"/>
                <w:szCs w:val="20"/>
              </w:rPr>
            </w:pPr>
          </w:p>
        </w:tc>
        <w:tc>
          <w:tcPr>
            <w:tcW w:w="953" w:type="dxa"/>
            <w:tcBorders>
              <w:top w:val="single" w:color="auto" w:sz="4" w:space="0"/>
              <w:left w:val="nil"/>
              <w:bottom w:val="single" w:color="auto" w:sz="4" w:space="0"/>
              <w:right w:val="single" w:color="auto" w:sz="4" w:space="0"/>
            </w:tcBorders>
            <w:noWrap w:val="0"/>
            <w:vAlign w:val="center"/>
          </w:tcPr>
          <w:p w14:paraId="46E5FBA1">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时效指标</w:t>
            </w:r>
          </w:p>
        </w:tc>
        <w:tc>
          <w:tcPr>
            <w:tcW w:w="1351" w:type="dxa"/>
            <w:gridSpan w:val="2"/>
            <w:tcBorders>
              <w:top w:val="nil"/>
              <w:left w:val="nil"/>
              <w:bottom w:val="single" w:color="auto" w:sz="4" w:space="0"/>
              <w:right w:val="single" w:color="auto" w:sz="4" w:space="0"/>
            </w:tcBorders>
            <w:noWrap w:val="0"/>
            <w:vAlign w:val="center"/>
          </w:tcPr>
          <w:p w14:paraId="66395AE3">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按照教育局统一部署按时开学及放假</w:t>
            </w:r>
          </w:p>
        </w:tc>
        <w:tc>
          <w:tcPr>
            <w:tcW w:w="1311" w:type="dxa"/>
            <w:tcBorders>
              <w:top w:val="nil"/>
              <w:left w:val="nil"/>
              <w:bottom w:val="single" w:color="auto" w:sz="4" w:space="0"/>
              <w:right w:val="single" w:color="auto" w:sz="4" w:space="0"/>
            </w:tcBorders>
            <w:noWrap w:val="0"/>
            <w:vAlign w:val="center"/>
          </w:tcPr>
          <w:p w14:paraId="724E07F8">
            <w:pPr>
              <w:widowControl/>
              <w:spacing w:line="240" w:lineRule="exact"/>
              <w:jc w:val="left"/>
              <w:rPr>
                <w:rFonts w:hint="eastAsia" w:ascii="Times New Roman" w:hAnsi="Times New Roman" w:eastAsia="仿宋_GB2312" w:cs="Times New Roman"/>
                <w:color w:val="000000"/>
                <w:sz w:val="20"/>
                <w:szCs w:val="20"/>
                <w:lang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eastAsia="zh-CN"/>
              </w:rPr>
              <w:t>准时</w:t>
            </w:r>
          </w:p>
        </w:tc>
        <w:tc>
          <w:tcPr>
            <w:tcW w:w="1269" w:type="dxa"/>
            <w:tcBorders>
              <w:top w:val="nil"/>
              <w:left w:val="nil"/>
              <w:bottom w:val="single" w:color="auto" w:sz="4" w:space="0"/>
              <w:right w:val="single" w:color="auto" w:sz="4" w:space="0"/>
            </w:tcBorders>
            <w:noWrap w:val="0"/>
            <w:vAlign w:val="center"/>
          </w:tcPr>
          <w:p w14:paraId="6916D5B5">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eastAsia="zh-CN"/>
              </w:rPr>
              <w:t>准时</w:t>
            </w:r>
          </w:p>
        </w:tc>
        <w:tc>
          <w:tcPr>
            <w:tcW w:w="716" w:type="dxa"/>
            <w:tcBorders>
              <w:top w:val="nil"/>
              <w:left w:val="nil"/>
              <w:bottom w:val="single" w:color="auto" w:sz="4" w:space="0"/>
              <w:right w:val="single" w:color="auto" w:sz="4" w:space="0"/>
            </w:tcBorders>
            <w:noWrap w:val="0"/>
            <w:vAlign w:val="center"/>
          </w:tcPr>
          <w:p w14:paraId="57354B86">
            <w:pPr>
              <w:widowControl/>
              <w:spacing w:line="240" w:lineRule="exact"/>
              <w:jc w:val="left"/>
              <w:rPr>
                <w:rFonts w:hint="default"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81" w:type="dxa"/>
            <w:tcBorders>
              <w:top w:val="nil"/>
              <w:left w:val="nil"/>
              <w:bottom w:val="single" w:color="auto" w:sz="4" w:space="0"/>
              <w:right w:val="single" w:color="auto" w:sz="4" w:space="0"/>
            </w:tcBorders>
            <w:noWrap w:val="0"/>
            <w:vAlign w:val="center"/>
          </w:tcPr>
          <w:p w14:paraId="1D610F19">
            <w:pPr>
              <w:widowControl/>
              <w:spacing w:line="240" w:lineRule="exact"/>
              <w:jc w:val="left"/>
              <w:rPr>
                <w:rFonts w:hint="default"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38" w:type="dxa"/>
            <w:tcBorders>
              <w:top w:val="nil"/>
              <w:left w:val="nil"/>
              <w:bottom w:val="single" w:color="auto" w:sz="4" w:space="0"/>
              <w:right w:val="single" w:color="auto" w:sz="4" w:space="0"/>
            </w:tcBorders>
            <w:noWrap w:val="0"/>
            <w:vAlign w:val="center"/>
          </w:tcPr>
          <w:p w14:paraId="3E28946B">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p>
        </w:tc>
      </w:tr>
      <w:tr w14:paraId="7983540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86847D0">
            <w:pPr>
              <w:spacing w:line="240" w:lineRule="exact"/>
              <w:jc w:val="left"/>
              <w:rPr>
                <w:rFonts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0ADE56F">
            <w:pPr>
              <w:spacing w:line="240" w:lineRule="exact"/>
              <w:jc w:val="left"/>
              <w:rPr>
                <w:rFonts w:ascii="Times New Roman" w:hAnsi="Times New Roman" w:eastAsia="仿宋_GB2312" w:cs="Times New Roman"/>
                <w:color w:val="000000"/>
                <w:sz w:val="20"/>
                <w:szCs w:val="20"/>
              </w:rPr>
            </w:pPr>
          </w:p>
        </w:tc>
        <w:tc>
          <w:tcPr>
            <w:tcW w:w="953" w:type="dxa"/>
            <w:tcBorders>
              <w:top w:val="single" w:color="auto" w:sz="4" w:space="0"/>
              <w:left w:val="nil"/>
              <w:bottom w:val="single" w:color="auto" w:sz="4" w:space="0"/>
              <w:right w:val="single" w:color="auto" w:sz="4" w:space="0"/>
            </w:tcBorders>
            <w:noWrap w:val="0"/>
            <w:vAlign w:val="center"/>
          </w:tcPr>
          <w:p w14:paraId="2C81C1FC">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成本指标</w:t>
            </w:r>
          </w:p>
        </w:tc>
        <w:tc>
          <w:tcPr>
            <w:tcW w:w="1351" w:type="dxa"/>
            <w:gridSpan w:val="2"/>
            <w:tcBorders>
              <w:top w:val="nil"/>
              <w:left w:val="nil"/>
              <w:bottom w:val="single" w:color="auto" w:sz="4" w:space="0"/>
              <w:right w:val="single" w:color="auto" w:sz="4" w:space="0"/>
            </w:tcBorders>
            <w:noWrap w:val="0"/>
            <w:vAlign w:val="center"/>
          </w:tcPr>
          <w:p w14:paraId="69F1901C">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实际支出数/预算支出数*100%</w:t>
            </w:r>
          </w:p>
        </w:tc>
        <w:tc>
          <w:tcPr>
            <w:tcW w:w="1311" w:type="dxa"/>
            <w:tcBorders>
              <w:top w:val="nil"/>
              <w:left w:val="nil"/>
              <w:bottom w:val="single" w:color="auto" w:sz="4" w:space="0"/>
              <w:right w:val="single" w:color="auto" w:sz="4" w:space="0"/>
            </w:tcBorders>
            <w:noWrap w:val="0"/>
            <w:vAlign w:val="center"/>
          </w:tcPr>
          <w:p w14:paraId="3F22FD9B">
            <w:pPr>
              <w:widowControl/>
              <w:spacing w:line="240" w:lineRule="exact"/>
              <w:jc w:val="left"/>
              <w:rPr>
                <w:rFonts w:hint="default"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14:paraId="29F015E0">
            <w:pPr>
              <w:widowControl/>
              <w:spacing w:line="240" w:lineRule="exact"/>
              <w:jc w:val="left"/>
              <w:rPr>
                <w:rFonts w:hint="default"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254%</w:t>
            </w:r>
          </w:p>
        </w:tc>
        <w:tc>
          <w:tcPr>
            <w:tcW w:w="716" w:type="dxa"/>
            <w:tcBorders>
              <w:top w:val="nil"/>
              <w:left w:val="nil"/>
              <w:bottom w:val="single" w:color="auto" w:sz="4" w:space="0"/>
              <w:right w:val="single" w:color="auto" w:sz="4" w:space="0"/>
            </w:tcBorders>
            <w:noWrap w:val="0"/>
            <w:vAlign w:val="center"/>
          </w:tcPr>
          <w:p w14:paraId="69347EF0">
            <w:pPr>
              <w:widowControl/>
              <w:spacing w:line="240" w:lineRule="exact"/>
              <w:jc w:val="left"/>
              <w:rPr>
                <w:rFonts w:hint="default"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81" w:type="dxa"/>
            <w:tcBorders>
              <w:top w:val="nil"/>
              <w:left w:val="nil"/>
              <w:bottom w:val="single" w:color="auto" w:sz="4" w:space="0"/>
              <w:right w:val="single" w:color="auto" w:sz="4" w:space="0"/>
            </w:tcBorders>
            <w:noWrap w:val="0"/>
            <w:vAlign w:val="center"/>
          </w:tcPr>
          <w:p w14:paraId="6B68C21C">
            <w:pPr>
              <w:widowControl/>
              <w:spacing w:line="240" w:lineRule="exact"/>
              <w:jc w:val="left"/>
              <w:rPr>
                <w:rFonts w:hint="eastAsia"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438" w:type="dxa"/>
            <w:tcBorders>
              <w:top w:val="nil"/>
              <w:left w:val="nil"/>
              <w:bottom w:val="single" w:color="auto" w:sz="4" w:space="0"/>
              <w:right w:val="single" w:color="auto" w:sz="4" w:space="0"/>
            </w:tcBorders>
            <w:noWrap w:val="0"/>
            <w:vAlign w:val="center"/>
          </w:tcPr>
          <w:p w14:paraId="2926F2C5">
            <w:pPr>
              <w:widowControl/>
              <w:spacing w:line="240" w:lineRule="exact"/>
              <w:jc w:val="left"/>
              <w:rPr>
                <w:rFonts w:hint="eastAsia" w:ascii="Times New Roman" w:hAnsi="Times New Roman" w:eastAsia="仿宋_GB2312" w:cs="Times New Roman"/>
                <w:color w:val="000000"/>
                <w:sz w:val="20"/>
                <w:szCs w:val="20"/>
                <w:lang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eastAsia="zh-CN"/>
              </w:rPr>
              <w:t>提高预算编制准确度，严格预算执行控制</w:t>
            </w:r>
          </w:p>
        </w:tc>
      </w:tr>
      <w:tr w14:paraId="67BC714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D5F865E">
            <w:pPr>
              <w:spacing w:line="240" w:lineRule="exact"/>
              <w:jc w:val="left"/>
              <w:rPr>
                <w:rFonts w:ascii="Times New Roman" w:hAnsi="Times New Roman" w:eastAsia="仿宋_GB2312" w:cs="Times New Roman"/>
                <w:color w:val="000000"/>
                <w:sz w:val="20"/>
                <w:szCs w:val="20"/>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1E51B19F">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效益指标</w:t>
            </w:r>
          </w:p>
          <w:p w14:paraId="739E1439">
            <w:pPr>
              <w:widowControl/>
              <w:spacing w:line="240" w:lineRule="exact"/>
              <w:jc w:val="left"/>
              <w:rPr>
                <w:rFonts w:ascii="Times New Roman" w:hAnsi="Times New Roman" w:eastAsia="仿宋_GB2312" w:cs="Times New Roman"/>
                <w:color w:val="000000"/>
                <w:sz w:val="20"/>
                <w:szCs w:val="20"/>
              </w:rPr>
            </w:pPr>
          </w:p>
          <w:p w14:paraId="3A2E9121">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（30分）</w:t>
            </w:r>
          </w:p>
          <w:p w14:paraId="2EA8780E">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p>
        </w:tc>
        <w:tc>
          <w:tcPr>
            <w:tcW w:w="953" w:type="dxa"/>
            <w:tcBorders>
              <w:top w:val="single" w:color="auto" w:sz="4" w:space="0"/>
              <w:left w:val="nil"/>
              <w:bottom w:val="single" w:color="auto" w:sz="4" w:space="0"/>
              <w:right w:val="single" w:color="auto" w:sz="4" w:space="0"/>
            </w:tcBorders>
            <w:noWrap w:val="0"/>
            <w:vAlign w:val="center"/>
          </w:tcPr>
          <w:p w14:paraId="0B0860EA">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经济效</w:t>
            </w:r>
          </w:p>
          <w:p w14:paraId="779F8382">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益指标</w:t>
            </w:r>
          </w:p>
        </w:tc>
        <w:tc>
          <w:tcPr>
            <w:tcW w:w="1351" w:type="dxa"/>
            <w:gridSpan w:val="2"/>
            <w:tcBorders>
              <w:top w:val="nil"/>
              <w:left w:val="nil"/>
              <w:bottom w:val="single" w:color="auto" w:sz="4" w:space="0"/>
              <w:right w:val="single" w:color="auto" w:sz="4" w:space="0"/>
            </w:tcBorders>
            <w:noWrap w:val="0"/>
            <w:vAlign w:val="center"/>
          </w:tcPr>
          <w:p w14:paraId="675774E4">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公办幼儿园为公益性质无经济效益指标</w:t>
            </w:r>
          </w:p>
        </w:tc>
        <w:tc>
          <w:tcPr>
            <w:tcW w:w="1311" w:type="dxa"/>
            <w:tcBorders>
              <w:top w:val="nil"/>
              <w:left w:val="nil"/>
              <w:bottom w:val="single" w:color="auto" w:sz="4" w:space="0"/>
              <w:right w:val="single" w:color="auto" w:sz="4" w:space="0"/>
            </w:tcBorders>
            <w:noWrap w:val="0"/>
            <w:vAlign w:val="center"/>
          </w:tcPr>
          <w:p w14:paraId="449AA3F3">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p>
        </w:tc>
        <w:tc>
          <w:tcPr>
            <w:tcW w:w="1269" w:type="dxa"/>
            <w:tcBorders>
              <w:top w:val="nil"/>
              <w:left w:val="nil"/>
              <w:bottom w:val="single" w:color="auto" w:sz="4" w:space="0"/>
              <w:right w:val="single" w:color="auto" w:sz="4" w:space="0"/>
            </w:tcBorders>
            <w:noWrap w:val="0"/>
            <w:vAlign w:val="center"/>
          </w:tcPr>
          <w:p w14:paraId="701CFAFA">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p>
        </w:tc>
        <w:tc>
          <w:tcPr>
            <w:tcW w:w="716" w:type="dxa"/>
            <w:tcBorders>
              <w:top w:val="nil"/>
              <w:left w:val="nil"/>
              <w:bottom w:val="single" w:color="auto" w:sz="4" w:space="0"/>
              <w:right w:val="single" w:color="auto" w:sz="4" w:space="0"/>
            </w:tcBorders>
            <w:noWrap w:val="0"/>
            <w:vAlign w:val="center"/>
          </w:tcPr>
          <w:p w14:paraId="47B59B79">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p>
        </w:tc>
        <w:tc>
          <w:tcPr>
            <w:tcW w:w="881" w:type="dxa"/>
            <w:tcBorders>
              <w:top w:val="nil"/>
              <w:left w:val="nil"/>
              <w:bottom w:val="single" w:color="auto" w:sz="4" w:space="0"/>
              <w:right w:val="single" w:color="auto" w:sz="4" w:space="0"/>
            </w:tcBorders>
            <w:noWrap w:val="0"/>
            <w:vAlign w:val="center"/>
          </w:tcPr>
          <w:p w14:paraId="7CFE7776">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p>
        </w:tc>
        <w:tc>
          <w:tcPr>
            <w:tcW w:w="1438" w:type="dxa"/>
            <w:tcBorders>
              <w:top w:val="nil"/>
              <w:left w:val="nil"/>
              <w:bottom w:val="single" w:color="auto" w:sz="4" w:space="0"/>
              <w:right w:val="single" w:color="auto" w:sz="4" w:space="0"/>
            </w:tcBorders>
            <w:noWrap w:val="0"/>
            <w:vAlign w:val="center"/>
          </w:tcPr>
          <w:p w14:paraId="34A9E0A9">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p>
        </w:tc>
      </w:tr>
      <w:tr w14:paraId="2E766F0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EED1D8C">
            <w:pPr>
              <w:spacing w:line="240" w:lineRule="exact"/>
              <w:jc w:val="left"/>
              <w:rPr>
                <w:rFonts w:ascii="Times New Roman" w:hAnsi="Times New Roman" w:eastAsia="仿宋_GB2312" w:cs="Times New Roman"/>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03458716">
            <w:pPr>
              <w:spacing w:line="240" w:lineRule="exact"/>
              <w:jc w:val="left"/>
              <w:rPr>
                <w:rFonts w:ascii="Times New Roman" w:hAnsi="Times New Roman" w:eastAsia="仿宋_GB2312" w:cs="Times New Roman"/>
                <w:color w:val="000000"/>
                <w:sz w:val="20"/>
                <w:szCs w:val="20"/>
              </w:rPr>
            </w:pPr>
          </w:p>
        </w:tc>
        <w:tc>
          <w:tcPr>
            <w:tcW w:w="953" w:type="dxa"/>
            <w:tcBorders>
              <w:top w:val="single" w:color="auto" w:sz="4" w:space="0"/>
              <w:left w:val="nil"/>
              <w:bottom w:val="single" w:color="auto" w:sz="4" w:space="0"/>
              <w:right w:val="single" w:color="auto" w:sz="4" w:space="0"/>
            </w:tcBorders>
            <w:noWrap w:val="0"/>
            <w:vAlign w:val="center"/>
          </w:tcPr>
          <w:p w14:paraId="7BE15D33">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社会效</w:t>
            </w:r>
          </w:p>
          <w:p w14:paraId="308F114E">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益指标</w:t>
            </w:r>
          </w:p>
        </w:tc>
        <w:tc>
          <w:tcPr>
            <w:tcW w:w="1351" w:type="dxa"/>
            <w:gridSpan w:val="2"/>
            <w:tcBorders>
              <w:top w:val="nil"/>
              <w:left w:val="nil"/>
              <w:bottom w:val="single" w:color="auto" w:sz="4" w:space="0"/>
              <w:right w:val="single" w:color="auto" w:sz="4" w:space="0"/>
            </w:tcBorders>
            <w:noWrap w:val="0"/>
            <w:vAlign w:val="center"/>
          </w:tcPr>
          <w:p w14:paraId="7A5FA845">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为市直机关单位提供优质的幼儿园服务</w:t>
            </w:r>
          </w:p>
        </w:tc>
        <w:tc>
          <w:tcPr>
            <w:tcW w:w="1311" w:type="dxa"/>
            <w:tcBorders>
              <w:top w:val="nil"/>
              <w:left w:val="nil"/>
              <w:bottom w:val="single" w:color="auto" w:sz="4" w:space="0"/>
              <w:right w:val="single" w:color="auto" w:sz="4" w:space="0"/>
            </w:tcBorders>
            <w:noWrap w:val="0"/>
            <w:vAlign w:val="center"/>
          </w:tcPr>
          <w:p w14:paraId="1B1ED7D2">
            <w:pPr>
              <w:widowControl/>
              <w:spacing w:line="240" w:lineRule="exact"/>
              <w:jc w:val="left"/>
              <w:rPr>
                <w:rFonts w:hint="eastAsia" w:ascii="Times New Roman" w:hAnsi="Times New Roman" w:eastAsia="仿宋_GB2312" w:cs="Times New Roman"/>
                <w:color w:val="000000"/>
                <w:sz w:val="20"/>
                <w:szCs w:val="20"/>
                <w:lang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eastAsia="zh-CN"/>
              </w:rPr>
              <w:t>满意</w:t>
            </w:r>
          </w:p>
        </w:tc>
        <w:tc>
          <w:tcPr>
            <w:tcW w:w="1269" w:type="dxa"/>
            <w:tcBorders>
              <w:top w:val="nil"/>
              <w:left w:val="nil"/>
              <w:bottom w:val="single" w:color="auto" w:sz="4" w:space="0"/>
              <w:right w:val="single" w:color="auto" w:sz="4" w:space="0"/>
            </w:tcBorders>
            <w:noWrap w:val="0"/>
            <w:vAlign w:val="center"/>
          </w:tcPr>
          <w:p w14:paraId="237C42E7">
            <w:pPr>
              <w:widowControl/>
              <w:spacing w:line="240" w:lineRule="exact"/>
              <w:jc w:val="left"/>
              <w:rPr>
                <w:rFonts w:hint="eastAsia" w:ascii="Times New Roman" w:hAnsi="Times New Roman" w:eastAsia="仿宋_GB2312" w:cs="Times New Roman"/>
                <w:color w:val="000000"/>
                <w:sz w:val="20"/>
                <w:szCs w:val="20"/>
                <w:lang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eastAsia="zh-CN"/>
              </w:rPr>
              <w:t>满意</w:t>
            </w:r>
          </w:p>
        </w:tc>
        <w:tc>
          <w:tcPr>
            <w:tcW w:w="716" w:type="dxa"/>
            <w:tcBorders>
              <w:top w:val="nil"/>
              <w:left w:val="nil"/>
              <w:bottom w:val="single" w:color="auto" w:sz="4" w:space="0"/>
              <w:right w:val="single" w:color="auto" w:sz="4" w:space="0"/>
            </w:tcBorders>
            <w:noWrap w:val="0"/>
            <w:vAlign w:val="center"/>
          </w:tcPr>
          <w:p w14:paraId="00C41A45">
            <w:pPr>
              <w:widowControl/>
              <w:spacing w:line="240" w:lineRule="exact"/>
              <w:jc w:val="left"/>
              <w:rPr>
                <w:rFonts w:hint="default"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81" w:type="dxa"/>
            <w:tcBorders>
              <w:top w:val="nil"/>
              <w:left w:val="nil"/>
              <w:bottom w:val="single" w:color="auto" w:sz="4" w:space="0"/>
              <w:right w:val="single" w:color="auto" w:sz="4" w:space="0"/>
            </w:tcBorders>
            <w:noWrap w:val="0"/>
            <w:vAlign w:val="center"/>
          </w:tcPr>
          <w:p w14:paraId="1952683F">
            <w:pPr>
              <w:widowControl/>
              <w:spacing w:line="240" w:lineRule="exact"/>
              <w:jc w:val="left"/>
              <w:rPr>
                <w:rFonts w:hint="default"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38" w:type="dxa"/>
            <w:tcBorders>
              <w:top w:val="nil"/>
              <w:left w:val="nil"/>
              <w:bottom w:val="single" w:color="auto" w:sz="4" w:space="0"/>
              <w:right w:val="single" w:color="auto" w:sz="4" w:space="0"/>
            </w:tcBorders>
            <w:noWrap w:val="0"/>
            <w:vAlign w:val="center"/>
          </w:tcPr>
          <w:p w14:paraId="295CE167">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p>
        </w:tc>
      </w:tr>
      <w:tr w14:paraId="403DF85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D6E2454">
            <w:pPr>
              <w:spacing w:line="240" w:lineRule="exact"/>
              <w:jc w:val="left"/>
              <w:rPr>
                <w:rFonts w:ascii="Times New Roman" w:hAnsi="Times New Roman" w:eastAsia="仿宋_GB2312" w:cs="Times New Roman"/>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1DEE93C5">
            <w:pPr>
              <w:spacing w:line="240" w:lineRule="exact"/>
              <w:jc w:val="left"/>
              <w:rPr>
                <w:rFonts w:ascii="Times New Roman" w:hAnsi="Times New Roman" w:eastAsia="仿宋_GB2312" w:cs="Times New Roman"/>
                <w:color w:val="000000"/>
                <w:sz w:val="20"/>
                <w:szCs w:val="20"/>
              </w:rPr>
            </w:pPr>
          </w:p>
        </w:tc>
        <w:tc>
          <w:tcPr>
            <w:tcW w:w="953" w:type="dxa"/>
            <w:tcBorders>
              <w:top w:val="single" w:color="auto" w:sz="4" w:space="0"/>
              <w:left w:val="nil"/>
              <w:bottom w:val="single" w:color="auto" w:sz="4" w:space="0"/>
              <w:right w:val="single" w:color="auto" w:sz="4" w:space="0"/>
            </w:tcBorders>
            <w:noWrap w:val="0"/>
            <w:vAlign w:val="center"/>
          </w:tcPr>
          <w:p w14:paraId="65E31975">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生态效</w:t>
            </w:r>
          </w:p>
          <w:p w14:paraId="7790E73C">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益指标</w:t>
            </w:r>
          </w:p>
        </w:tc>
        <w:tc>
          <w:tcPr>
            <w:tcW w:w="1351" w:type="dxa"/>
            <w:gridSpan w:val="2"/>
            <w:tcBorders>
              <w:top w:val="nil"/>
              <w:left w:val="nil"/>
              <w:bottom w:val="single" w:color="auto" w:sz="4" w:space="0"/>
              <w:right w:val="single" w:color="auto" w:sz="4" w:space="0"/>
            </w:tcBorders>
            <w:noWrap w:val="0"/>
            <w:vAlign w:val="center"/>
          </w:tcPr>
          <w:p w14:paraId="12503D32">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提供幼儿舒适的学习生活环境</w:t>
            </w:r>
          </w:p>
        </w:tc>
        <w:tc>
          <w:tcPr>
            <w:tcW w:w="1311" w:type="dxa"/>
            <w:tcBorders>
              <w:top w:val="nil"/>
              <w:left w:val="nil"/>
              <w:bottom w:val="single" w:color="auto" w:sz="4" w:space="0"/>
              <w:right w:val="single" w:color="auto" w:sz="4" w:space="0"/>
            </w:tcBorders>
            <w:noWrap w:val="0"/>
            <w:vAlign w:val="center"/>
          </w:tcPr>
          <w:p w14:paraId="6E299577">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eastAsia="zh-CN"/>
              </w:rPr>
              <w:t>满意</w:t>
            </w:r>
          </w:p>
        </w:tc>
        <w:tc>
          <w:tcPr>
            <w:tcW w:w="1269" w:type="dxa"/>
            <w:tcBorders>
              <w:top w:val="nil"/>
              <w:left w:val="nil"/>
              <w:bottom w:val="single" w:color="auto" w:sz="4" w:space="0"/>
              <w:right w:val="single" w:color="auto" w:sz="4" w:space="0"/>
            </w:tcBorders>
            <w:noWrap w:val="0"/>
            <w:vAlign w:val="center"/>
          </w:tcPr>
          <w:p w14:paraId="45C6B34B">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eastAsia="zh-CN"/>
              </w:rPr>
              <w:t>满意</w:t>
            </w:r>
          </w:p>
        </w:tc>
        <w:tc>
          <w:tcPr>
            <w:tcW w:w="716" w:type="dxa"/>
            <w:tcBorders>
              <w:top w:val="nil"/>
              <w:left w:val="nil"/>
              <w:bottom w:val="single" w:color="auto" w:sz="4" w:space="0"/>
              <w:right w:val="single" w:color="auto" w:sz="4" w:space="0"/>
            </w:tcBorders>
            <w:noWrap w:val="0"/>
            <w:vAlign w:val="center"/>
          </w:tcPr>
          <w:p w14:paraId="49203DB9">
            <w:pPr>
              <w:widowControl/>
              <w:spacing w:line="240" w:lineRule="exact"/>
              <w:jc w:val="left"/>
              <w:rPr>
                <w:rFonts w:hint="default" w:ascii="Times New Roman" w:hAnsi="Times New Roman" w:eastAsia="仿宋_GB2312" w:cs="Times New Roman"/>
                <w:color w:val="000000"/>
                <w:sz w:val="20"/>
                <w:szCs w:val="20"/>
                <w:lang w:val="en-US" w:eastAsia="zh-CN" w:bidi="ar-SA"/>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81" w:type="dxa"/>
            <w:tcBorders>
              <w:top w:val="nil"/>
              <w:left w:val="nil"/>
              <w:bottom w:val="single" w:color="auto" w:sz="4" w:space="0"/>
              <w:right w:val="single" w:color="auto" w:sz="4" w:space="0"/>
            </w:tcBorders>
            <w:noWrap w:val="0"/>
            <w:vAlign w:val="center"/>
          </w:tcPr>
          <w:p w14:paraId="66DDBD44">
            <w:pPr>
              <w:widowControl/>
              <w:spacing w:line="240" w:lineRule="exact"/>
              <w:jc w:val="left"/>
              <w:rPr>
                <w:rFonts w:hint="default" w:ascii="Times New Roman" w:hAnsi="Times New Roman" w:eastAsia="仿宋_GB2312" w:cs="Times New Roman"/>
                <w:color w:val="000000"/>
                <w:sz w:val="20"/>
                <w:szCs w:val="20"/>
                <w:lang w:val="en-US" w:eastAsia="zh-CN" w:bidi="ar-SA"/>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38" w:type="dxa"/>
            <w:tcBorders>
              <w:top w:val="nil"/>
              <w:left w:val="nil"/>
              <w:bottom w:val="single" w:color="auto" w:sz="4" w:space="0"/>
              <w:right w:val="single" w:color="auto" w:sz="4" w:space="0"/>
            </w:tcBorders>
            <w:noWrap w:val="0"/>
            <w:vAlign w:val="center"/>
          </w:tcPr>
          <w:p w14:paraId="3FD82A92">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p>
        </w:tc>
      </w:tr>
      <w:tr w14:paraId="1119AE16">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14:paraId="51BEFDF2">
            <w:pPr>
              <w:widowControl/>
              <w:spacing w:line="240" w:lineRule="exact"/>
              <w:jc w:val="center"/>
              <w:rPr>
                <w:rFonts w:ascii="Times New Roman" w:hAnsi="Times New Roman" w:eastAsia="仿宋_GB2312" w:cs="Times New Roman"/>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388DD4E3">
            <w:pPr>
              <w:widowControl/>
              <w:spacing w:line="240" w:lineRule="exact"/>
              <w:jc w:val="left"/>
              <w:rPr>
                <w:rFonts w:ascii="Times New Roman" w:hAnsi="Times New Roman" w:eastAsia="仿宋_GB2312" w:cs="Times New Roman"/>
                <w:color w:val="000000"/>
                <w:sz w:val="20"/>
                <w:szCs w:val="20"/>
              </w:rPr>
            </w:pPr>
          </w:p>
        </w:tc>
        <w:tc>
          <w:tcPr>
            <w:tcW w:w="953" w:type="dxa"/>
            <w:tcBorders>
              <w:top w:val="single" w:color="auto" w:sz="4" w:space="0"/>
              <w:left w:val="single" w:color="auto" w:sz="4" w:space="0"/>
              <w:bottom w:val="single" w:color="auto" w:sz="4" w:space="0"/>
              <w:right w:val="single" w:color="auto" w:sz="4" w:space="0"/>
            </w:tcBorders>
            <w:noWrap w:val="0"/>
            <w:vAlign w:val="center"/>
          </w:tcPr>
          <w:p w14:paraId="1C3CBA90">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可持续影响指标</w:t>
            </w: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14:paraId="4CD0F44E">
            <w:pPr>
              <w:widowControl/>
              <w:spacing w:line="240" w:lineRule="exact"/>
              <w:jc w:val="center"/>
              <w:rPr>
                <w:rFonts w:ascii="Times New Roman" w:hAnsi="Times New Roman" w:eastAsia="仿宋_GB2312" w:cs="Times New Roman"/>
                <w:color w:val="000000"/>
                <w:sz w:val="20"/>
                <w:szCs w:val="20"/>
                <w:lang w:val="en-US" w:eastAsia="zh-CN" w:bidi="ar-SA"/>
              </w:rPr>
            </w:pPr>
            <w:r>
              <w:rPr>
                <w:rFonts w:hint="eastAsia" w:ascii="Times New Roman" w:hAnsi="Times New Roman" w:eastAsia="仿宋_GB2312" w:cs="Times New Roman"/>
                <w:color w:val="000000"/>
                <w:sz w:val="20"/>
                <w:szCs w:val="20"/>
                <w:lang w:eastAsia="zh-CN"/>
              </w:rPr>
              <w:t>提供幼儿舒适的学习生活环境</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1A96602">
            <w:pPr>
              <w:widowControl/>
              <w:spacing w:line="240" w:lineRule="exact"/>
              <w:jc w:val="left"/>
              <w:rPr>
                <w:rFonts w:ascii="Times New Roman" w:hAnsi="Times New Roman" w:eastAsia="仿宋_GB2312" w:cs="Times New Roman"/>
                <w:color w:val="000000"/>
                <w:sz w:val="20"/>
                <w:szCs w:val="20"/>
                <w:lang w:val="en-US" w:eastAsia="zh-CN" w:bidi="ar-SA"/>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eastAsia="zh-CN"/>
              </w:rPr>
              <w:t>满意</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37DF44D">
            <w:pPr>
              <w:widowControl/>
              <w:spacing w:line="240" w:lineRule="exact"/>
              <w:jc w:val="left"/>
              <w:rPr>
                <w:rFonts w:ascii="Times New Roman" w:hAnsi="Times New Roman" w:eastAsia="仿宋_GB2312" w:cs="Times New Roman"/>
                <w:color w:val="000000"/>
                <w:sz w:val="20"/>
                <w:szCs w:val="20"/>
                <w:lang w:val="en-US" w:eastAsia="zh-CN" w:bidi="ar-SA"/>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eastAsia="zh-CN"/>
              </w:rPr>
              <w:t>满意</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6CDA609">
            <w:pPr>
              <w:widowControl/>
              <w:spacing w:line="240" w:lineRule="exact"/>
              <w:jc w:val="left"/>
              <w:rPr>
                <w:rFonts w:hint="default" w:ascii="Times New Roman" w:hAnsi="Times New Roman" w:eastAsia="仿宋_GB2312" w:cs="Times New Roman"/>
                <w:color w:val="000000"/>
                <w:sz w:val="20"/>
                <w:szCs w:val="20"/>
                <w:lang w:val="en-US" w:eastAsia="zh-CN" w:bidi="ar-SA"/>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3AAC524F">
            <w:pPr>
              <w:widowControl/>
              <w:spacing w:line="240" w:lineRule="exact"/>
              <w:jc w:val="left"/>
              <w:rPr>
                <w:rFonts w:hint="default" w:ascii="Times New Roman" w:hAnsi="Times New Roman" w:eastAsia="仿宋_GB2312" w:cs="Times New Roman"/>
                <w:color w:val="000000"/>
                <w:sz w:val="20"/>
                <w:szCs w:val="20"/>
                <w:lang w:val="en-US" w:eastAsia="zh-CN" w:bidi="ar-SA"/>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38" w:type="dxa"/>
            <w:tcBorders>
              <w:top w:val="single" w:color="auto" w:sz="4" w:space="0"/>
              <w:left w:val="single" w:color="auto" w:sz="4" w:space="0"/>
              <w:bottom w:val="single" w:color="auto" w:sz="4" w:space="0"/>
              <w:right w:val="single" w:color="auto" w:sz="4" w:space="0"/>
            </w:tcBorders>
            <w:noWrap w:val="0"/>
            <w:vAlign w:val="center"/>
          </w:tcPr>
          <w:p w14:paraId="5D3F4111">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p>
        </w:tc>
      </w:tr>
      <w:tr w14:paraId="3D65E866">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14:paraId="330FEA7A">
            <w:pPr>
              <w:spacing w:line="240" w:lineRule="exact"/>
              <w:jc w:val="left"/>
              <w:rPr>
                <w:rFonts w:ascii="Times New Roman" w:hAnsi="Times New Roman" w:eastAsia="仿宋_GB2312" w:cs="Times New Roman"/>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14:paraId="5E95AF81">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满意度</w:t>
            </w:r>
          </w:p>
          <w:p w14:paraId="5755F2FC">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指标</w:t>
            </w:r>
          </w:p>
          <w:p w14:paraId="7133682B">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（10分）</w:t>
            </w:r>
          </w:p>
        </w:tc>
        <w:tc>
          <w:tcPr>
            <w:tcW w:w="953" w:type="dxa"/>
            <w:tcBorders>
              <w:top w:val="single" w:color="auto" w:sz="4" w:space="0"/>
              <w:left w:val="nil"/>
              <w:bottom w:val="single" w:color="auto" w:sz="4" w:space="0"/>
              <w:right w:val="single" w:color="auto" w:sz="4" w:space="0"/>
            </w:tcBorders>
            <w:noWrap w:val="0"/>
            <w:vAlign w:val="center"/>
          </w:tcPr>
          <w:p w14:paraId="6565843D">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服务对象满意度指标</w:t>
            </w:r>
          </w:p>
        </w:tc>
        <w:tc>
          <w:tcPr>
            <w:tcW w:w="1351" w:type="dxa"/>
            <w:gridSpan w:val="2"/>
            <w:tcBorders>
              <w:top w:val="nil"/>
              <w:left w:val="nil"/>
              <w:bottom w:val="single" w:color="auto" w:sz="4" w:space="0"/>
              <w:right w:val="single" w:color="auto" w:sz="4" w:space="0"/>
            </w:tcBorders>
            <w:noWrap w:val="0"/>
            <w:vAlign w:val="center"/>
          </w:tcPr>
          <w:p w14:paraId="07374A7A">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家长对幼儿园满意度</w:t>
            </w:r>
          </w:p>
        </w:tc>
        <w:tc>
          <w:tcPr>
            <w:tcW w:w="1311" w:type="dxa"/>
            <w:tcBorders>
              <w:top w:val="nil"/>
              <w:left w:val="nil"/>
              <w:bottom w:val="single" w:color="auto" w:sz="4" w:space="0"/>
              <w:right w:val="single" w:color="auto" w:sz="4" w:space="0"/>
            </w:tcBorders>
            <w:noWrap w:val="0"/>
            <w:vAlign w:val="center"/>
          </w:tcPr>
          <w:p w14:paraId="7C1EB6D4">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eastAsia="zh-CN"/>
              </w:rPr>
              <w:t>满意</w:t>
            </w:r>
          </w:p>
        </w:tc>
        <w:tc>
          <w:tcPr>
            <w:tcW w:w="1269" w:type="dxa"/>
            <w:tcBorders>
              <w:top w:val="nil"/>
              <w:left w:val="nil"/>
              <w:bottom w:val="single" w:color="auto" w:sz="4" w:space="0"/>
              <w:right w:val="single" w:color="auto" w:sz="4" w:space="0"/>
            </w:tcBorders>
            <w:noWrap w:val="0"/>
            <w:vAlign w:val="center"/>
          </w:tcPr>
          <w:p w14:paraId="2560FF44">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eastAsia="zh-CN"/>
              </w:rPr>
              <w:t>满意</w:t>
            </w:r>
          </w:p>
        </w:tc>
        <w:tc>
          <w:tcPr>
            <w:tcW w:w="716" w:type="dxa"/>
            <w:tcBorders>
              <w:top w:val="nil"/>
              <w:left w:val="nil"/>
              <w:bottom w:val="single" w:color="auto" w:sz="4" w:space="0"/>
              <w:right w:val="single" w:color="auto" w:sz="4" w:space="0"/>
            </w:tcBorders>
            <w:noWrap w:val="0"/>
            <w:vAlign w:val="center"/>
          </w:tcPr>
          <w:p w14:paraId="527CE79C">
            <w:pPr>
              <w:widowControl/>
              <w:spacing w:line="240" w:lineRule="exact"/>
              <w:jc w:val="left"/>
              <w:rPr>
                <w:rFonts w:hint="default" w:ascii="Times New Roman" w:hAnsi="Times New Roman" w:eastAsia="仿宋_GB2312" w:cs="Times New Roman"/>
                <w:color w:val="000000"/>
                <w:sz w:val="20"/>
                <w:szCs w:val="20"/>
                <w:lang w:val="en-US" w:eastAsia="zh-CN" w:bidi="ar-SA"/>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81" w:type="dxa"/>
            <w:tcBorders>
              <w:top w:val="nil"/>
              <w:left w:val="nil"/>
              <w:bottom w:val="single" w:color="auto" w:sz="4" w:space="0"/>
              <w:right w:val="single" w:color="auto" w:sz="4" w:space="0"/>
            </w:tcBorders>
            <w:noWrap w:val="0"/>
            <w:vAlign w:val="center"/>
          </w:tcPr>
          <w:p w14:paraId="11760EF0">
            <w:pPr>
              <w:widowControl/>
              <w:spacing w:line="240" w:lineRule="exact"/>
              <w:jc w:val="left"/>
              <w:rPr>
                <w:rFonts w:hint="default" w:ascii="Times New Roman" w:hAnsi="Times New Roman" w:eastAsia="仿宋_GB2312" w:cs="Times New Roman"/>
                <w:color w:val="000000"/>
                <w:sz w:val="20"/>
                <w:szCs w:val="20"/>
                <w:lang w:val="en-US" w:eastAsia="zh-CN" w:bidi="ar-SA"/>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38" w:type="dxa"/>
            <w:tcBorders>
              <w:top w:val="nil"/>
              <w:left w:val="nil"/>
              <w:bottom w:val="single" w:color="auto" w:sz="4" w:space="0"/>
              <w:right w:val="single" w:color="auto" w:sz="4" w:space="0"/>
            </w:tcBorders>
            <w:noWrap w:val="0"/>
            <w:vAlign w:val="center"/>
          </w:tcPr>
          <w:p w14:paraId="104D6885">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p>
        </w:tc>
      </w:tr>
      <w:tr w14:paraId="72A9CD24">
        <w:tblPrEx>
          <w:tblCellMar>
            <w:top w:w="0" w:type="dxa"/>
            <w:left w:w="108" w:type="dxa"/>
            <w:bottom w:w="0" w:type="dxa"/>
            <w:right w:w="108" w:type="dxa"/>
          </w:tblCellMar>
        </w:tblPrEx>
        <w:trPr>
          <w:trHeight w:val="270" w:hRule="atLeast"/>
          <w:jc w:val="center"/>
        </w:trPr>
        <w:tc>
          <w:tcPr>
            <w:tcW w:w="7044" w:type="dxa"/>
            <w:gridSpan w:val="7"/>
            <w:tcBorders>
              <w:top w:val="single" w:color="auto" w:sz="4" w:space="0"/>
              <w:left w:val="single" w:color="auto" w:sz="4" w:space="0"/>
              <w:bottom w:val="single" w:color="auto" w:sz="4" w:space="0"/>
              <w:right w:val="single" w:color="000000" w:sz="4" w:space="0"/>
            </w:tcBorders>
            <w:noWrap w:val="0"/>
            <w:vAlign w:val="center"/>
          </w:tcPr>
          <w:p w14:paraId="26BED514">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总分</w:t>
            </w:r>
          </w:p>
        </w:tc>
        <w:tc>
          <w:tcPr>
            <w:tcW w:w="716" w:type="dxa"/>
            <w:tcBorders>
              <w:top w:val="nil"/>
              <w:left w:val="nil"/>
              <w:bottom w:val="single" w:color="auto" w:sz="4" w:space="0"/>
              <w:right w:val="single" w:color="auto" w:sz="4" w:space="0"/>
            </w:tcBorders>
            <w:noWrap w:val="0"/>
            <w:vAlign w:val="center"/>
          </w:tcPr>
          <w:p w14:paraId="1258F4DE">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100</w:t>
            </w:r>
          </w:p>
        </w:tc>
        <w:tc>
          <w:tcPr>
            <w:tcW w:w="881" w:type="dxa"/>
            <w:tcBorders>
              <w:top w:val="nil"/>
              <w:left w:val="nil"/>
              <w:bottom w:val="single" w:color="auto" w:sz="4" w:space="0"/>
              <w:right w:val="single" w:color="auto" w:sz="4" w:space="0"/>
            </w:tcBorders>
            <w:noWrap w:val="0"/>
            <w:vAlign w:val="center"/>
          </w:tcPr>
          <w:p w14:paraId="30E558E9">
            <w:pPr>
              <w:widowControl/>
              <w:spacing w:line="240" w:lineRule="exact"/>
              <w:jc w:val="left"/>
              <w:rPr>
                <w:rFonts w:hint="default"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95</w:t>
            </w:r>
          </w:p>
        </w:tc>
        <w:tc>
          <w:tcPr>
            <w:tcW w:w="1438" w:type="dxa"/>
            <w:tcBorders>
              <w:top w:val="nil"/>
              <w:left w:val="nil"/>
              <w:bottom w:val="single" w:color="auto" w:sz="4" w:space="0"/>
              <w:right w:val="single" w:color="auto" w:sz="4" w:space="0"/>
            </w:tcBorders>
            <w:noWrap w:val="0"/>
            <w:vAlign w:val="center"/>
          </w:tcPr>
          <w:p w14:paraId="22528D52">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p>
        </w:tc>
      </w:tr>
    </w:tbl>
    <w:p w14:paraId="4868287C">
      <w:pPr>
        <w:rPr>
          <w:rFonts w:hint="eastAsia" w:eastAsia="仿宋_GB2312"/>
          <w:lang w:eastAsia="zh-CN"/>
        </w:rPr>
      </w:pPr>
      <w:r>
        <w:rPr>
          <w:rFonts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向浩华</w:t>
      </w:r>
      <w:r>
        <w:rPr>
          <w:rFonts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val="en-US" w:eastAsia="zh-CN"/>
        </w:rPr>
        <w:t>2025</w:t>
      </w:r>
      <w:r>
        <w:rPr>
          <w:rFonts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.7.1</w:t>
      </w:r>
      <w:r>
        <w:rPr>
          <w:rFonts w:ascii="Times New Roman" w:hAnsi="Times New Roman" w:eastAsia="仿宋_GB2312" w:cs="Times New Roman"/>
          <w:sz w:val="22"/>
          <w:szCs w:val="22"/>
        </w:rPr>
        <w:t xml:space="preserve"> 联系电话：</w:t>
      </w:r>
      <w:r>
        <w:rPr>
          <w:rFonts w:hint="eastAsia" w:ascii="Times New Roman" w:hAnsi="Times New Roman" w:eastAsia="仿宋_GB2312" w:cs="Times New Roman"/>
          <w:sz w:val="22"/>
          <w:szCs w:val="22"/>
          <w:lang w:val="en-US" w:eastAsia="zh-CN"/>
        </w:rPr>
        <w:t>18074558989</w:t>
      </w:r>
      <w:r>
        <w:rPr>
          <w:rFonts w:ascii="Times New Roman" w:hAnsi="Times New Roman" w:eastAsia="仿宋_GB2312" w:cs="Times New Roman"/>
          <w:sz w:val="22"/>
          <w:szCs w:val="22"/>
        </w:rPr>
        <w:t xml:space="preserve"> 单位负责人签字：</w:t>
      </w:r>
      <w:r>
        <w:rPr>
          <w:rFonts w:hint="eastAsia" w:ascii="Times New Roman" w:hAnsi="Times New Roman" w:eastAsia="仿宋_GB2312" w:cs="Times New Roman"/>
          <w:sz w:val="22"/>
          <w:szCs w:val="22"/>
          <w:lang w:eastAsia="zh-CN"/>
        </w:rPr>
        <w:t>唐华</w:t>
      </w:r>
    </w:p>
    <w:p w14:paraId="3F0A6A98">
      <w:pPr>
        <w:rPr>
          <w:rFonts w:hint="eastAsia" w:eastAsia="仿宋_GB2312"/>
          <w:lang w:eastAsia="zh-CN"/>
        </w:rPr>
      </w:pPr>
    </w:p>
    <w:p w14:paraId="758B2448">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3CFA4"/>
    <w:multiLevelType w:val="singleLevel"/>
    <w:tmpl w:val="8E33CFA4"/>
    <w:lvl w:ilvl="0" w:tentative="0">
      <w:start w:val="2"/>
      <w:numFmt w:val="chineseCounting"/>
      <w:suff w:val="nothing"/>
      <w:lvlText w:val="（%1）"/>
      <w:lvlJc w:val="left"/>
      <w:rPr>
        <w:rFonts w:hint="eastAsia" w:cs="Times New Roman"/>
      </w:rPr>
    </w:lvl>
  </w:abstractNum>
  <w:abstractNum w:abstractNumId="1">
    <w:nsid w:val="A5747D87"/>
    <w:multiLevelType w:val="singleLevel"/>
    <w:tmpl w:val="A5747D87"/>
    <w:lvl w:ilvl="0" w:tentative="0">
      <w:start w:val="7"/>
      <w:numFmt w:val="decimal"/>
      <w:suff w:val="nothing"/>
      <w:lvlText w:val="%1、"/>
      <w:lvlJc w:val="left"/>
    </w:lvl>
  </w:abstractNum>
  <w:abstractNum w:abstractNumId="2">
    <w:nsid w:val="0B055FC0"/>
    <w:multiLevelType w:val="multilevel"/>
    <w:tmpl w:val="0B055FC0"/>
    <w:lvl w:ilvl="0" w:tentative="0">
      <w:start w:val="8"/>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7B4F551F"/>
    <w:multiLevelType w:val="multilevel"/>
    <w:tmpl w:val="7B4F551F"/>
    <w:lvl w:ilvl="0" w:tentative="0">
      <w:start w:val="1"/>
      <w:numFmt w:val="japaneseCounting"/>
      <w:lvlText w:val="%1、"/>
      <w:lvlJc w:val="left"/>
      <w:pPr>
        <w:ind w:left="1040" w:hanging="720"/>
      </w:pPr>
      <w:rPr>
        <w:rFonts w:hint="default"/>
      </w:rPr>
    </w:lvl>
    <w:lvl w:ilvl="1" w:tentative="0">
      <w:start w:val="1"/>
      <w:numFmt w:val="lowerLetter"/>
      <w:lvlText w:val="%2)"/>
      <w:lvlJc w:val="left"/>
      <w:pPr>
        <w:ind w:left="1160" w:hanging="420"/>
      </w:pPr>
    </w:lvl>
    <w:lvl w:ilvl="2" w:tentative="0">
      <w:start w:val="1"/>
      <w:numFmt w:val="lowerRoman"/>
      <w:lvlText w:val="%3."/>
      <w:lvlJc w:val="right"/>
      <w:pPr>
        <w:ind w:left="1580" w:hanging="420"/>
      </w:pPr>
    </w:lvl>
    <w:lvl w:ilvl="3" w:tentative="0">
      <w:start w:val="1"/>
      <w:numFmt w:val="decimal"/>
      <w:lvlText w:val="%4."/>
      <w:lvlJc w:val="left"/>
      <w:pPr>
        <w:ind w:left="2000" w:hanging="420"/>
      </w:pPr>
    </w:lvl>
    <w:lvl w:ilvl="4" w:tentative="0">
      <w:start w:val="1"/>
      <w:numFmt w:val="lowerLetter"/>
      <w:lvlText w:val="%5)"/>
      <w:lvlJc w:val="left"/>
      <w:pPr>
        <w:ind w:left="2420" w:hanging="420"/>
      </w:pPr>
    </w:lvl>
    <w:lvl w:ilvl="5" w:tentative="0">
      <w:start w:val="1"/>
      <w:numFmt w:val="lowerRoman"/>
      <w:lvlText w:val="%6."/>
      <w:lvlJc w:val="right"/>
      <w:pPr>
        <w:ind w:left="2840" w:hanging="420"/>
      </w:pPr>
    </w:lvl>
    <w:lvl w:ilvl="6" w:tentative="0">
      <w:start w:val="1"/>
      <w:numFmt w:val="decimal"/>
      <w:lvlText w:val="%7."/>
      <w:lvlJc w:val="left"/>
      <w:pPr>
        <w:ind w:left="3260" w:hanging="420"/>
      </w:pPr>
    </w:lvl>
    <w:lvl w:ilvl="7" w:tentative="0">
      <w:start w:val="1"/>
      <w:numFmt w:val="lowerLetter"/>
      <w:lvlText w:val="%8)"/>
      <w:lvlJc w:val="left"/>
      <w:pPr>
        <w:ind w:left="3680" w:hanging="420"/>
      </w:pPr>
    </w:lvl>
    <w:lvl w:ilvl="8" w:tentative="0">
      <w:start w:val="1"/>
      <w:numFmt w:val="lowerRoman"/>
      <w:lvlText w:val="%9."/>
      <w:lvlJc w:val="right"/>
      <w:pPr>
        <w:ind w:left="410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yOWRiOGQ2Yzg0MDliNzY4ZTgxYzY5YjQ1NzM1NGUifQ=="/>
  </w:docVars>
  <w:rsids>
    <w:rsidRoot w:val="004506F9"/>
    <w:rsid w:val="0002229B"/>
    <w:rsid w:val="00024CB6"/>
    <w:rsid w:val="000273BD"/>
    <w:rsid w:val="00034F8B"/>
    <w:rsid w:val="000415B7"/>
    <w:rsid w:val="00047DF6"/>
    <w:rsid w:val="00063B59"/>
    <w:rsid w:val="000658A3"/>
    <w:rsid w:val="00072199"/>
    <w:rsid w:val="00074155"/>
    <w:rsid w:val="0008240F"/>
    <w:rsid w:val="000A3F69"/>
    <w:rsid w:val="000A4E93"/>
    <w:rsid w:val="000A57FB"/>
    <w:rsid w:val="000A7C35"/>
    <w:rsid w:val="000B3BE1"/>
    <w:rsid w:val="000B6F01"/>
    <w:rsid w:val="000C1C35"/>
    <w:rsid w:val="001346F8"/>
    <w:rsid w:val="00137463"/>
    <w:rsid w:val="00152C6D"/>
    <w:rsid w:val="001530A6"/>
    <w:rsid w:val="00154491"/>
    <w:rsid w:val="00157BB7"/>
    <w:rsid w:val="00162D39"/>
    <w:rsid w:val="00171CD8"/>
    <w:rsid w:val="00175D99"/>
    <w:rsid w:val="0018278A"/>
    <w:rsid w:val="00184FC2"/>
    <w:rsid w:val="00196D00"/>
    <w:rsid w:val="001A67DB"/>
    <w:rsid w:val="001B5FF8"/>
    <w:rsid w:val="001C6CE7"/>
    <w:rsid w:val="001D31E9"/>
    <w:rsid w:val="001D51E5"/>
    <w:rsid w:val="001E5B7A"/>
    <w:rsid w:val="001F0C3B"/>
    <w:rsid w:val="001F0D4A"/>
    <w:rsid w:val="00204367"/>
    <w:rsid w:val="00205231"/>
    <w:rsid w:val="0020556F"/>
    <w:rsid w:val="00213A27"/>
    <w:rsid w:val="00214427"/>
    <w:rsid w:val="00233BB4"/>
    <w:rsid w:val="0024264C"/>
    <w:rsid w:val="0024420A"/>
    <w:rsid w:val="00252149"/>
    <w:rsid w:val="00254774"/>
    <w:rsid w:val="002622BE"/>
    <w:rsid w:val="0026441B"/>
    <w:rsid w:val="0026474C"/>
    <w:rsid w:val="00265724"/>
    <w:rsid w:val="0027426B"/>
    <w:rsid w:val="0027483F"/>
    <w:rsid w:val="00297328"/>
    <w:rsid w:val="002A221C"/>
    <w:rsid w:val="002E6C7C"/>
    <w:rsid w:val="003000D9"/>
    <w:rsid w:val="00311D18"/>
    <w:rsid w:val="0031506E"/>
    <w:rsid w:val="00326780"/>
    <w:rsid w:val="0033466F"/>
    <w:rsid w:val="00337B12"/>
    <w:rsid w:val="003479BD"/>
    <w:rsid w:val="003652EB"/>
    <w:rsid w:val="00375FA4"/>
    <w:rsid w:val="003768D5"/>
    <w:rsid w:val="003A1245"/>
    <w:rsid w:val="003B00B7"/>
    <w:rsid w:val="003B0B60"/>
    <w:rsid w:val="003B77DD"/>
    <w:rsid w:val="003D4F64"/>
    <w:rsid w:val="0042519C"/>
    <w:rsid w:val="00431318"/>
    <w:rsid w:val="004320A1"/>
    <w:rsid w:val="00444E68"/>
    <w:rsid w:val="004506F9"/>
    <w:rsid w:val="004533D1"/>
    <w:rsid w:val="004717A2"/>
    <w:rsid w:val="0047312D"/>
    <w:rsid w:val="00491741"/>
    <w:rsid w:val="004A518F"/>
    <w:rsid w:val="004A78D6"/>
    <w:rsid w:val="004D2E9E"/>
    <w:rsid w:val="004E1056"/>
    <w:rsid w:val="00500E5F"/>
    <w:rsid w:val="005122EF"/>
    <w:rsid w:val="00517C33"/>
    <w:rsid w:val="00523644"/>
    <w:rsid w:val="0054069E"/>
    <w:rsid w:val="00551F1A"/>
    <w:rsid w:val="00553CB3"/>
    <w:rsid w:val="0056101B"/>
    <w:rsid w:val="005767CC"/>
    <w:rsid w:val="00590D9F"/>
    <w:rsid w:val="00594E2D"/>
    <w:rsid w:val="00595D26"/>
    <w:rsid w:val="005A02C1"/>
    <w:rsid w:val="005A74E6"/>
    <w:rsid w:val="005D2B19"/>
    <w:rsid w:val="005D4D55"/>
    <w:rsid w:val="005E2CFB"/>
    <w:rsid w:val="005E3DEC"/>
    <w:rsid w:val="006152C5"/>
    <w:rsid w:val="0062378F"/>
    <w:rsid w:val="00626909"/>
    <w:rsid w:val="006321C0"/>
    <w:rsid w:val="00642C13"/>
    <w:rsid w:val="00651EEC"/>
    <w:rsid w:val="00695534"/>
    <w:rsid w:val="006A1560"/>
    <w:rsid w:val="006A351B"/>
    <w:rsid w:val="006A6988"/>
    <w:rsid w:val="006B0422"/>
    <w:rsid w:val="006C1B53"/>
    <w:rsid w:val="006C4EB9"/>
    <w:rsid w:val="006D7730"/>
    <w:rsid w:val="006E5284"/>
    <w:rsid w:val="006F083B"/>
    <w:rsid w:val="006F3EB5"/>
    <w:rsid w:val="006F5EA0"/>
    <w:rsid w:val="00702E34"/>
    <w:rsid w:val="00704395"/>
    <w:rsid w:val="007045AD"/>
    <w:rsid w:val="007157AE"/>
    <w:rsid w:val="00720FF1"/>
    <w:rsid w:val="00756D51"/>
    <w:rsid w:val="00762ED3"/>
    <w:rsid w:val="007A1549"/>
    <w:rsid w:val="007E190A"/>
    <w:rsid w:val="007E40FB"/>
    <w:rsid w:val="00812ED5"/>
    <w:rsid w:val="008277D9"/>
    <w:rsid w:val="008349B1"/>
    <w:rsid w:val="00845B2D"/>
    <w:rsid w:val="00853CB4"/>
    <w:rsid w:val="008A3E8D"/>
    <w:rsid w:val="008C0633"/>
    <w:rsid w:val="008C0BF4"/>
    <w:rsid w:val="008D0332"/>
    <w:rsid w:val="008E0E80"/>
    <w:rsid w:val="0091131F"/>
    <w:rsid w:val="0091556E"/>
    <w:rsid w:val="00917684"/>
    <w:rsid w:val="009237C4"/>
    <w:rsid w:val="009278A7"/>
    <w:rsid w:val="00935434"/>
    <w:rsid w:val="00950252"/>
    <w:rsid w:val="009527EE"/>
    <w:rsid w:val="009555B1"/>
    <w:rsid w:val="00967F5D"/>
    <w:rsid w:val="00973404"/>
    <w:rsid w:val="00992115"/>
    <w:rsid w:val="009A0F95"/>
    <w:rsid w:val="009B3ADF"/>
    <w:rsid w:val="009B606B"/>
    <w:rsid w:val="009C3B52"/>
    <w:rsid w:val="009D786B"/>
    <w:rsid w:val="00A01D6B"/>
    <w:rsid w:val="00A12272"/>
    <w:rsid w:val="00A335EC"/>
    <w:rsid w:val="00A3727C"/>
    <w:rsid w:val="00A42218"/>
    <w:rsid w:val="00A55D9A"/>
    <w:rsid w:val="00A70249"/>
    <w:rsid w:val="00A72A8D"/>
    <w:rsid w:val="00A81667"/>
    <w:rsid w:val="00AA0071"/>
    <w:rsid w:val="00AC1965"/>
    <w:rsid w:val="00AC421F"/>
    <w:rsid w:val="00AE3992"/>
    <w:rsid w:val="00B21FC9"/>
    <w:rsid w:val="00B33BEA"/>
    <w:rsid w:val="00B33D98"/>
    <w:rsid w:val="00B4700D"/>
    <w:rsid w:val="00B57C9F"/>
    <w:rsid w:val="00B6250E"/>
    <w:rsid w:val="00B65F28"/>
    <w:rsid w:val="00B67D62"/>
    <w:rsid w:val="00B74C95"/>
    <w:rsid w:val="00B845B3"/>
    <w:rsid w:val="00B85D8B"/>
    <w:rsid w:val="00B865F5"/>
    <w:rsid w:val="00B96715"/>
    <w:rsid w:val="00BD09C8"/>
    <w:rsid w:val="00BE3674"/>
    <w:rsid w:val="00C27B79"/>
    <w:rsid w:val="00C3049A"/>
    <w:rsid w:val="00C31B1E"/>
    <w:rsid w:val="00C55F04"/>
    <w:rsid w:val="00C77645"/>
    <w:rsid w:val="00C817FC"/>
    <w:rsid w:val="00CA03F5"/>
    <w:rsid w:val="00CC32C6"/>
    <w:rsid w:val="00CE04C3"/>
    <w:rsid w:val="00CE6EC8"/>
    <w:rsid w:val="00CE76A0"/>
    <w:rsid w:val="00CF559C"/>
    <w:rsid w:val="00D05437"/>
    <w:rsid w:val="00D148C6"/>
    <w:rsid w:val="00D43967"/>
    <w:rsid w:val="00D44AFC"/>
    <w:rsid w:val="00D4669B"/>
    <w:rsid w:val="00D746F0"/>
    <w:rsid w:val="00D91AA4"/>
    <w:rsid w:val="00DD06FF"/>
    <w:rsid w:val="00DD2B13"/>
    <w:rsid w:val="00DD5FE9"/>
    <w:rsid w:val="00DD738F"/>
    <w:rsid w:val="00DF5960"/>
    <w:rsid w:val="00E00C7A"/>
    <w:rsid w:val="00E15CAD"/>
    <w:rsid w:val="00E17126"/>
    <w:rsid w:val="00E27285"/>
    <w:rsid w:val="00E3204C"/>
    <w:rsid w:val="00E4646A"/>
    <w:rsid w:val="00E55B68"/>
    <w:rsid w:val="00E57EE2"/>
    <w:rsid w:val="00E64454"/>
    <w:rsid w:val="00E70857"/>
    <w:rsid w:val="00E7262A"/>
    <w:rsid w:val="00E75674"/>
    <w:rsid w:val="00E833FC"/>
    <w:rsid w:val="00EA4995"/>
    <w:rsid w:val="00EC5448"/>
    <w:rsid w:val="00EE763C"/>
    <w:rsid w:val="00EF1A5C"/>
    <w:rsid w:val="00F14FFF"/>
    <w:rsid w:val="00F5036D"/>
    <w:rsid w:val="00F61BC7"/>
    <w:rsid w:val="00F65C9D"/>
    <w:rsid w:val="00F724FA"/>
    <w:rsid w:val="00F74360"/>
    <w:rsid w:val="00FA5D5A"/>
    <w:rsid w:val="00FB462F"/>
    <w:rsid w:val="00FC3E35"/>
    <w:rsid w:val="00FE16FA"/>
    <w:rsid w:val="00FE328A"/>
    <w:rsid w:val="00FF4D94"/>
    <w:rsid w:val="00FF57E7"/>
    <w:rsid w:val="01197FD8"/>
    <w:rsid w:val="0216281D"/>
    <w:rsid w:val="02AF769C"/>
    <w:rsid w:val="075D6AFD"/>
    <w:rsid w:val="08354E1D"/>
    <w:rsid w:val="08443F00"/>
    <w:rsid w:val="0B4A76A4"/>
    <w:rsid w:val="0E236E8B"/>
    <w:rsid w:val="0EDE4BF3"/>
    <w:rsid w:val="109C2465"/>
    <w:rsid w:val="12DE7825"/>
    <w:rsid w:val="16583AD2"/>
    <w:rsid w:val="17284F4E"/>
    <w:rsid w:val="183546A7"/>
    <w:rsid w:val="18782409"/>
    <w:rsid w:val="18CD697F"/>
    <w:rsid w:val="18EE6F67"/>
    <w:rsid w:val="1B8D7E84"/>
    <w:rsid w:val="1E002731"/>
    <w:rsid w:val="1E7C50C8"/>
    <w:rsid w:val="1EE66043"/>
    <w:rsid w:val="20087CAB"/>
    <w:rsid w:val="209E4495"/>
    <w:rsid w:val="21201E8D"/>
    <w:rsid w:val="22983D71"/>
    <w:rsid w:val="245872B7"/>
    <w:rsid w:val="24E20CE6"/>
    <w:rsid w:val="26BE363C"/>
    <w:rsid w:val="28420576"/>
    <w:rsid w:val="297665B1"/>
    <w:rsid w:val="2CDD64C4"/>
    <w:rsid w:val="2CFE0EFF"/>
    <w:rsid w:val="2D4E6DA1"/>
    <w:rsid w:val="2DEA5653"/>
    <w:rsid w:val="2F0E2D4D"/>
    <w:rsid w:val="2F623954"/>
    <w:rsid w:val="2FCB28F0"/>
    <w:rsid w:val="32281C2E"/>
    <w:rsid w:val="32C47B2D"/>
    <w:rsid w:val="33D01FD2"/>
    <w:rsid w:val="34562CDC"/>
    <w:rsid w:val="34A2691C"/>
    <w:rsid w:val="356A3CE3"/>
    <w:rsid w:val="365D3E77"/>
    <w:rsid w:val="370A2A88"/>
    <w:rsid w:val="37EF4AF6"/>
    <w:rsid w:val="38A76C8C"/>
    <w:rsid w:val="39BA4B8C"/>
    <w:rsid w:val="3A3C67FB"/>
    <w:rsid w:val="3B7007FB"/>
    <w:rsid w:val="3BF57EC7"/>
    <w:rsid w:val="3BFD030C"/>
    <w:rsid w:val="3D346110"/>
    <w:rsid w:val="3D907093"/>
    <w:rsid w:val="402363AA"/>
    <w:rsid w:val="40CC7E49"/>
    <w:rsid w:val="43CE50BA"/>
    <w:rsid w:val="441B7BDF"/>
    <w:rsid w:val="446D27D0"/>
    <w:rsid w:val="45274CB7"/>
    <w:rsid w:val="453F20F9"/>
    <w:rsid w:val="4AD35694"/>
    <w:rsid w:val="4AE86DE3"/>
    <w:rsid w:val="4C1C5F2C"/>
    <w:rsid w:val="4DD54DA5"/>
    <w:rsid w:val="4E040111"/>
    <w:rsid w:val="4EE730E9"/>
    <w:rsid w:val="4F353757"/>
    <w:rsid w:val="502634E0"/>
    <w:rsid w:val="50B36711"/>
    <w:rsid w:val="51391027"/>
    <w:rsid w:val="516F2029"/>
    <w:rsid w:val="519108A5"/>
    <w:rsid w:val="533F2EA3"/>
    <w:rsid w:val="53C4541D"/>
    <w:rsid w:val="543409E5"/>
    <w:rsid w:val="54890353"/>
    <w:rsid w:val="556F788D"/>
    <w:rsid w:val="58AD00F7"/>
    <w:rsid w:val="590E0F75"/>
    <w:rsid w:val="5A8727A7"/>
    <w:rsid w:val="5AFB41BA"/>
    <w:rsid w:val="5CA241D1"/>
    <w:rsid w:val="5F1C2834"/>
    <w:rsid w:val="5F70492E"/>
    <w:rsid w:val="5F9371E0"/>
    <w:rsid w:val="5F99786C"/>
    <w:rsid w:val="5FED60F2"/>
    <w:rsid w:val="61794D15"/>
    <w:rsid w:val="627526B6"/>
    <w:rsid w:val="63D4270A"/>
    <w:rsid w:val="64E57B6C"/>
    <w:rsid w:val="65990493"/>
    <w:rsid w:val="662F58D0"/>
    <w:rsid w:val="666C6A4D"/>
    <w:rsid w:val="67064D50"/>
    <w:rsid w:val="686B33C5"/>
    <w:rsid w:val="6970320D"/>
    <w:rsid w:val="6B3D00EE"/>
    <w:rsid w:val="6BB235AF"/>
    <w:rsid w:val="6C637DE8"/>
    <w:rsid w:val="6CB15983"/>
    <w:rsid w:val="6EDF387E"/>
    <w:rsid w:val="6F062BB9"/>
    <w:rsid w:val="6FD5310A"/>
    <w:rsid w:val="720D1635"/>
    <w:rsid w:val="73097E03"/>
    <w:rsid w:val="73851B97"/>
    <w:rsid w:val="73DC608A"/>
    <w:rsid w:val="75456D79"/>
    <w:rsid w:val="75F669BB"/>
    <w:rsid w:val="77B900A8"/>
    <w:rsid w:val="796C0DB6"/>
    <w:rsid w:val="79F27C8B"/>
    <w:rsid w:val="7A7F1002"/>
    <w:rsid w:val="7B767595"/>
    <w:rsid w:val="7C2B202C"/>
    <w:rsid w:val="7C901792"/>
    <w:rsid w:val="7C9E5F7D"/>
    <w:rsid w:val="7CDA1AC5"/>
    <w:rsid w:val="7D3732E0"/>
    <w:rsid w:val="7D424D1B"/>
    <w:rsid w:val="7D953FC4"/>
    <w:rsid w:val="7DF562A7"/>
    <w:rsid w:val="7E5C4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4EE2E-87A9-4A3A-A3F1-E85D0991B1C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9927</Words>
  <Characters>10699</Characters>
  <Lines>58</Lines>
  <Paragraphs>16</Paragraphs>
  <TotalTime>4</TotalTime>
  <ScaleCrop>false</ScaleCrop>
  <LinksUpToDate>false</LinksUpToDate>
  <CharactersWithSpaces>11367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天晴</cp:lastModifiedBy>
  <cp:lastPrinted>2020-07-15T07:25:00Z</cp:lastPrinted>
  <dcterms:modified xsi:type="dcterms:W3CDTF">2025-09-22T08:50:38Z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FEEFA8C55B864B1EAA6572DFFD5E8EBD_13</vt:lpwstr>
  </property>
  <property fmtid="{D5CDD505-2E9C-101B-9397-08002B2CF9AE}" pid="4" name="KSOTemplateDocerSaveRecord">
    <vt:lpwstr>eyJoZGlkIjoiYWMyOWRiOGQ2Yzg0MDliNzY4ZTgxYzY5YjQ1NzM1NGUiLCJ1c2VySWQiOiI5MjY0ODcyNDgifQ==</vt:lpwstr>
  </property>
</Properties>
</file>