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8FD23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5510AE3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02A8B7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6FD451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1200" w:firstLineChars="3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2025年度怀化市武陵中学整体支出</w:t>
      </w:r>
    </w:p>
    <w:p w14:paraId="1100394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41DA3DE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绩效自评报告</w:t>
      </w:r>
    </w:p>
    <w:p w14:paraId="06F13532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260C5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BA57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1735B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D3D8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42CF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B20A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2123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7A9F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6761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B3D2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786D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</w:p>
    <w:p w14:paraId="4B73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7B79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4E4D3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</w:p>
    <w:p w14:paraId="0A113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78A9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单位名称（盖章）：怀化市武陵中学</w:t>
      </w:r>
    </w:p>
    <w:p w14:paraId="39B21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06DE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E5F1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一、部门概况</w:t>
      </w:r>
    </w:p>
    <w:p w14:paraId="68F6C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（一）部门（单位）基本情况。</w:t>
      </w:r>
    </w:p>
    <w:p w14:paraId="6F8A6E2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/>
          <w:spacing w:val="-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怀化市武陵中学</w:t>
      </w:r>
      <w:r>
        <w:rPr>
          <w:rFonts w:ascii="仿宋" w:hAnsi="仿宋" w:eastAsia="仿宋"/>
          <w:spacing w:val="-2"/>
          <w:sz w:val="32"/>
          <w:szCs w:val="32"/>
        </w:rPr>
        <w:t>是怀化市义务制初级中学，</w:t>
      </w:r>
      <w:r>
        <w:rPr>
          <w:rFonts w:hint="eastAsia" w:ascii="仿宋" w:hAnsi="仿宋" w:eastAsia="仿宋"/>
          <w:spacing w:val="-2"/>
          <w:sz w:val="32"/>
          <w:szCs w:val="32"/>
        </w:rPr>
        <w:t>下设有校办公室、教务、德育、总务、教研</w:t>
      </w: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/>
          <w:spacing w:val="-2"/>
          <w:sz w:val="32"/>
          <w:szCs w:val="32"/>
        </w:rPr>
        <w:t>五个部门</w:t>
      </w:r>
      <w:r>
        <w:rPr>
          <w:rFonts w:hint="eastAsia" w:ascii="仿宋" w:hAnsi="仿宋" w:eastAsia="仿宋"/>
          <w:spacing w:val="-2"/>
          <w:sz w:val="32"/>
          <w:szCs w:val="32"/>
          <w:lang w:eastAsia="zh-CN"/>
        </w:rPr>
        <w:t>。</w:t>
      </w:r>
    </w:p>
    <w:p w14:paraId="6A0B60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" w:hAnsi="仿宋" w:eastAsia="仿宋"/>
          <w:spacing w:val="-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我校主要职责是</w:t>
      </w:r>
      <w:r>
        <w:rPr>
          <w:rFonts w:ascii="仿宋" w:hAnsi="仿宋" w:eastAsia="仿宋"/>
          <w:spacing w:val="-2"/>
          <w:sz w:val="32"/>
          <w:szCs w:val="32"/>
        </w:rPr>
        <w:t>实施初中阶段义务教育，为高一级学校培养德、智、体、美、艺全面发展的初中毕业生。</w:t>
      </w:r>
      <w:r>
        <w:rPr>
          <w:rFonts w:hint="eastAsia" w:ascii="仿宋" w:hAnsi="仿宋" w:eastAsia="仿宋"/>
          <w:spacing w:val="-2"/>
          <w:sz w:val="32"/>
          <w:szCs w:val="32"/>
        </w:rPr>
        <w:t>学校立志于</w:t>
      </w:r>
      <w:r>
        <w:rPr>
          <w:rFonts w:ascii="仿宋" w:hAnsi="仿宋" w:eastAsia="仿宋"/>
          <w:spacing w:val="-2"/>
          <w:sz w:val="32"/>
          <w:szCs w:val="32"/>
        </w:rPr>
        <w:t>维护教职工利益，保障教职工合法权益，以教职工和学生的人生幸福和生命质量作为重点。</w:t>
      </w:r>
    </w:p>
    <w:p w14:paraId="218927E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我校单位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编制人数为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228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均为事业单位编制，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实有在职人员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199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退休人员86人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18515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（二）部门（单位）整体支出规模、使用方向和主要内容、涉及范围等。</w:t>
      </w:r>
    </w:p>
    <w:p w14:paraId="11FFD2CB">
      <w:pPr>
        <w:widowControl/>
        <w:shd w:val="clear" w:color="auto" w:fill="FFFFFF"/>
        <w:spacing w:line="600" w:lineRule="atLeast"/>
        <w:ind w:firstLine="640"/>
        <w:rPr>
          <w:rFonts w:hint="eastAsia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2025年整体支出总额4755.29万元，</w:t>
      </w:r>
      <w:r>
        <w:rPr>
          <w:rFonts w:hint="eastAsia" w:ascii="仿宋" w:hAnsi="仿宋" w:eastAsia="仿宋" w:cstheme="minorBidi"/>
          <w:color w:val="auto"/>
          <w:spacing w:val="-2"/>
          <w:kern w:val="2"/>
          <w:sz w:val="32"/>
          <w:szCs w:val="32"/>
          <w:lang w:val="en-US" w:eastAsia="zh-CN" w:bidi="ar-SA"/>
        </w:rPr>
        <w:t>主要用于以下方面：一般公共服务支出162.87万元，教育支出3628.16万元，社会保障和就业支出475.51万元，卫生健康支出131.45万元，住房保障支出328.04万元，其他支出29.26万元。</w:t>
      </w:r>
    </w:p>
    <w:p w14:paraId="4821E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二、一般公共预算支出情况</w:t>
      </w:r>
    </w:p>
    <w:p w14:paraId="629D2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（一）基本支出</w:t>
      </w:r>
    </w:p>
    <w:p w14:paraId="7D542A34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2025年一般公共预算基本支出4245.16万元，主要用于为保障单位机构正常运转、完成日常工作任务而发生的各项支出，包括基本工资、津贴补贴等人员经费以及办公费、印刷费、水电费、物业管理费等日常公用经费。</w:t>
      </w:r>
    </w:p>
    <w:p w14:paraId="14EDE56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32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2025年“三公”经费预算0.25万元，其中，因公出国（境）费0万元，公务用车购置及运行维护费0万元，公务接待费0.25万元。实际支出0万元。</w:t>
      </w:r>
    </w:p>
    <w:p w14:paraId="1D145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（二）项目支出</w:t>
      </w:r>
    </w:p>
    <w:p w14:paraId="023E47D8">
      <w:pPr>
        <w:widowControl/>
        <w:shd w:val="clear" w:color="auto" w:fill="FFFFFF"/>
        <w:spacing w:line="600" w:lineRule="atLeast"/>
        <w:ind w:firstLine="640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2025年一般公共预算项目支出510.13万元，主要用于</w:t>
      </w:r>
      <w:r>
        <w:rPr>
          <w:rFonts w:hint="eastAsia" w:ascii="仿宋" w:eastAsia="仿宋"/>
          <w:sz w:val="32"/>
          <w:szCs w:val="32"/>
        </w:rPr>
        <w:t>校方责任险、校保安</w:t>
      </w:r>
      <w:r>
        <w:rPr>
          <w:rFonts w:hint="eastAsia" w:ascii="仿宋" w:eastAsia="仿宋"/>
          <w:sz w:val="32"/>
          <w:szCs w:val="32"/>
          <w:lang w:val="en-US" w:eastAsia="zh-CN"/>
        </w:rPr>
        <w:t>经费</w:t>
      </w: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等</w:t>
      </w:r>
      <w:r>
        <w:rPr>
          <w:rFonts w:hint="eastAsia" w:ascii="仿宋" w:eastAsia="仿宋"/>
          <w:sz w:val="32"/>
          <w:szCs w:val="32"/>
          <w:lang w:val="en-US" w:eastAsia="zh-CN"/>
        </w:rPr>
        <w:t>。</w:t>
      </w:r>
    </w:p>
    <w:p w14:paraId="253CB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三、项目组织实施情况</w:t>
      </w:r>
    </w:p>
    <w:p w14:paraId="6BEC7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（一）项目组织情况分析，主要包括项目招投标、调整、竣工验收等情况。</w:t>
      </w:r>
    </w:p>
    <w:p w14:paraId="0C81B80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32" w:firstLineChars="200"/>
        <w:textAlignment w:val="auto"/>
        <w:rPr>
          <w:rFonts w:hint="default" w:ascii="仿宋" w:hAnsi="仿宋" w:eastAsia="仿宋"/>
          <w:spacing w:val="-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highlight w:val="none"/>
          <w:lang w:val="en-US" w:eastAsia="zh-CN"/>
        </w:rPr>
        <w:t>我单位校方责任险、校保安经费等业务工作经费为专项业务工作经费，主要用于校方责任险、校保安经费，均未达到招投标限额，不存在招投标等情况。</w:t>
      </w:r>
    </w:p>
    <w:p w14:paraId="34C20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（二）项目管理情况分析，主要包括项目管理制度建设、日常检查监督管理等情况。</w:t>
      </w:r>
    </w:p>
    <w:p w14:paraId="0C6B3E85">
      <w:pPr>
        <w:widowControl/>
        <w:shd w:val="clear" w:color="auto" w:fill="FFFFFF"/>
        <w:spacing w:line="600" w:lineRule="atLeast"/>
        <w:ind w:firstLine="640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highlight w:val="none"/>
          <w:lang w:val="en-US" w:eastAsia="zh-CN"/>
        </w:rPr>
        <w:t>我校严格按照财务管理的相关要求，建立了《政府采购预算》及《政府采购管理办法》等专项资金管理办法，专项资金使用、审批、稽核符合内部管理规范。</w:t>
      </w:r>
    </w:p>
    <w:p w14:paraId="73903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四、资产管理情况</w:t>
      </w:r>
    </w:p>
    <w:p w14:paraId="4311090A">
      <w:pPr>
        <w:widowControl/>
        <w:shd w:val="clear" w:color="auto" w:fill="FFFFFF"/>
        <w:spacing w:line="600" w:lineRule="atLeast"/>
        <w:ind w:firstLine="640"/>
        <w:rPr>
          <w:rFonts w:hint="default" w:ascii="仿宋" w:hAnsi="仿宋" w:eastAsia="仿宋"/>
          <w:spacing w:val="-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2025年12月31日，我单位资产</w:t>
      </w:r>
      <w:r>
        <w:rPr>
          <w:rFonts w:hint="eastAsia" w:ascii="仿宋" w:hAnsi="仿宋" w:eastAsia="仿宋"/>
          <w:spacing w:val="-2"/>
          <w:sz w:val="32"/>
          <w:szCs w:val="32"/>
          <w:highlight w:val="none"/>
          <w:lang w:val="en-US" w:eastAsia="zh-CN"/>
        </w:rPr>
        <w:t>总额3368.29万元，其中：房屋构筑物2152.94万元，设备1033.8万元，图书和档案50.1万元，家具和用具122.51万元，无形资产8.94万元。单位资</w:t>
      </w: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产配置、使用、处理等严格按上级资产管理要求进行。</w:t>
      </w:r>
    </w:p>
    <w:p w14:paraId="619DF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五、政府性基金预算支出情况</w:t>
      </w:r>
    </w:p>
    <w:p w14:paraId="5F95AA20">
      <w:pPr>
        <w:pStyle w:val="2"/>
        <w:rPr>
          <w:rFonts w:hint="default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20</w:t>
      </w:r>
      <w:r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  <w:t>25年</w:t>
      </w:r>
      <w:r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  <w:t>政府性基金预算支出</w:t>
      </w:r>
      <w:r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  <w:t>28.</w:t>
      </w: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6万元，用于偿还拖欠企业欠款。</w:t>
      </w:r>
    </w:p>
    <w:p w14:paraId="6A53C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六、国有资本经营预算支出情况</w:t>
      </w:r>
    </w:p>
    <w:p w14:paraId="27AD6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2025年我单位无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国有资本经营预算支出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2A1CB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七、社会保险基金预算支出情况</w:t>
      </w:r>
    </w:p>
    <w:p w14:paraId="23EE8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2025年我单位无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社会保险基金预算支出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57154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八、部门整体支出绩效情况</w:t>
      </w:r>
    </w:p>
    <w:p w14:paraId="23EAF572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（一）综合评价结论。</w:t>
      </w:r>
    </w:p>
    <w:p w14:paraId="5D8FD32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ascii="仿宋" w:hAnsi="仿宋" w:eastAsia="仿宋"/>
          <w:spacing w:val="-2"/>
          <w:sz w:val="32"/>
          <w:szCs w:val="32"/>
          <w:highlight w:val="none"/>
        </w:rPr>
        <w:t>我单位20</w:t>
      </w:r>
      <w:r>
        <w:rPr>
          <w:rFonts w:hint="eastAsia" w:ascii="仿宋" w:hAnsi="仿宋" w:eastAsia="仿宋"/>
          <w:spacing w:val="-2"/>
          <w:sz w:val="32"/>
          <w:szCs w:val="32"/>
          <w:highlight w:val="none"/>
          <w:lang w:val="en-US" w:eastAsia="zh-CN"/>
        </w:rPr>
        <w:t>25</w:t>
      </w:r>
      <w:r>
        <w:rPr>
          <w:rFonts w:ascii="仿宋" w:hAnsi="仿宋" w:eastAsia="仿宋"/>
          <w:spacing w:val="-2"/>
          <w:sz w:val="32"/>
          <w:szCs w:val="32"/>
          <w:highlight w:val="none"/>
        </w:rPr>
        <w:t>年度部门整体支出绩效</w:t>
      </w:r>
      <w:r>
        <w:rPr>
          <w:rFonts w:hint="eastAsia" w:ascii="仿宋" w:hAnsi="仿宋" w:eastAsia="仿宋"/>
          <w:spacing w:val="-2"/>
          <w:sz w:val="32"/>
          <w:szCs w:val="32"/>
          <w:highlight w:val="none"/>
          <w:lang w:val="en-US" w:eastAsia="zh-CN"/>
        </w:rPr>
        <w:t>自评</w:t>
      </w:r>
      <w:r>
        <w:rPr>
          <w:rFonts w:ascii="仿宋" w:hAnsi="仿宋" w:eastAsia="仿宋"/>
          <w:spacing w:val="-2"/>
          <w:sz w:val="32"/>
          <w:szCs w:val="32"/>
          <w:highlight w:val="none"/>
        </w:rPr>
        <w:t>得分为</w:t>
      </w:r>
      <w:r>
        <w:rPr>
          <w:rFonts w:hint="eastAsia" w:ascii="仿宋" w:hAnsi="仿宋" w:eastAsia="仿宋"/>
          <w:spacing w:val="-2"/>
          <w:sz w:val="32"/>
          <w:szCs w:val="32"/>
          <w:highlight w:val="none"/>
          <w:lang w:val="en-US" w:eastAsia="zh-CN"/>
        </w:rPr>
        <w:t>97</w:t>
      </w:r>
      <w:r>
        <w:rPr>
          <w:rFonts w:ascii="仿宋" w:hAnsi="仿宋" w:eastAsia="仿宋"/>
          <w:spacing w:val="-2"/>
          <w:sz w:val="32"/>
          <w:szCs w:val="32"/>
          <w:highlight w:val="none"/>
        </w:rPr>
        <w:t>分。</w:t>
      </w:r>
    </w:p>
    <w:p w14:paraId="16C645D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（二）评价指标分析（或综合评价情况）。</w:t>
      </w:r>
    </w:p>
    <w:p w14:paraId="7BB79B0A">
      <w:pPr>
        <w:pStyle w:val="15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1、经济性分析。</w:t>
      </w:r>
    </w:p>
    <w:p w14:paraId="135C946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" w:hAnsi="仿宋" w:eastAsia="仿宋"/>
          <w:spacing w:val="-2"/>
          <w:sz w:val="32"/>
          <w:szCs w:val="32"/>
          <w:highlight w:val="none"/>
        </w:rPr>
      </w:pPr>
      <w:r>
        <w:rPr>
          <w:rFonts w:hint="eastAsia" w:ascii="仿宋" w:hAnsi="仿宋" w:eastAsia="仿宋" w:cs="Times New Roman"/>
          <w:spacing w:val="-2"/>
          <w:sz w:val="32"/>
          <w:szCs w:val="32"/>
          <w:highlight w:val="none"/>
          <w:lang w:val="en-US" w:eastAsia="zh-CN"/>
        </w:rPr>
        <w:t>2025年学校的各项支出实行厉行节约，严格按照预算额度执行，按部门预算进行成本控制。财政供养人员控制在预算编制以内，编制内在职人员控制率为87.28%；整体支出预算完成率99.98%；本年度没有“三公经费”支出。</w:t>
      </w:r>
    </w:p>
    <w:p w14:paraId="7D9484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32" w:firstLineChars="200"/>
        <w:textAlignment w:val="auto"/>
        <w:rPr>
          <w:rFonts w:hint="eastAsia" w:ascii="仿宋" w:hAnsi="仿宋" w:eastAsia="仿宋" w:cstheme="minorBidi"/>
          <w:spacing w:val="-2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highlight w:val="none"/>
          <w:lang w:val="en-US" w:eastAsia="zh-CN" w:bidi="ar"/>
        </w:rPr>
        <w:t>2、效率性分析。</w:t>
      </w:r>
    </w:p>
    <w:p w14:paraId="0B0CC0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32" w:firstLineChars="200"/>
        <w:textAlignment w:val="auto"/>
        <w:rPr>
          <w:rFonts w:hint="eastAsia" w:ascii="仿宋" w:hAnsi="仿宋" w:eastAsia="仿宋" w:cs="Times New Roman"/>
          <w:spacing w:val="-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spacing w:val="-2"/>
          <w:sz w:val="32"/>
          <w:szCs w:val="32"/>
          <w:highlight w:val="none"/>
          <w:lang w:val="en-US" w:eastAsia="zh-CN"/>
        </w:rPr>
        <w:t>2025年，我校坚持以习近平新时代中国特色社会主义思想为指导，在怀化市教育局的正确领导下，紧紧围绕教育发展大局，加强领导班子、教师队伍建设，落实“四家”“三心”“三同”理念，积极推进政社协同、家校协同、师生协同，致力办好让家长放心、老师安心、学生用心的优质教育。在党政建设、师德师风建设、素质教育、教学研究、特色工作、校园建设等方面取得了一些成绩。</w:t>
      </w:r>
    </w:p>
    <w:p w14:paraId="199881D9">
      <w:pPr>
        <w:pStyle w:val="15"/>
        <w:numPr>
          <w:ilvl w:val="0"/>
          <w:numId w:val="0"/>
        </w:numPr>
        <w:ind w:firstLine="632" w:firstLineChars="200"/>
        <w:rPr>
          <w:rFonts w:hint="eastAsia" w:ascii="仿宋" w:hAnsi="仿宋" w:eastAsia="仿宋" w:cstheme="minorBidi"/>
          <w:spacing w:val="-2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highlight w:val="none"/>
          <w:lang w:val="en-US" w:eastAsia="zh-CN" w:bidi="ar"/>
        </w:rPr>
        <w:t>3、有效性分析。</w:t>
      </w:r>
    </w:p>
    <w:p w14:paraId="1A14E19B">
      <w:pPr>
        <w:pStyle w:val="15"/>
        <w:numPr>
          <w:ilvl w:val="0"/>
          <w:numId w:val="0"/>
        </w:numPr>
        <w:ind w:firstLine="632" w:firstLineChars="200"/>
        <w:rPr>
          <w:rFonts w:hint="eastAsia" w:ascii="仿宋" w:hAnsi="仿宋" w:eastAsia="仿宋" w:cstheme="minorBidi"/>
          <w:spacing w:val="-2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highlight w:val="none"/>
          <w:lang w:val="en-US" w:eastAsia="zh-CN" w:bidi="ar"/>
        </w:rPr>
        <w:t>预算安排的基本支出保障了我校正常的工作运转，体现了财政对义务教育的关心和重视，预算安排的项目支出是非常必要的，学校的支出严格执行国家现行标准和内部控制制度，严格规范了学校支出，优先保证了教学需要。2025年我校严格执行财政局、教育局制定的收费项目和标准，对所有的收费项目进行公示，严禁擅自设立收费项目及标准，坚决杜绝教师个人收费行为。合理编制学校预算，达到收支预算平衡。</w:t>
      </w:r>
    </w:p>
    <w:p w14:paraId="0CA26EC0">
      <w:pPr>
        <w:pStyle w:val="15"/>
        <w:numPr>
          <w:ilvl w:val="0"/>
          <w:numId w:val="0"/>
        </w:numPr>
        <w:ind w:firstLine="632" w:firstLineChars="200"/>
        <w:rPr>
          <w:rFonts w:hint="eastAsia" w:ascii="仿宋" w:hAnsi="仿宋" w:eastAsia="仿宋" w:cstheme="minorBidi"/>
          <w:spacing w:val="-2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highlight w:val="none"/>
          <w:lang w:val="en-US" w:eastAsia="zh-CN" w:bidi="ar"/>
        </w:rPr>
        <w:t>4、可持续性分析。</w:t>
      </w:r>
    </w:p>
    <w:p w14:paraId="4B277E5A">
      <w:pPr>
        <w:pStyle w:val="15"/>
        <w:numPr>
          <w:ilvl w:val="0"/>
          <w:numId w:val="0"/>
        </w:numPr>
        <w:ind w:firstLine="632" w:firstLineChars="200"/>
        <w:rPr>
          <w:rFonts w:hint="default"/>
          <w:highlight w:val="none"/>
          <w:lang w:val="en-US" w:eastAsia="zh-CN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highlight w:val="none"/>
          <w:lang w:val="en-US" w:eastAsia="zh-CN" w:bidi="ar"/>
        </w:rPr>
        <w:t>支出完成后，通过对整体支出绩效评价，提高预算编制质量，提升预算执行和控制力度，提高资金效率，保障年度目标任务的顺利完成。</w:t>
      </w:r>
    </w:p>
    <w:p w14:paraId="70936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九、存在的问题及原因分析</w:t>
      </w:r>
    </w:p>
    <w:p w14:paraId="30CC0776">
      <w:pPr>
        <w:pStyle w:val="15"/>
        <w:numPr>
          <w:ilvl w:val="0"/>
          <w:numId w:val="0"/>
        </w:numPr>
        <w:ind w:firstLine="632" w:firstLineChars="200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  <w:t>我校2025年部门支出达到预期绩效目标，在预算执行过程中，由于各种客观原因存在指标之间调剂使用的现象，预算编制、下达需要更加科学、及时。同时，内部控制制度还有待于进一步完善，行政运行成本控制方面还有一定压缩空间。</w:t>
      </w:r>
    </w:p>
    <w:p w14:paraId="16179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十、下一步改进措施</w:t>
      </w:r>
    </w:p>
    <w:p w14:paraId="628E4C40">
      <w:pPr>
        <w:ind w:firstLine="632" w:firstLineChars="200"/>
        <w:rPr>
          <w:rFonts w:hint="eastAsia" w:ascii="仿宋" w:hAnsi="仿宋" w:eastAsia="仿宋"/>
          <w:spacing w:val="-2"/>
          <w:sz w:val="32"/>
          <w:szCs w:val="32"/>
        </w:rPr>
      </w:pPr>
      <w:r>
        <w:rPr>
          <w:rFonts w:hint="eastAsia" w:ascii="仿宋" w:hAnsi="仿宋" w:eastAsia="仿宋"/>
          <w:spacing w:val="-2"/>
          <w:sz w:val="32"/>
          <w:szCs w:val="32"/>
        </w:rPr>
        <w:t>根据</w:t>
      </w: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自</w:t>
      </w:r>
      <w:r>
        <w:rPr>
          <w:rFonts w:hint="eastAsia" w:ascii="仿宋" w:hAnsi="仿宋" w:eastAsia="仿宋"/>
          <w:spacing w:val="-2"/>
          <w:sz w:val="32"/>
          <w:szCs w:val="32"/>
        </w:rPr>
        <w:t>评情况，提出以下建议：</w:t>
      </w:r>
    </w:p>
    <w:p w14:paraId="4213D3CA">
      <w:pPr>
        <w:ind w:firstLine="632" w:firstLineChars="200"/>
        <w:rPr>
          <w:rFonts w:hint="eastAsia" w:ascii="仿宋" w:hAnsi="仿宋" w:eastAsia="仿宋"/>
          <w:spacing w:val="-2"/>
          <w:sz w:val="32"/>
          <w:szCs w:val="32"/>
        </w:rPr>
      </w:pPr>
      <w:r>
        <w:rPr>
          <w:rFonts w:hint="eastAsia" w:ascii="仿宋" w:hAnsi="仿宋" w:eastAsia="仿宋"/>
          <w:spacing w:val="-2"/>
          <w:sz w:val="32"/>
          <w:szCs w:val="32"/>
        </w:rPr>
        <w:t>（1）应切实提高预算编制的科学性、准确性和规范性，建立健全规范的学校预算编制制度，按照《预算法》及其实施</w:t>
      </w:r>
      <w:r>
        <w:rPr>
          <w:rFonts w:hint="eastAsia" w:ascii="仿宋" w:hAnsi="仿宋" w:eastAsia="仿宋"/>
          <w:spacing w:val="-2"/>
          <w:sz w:val="32"/>
          <w:szCs w:val="32"/>
          <w:lang w:eastAsia="zh-CN"/>
        </w:rPr>
        <w:t>条例</w:t>
      </w:r>
      <w:bookmarkStart w:id="0" w:name="_GoBack"/>
      <w:bookmarkEnd w:id="0"/>
      <w:r>
        <w:rPr>
          <w:rFonts w:hint="eastAsia" w:ascii="仿宋" w:hAnsi="仿宋" w:eastAsia="仿宋"/>
          <w:spacing w:val="-2"/>
          <w:sz w:val="32"/>
          <w:szCs w:val="32"/>
        </w:rPr>
        <w:t>的相关规定编制预算，按照政策规定及本单位的实际情况，结合上一年的预算执行情况和本年的预算支出变化，科学</w:t>
      </w:r>
      <w:r>
        <w:rPr>
          <w:rFonts w:hint="eastAsia" w:ascii="仿宋" w:hAnsi="仿宋" w:eastAsia="仿宋"/>
          <w:spacing w:val="-2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pacing w:val="-2"/>
          <w:sz w:val="32"/>
          <w:szCs w:val="32"/>
        </w:rPr>
        <w:t>合理</w:t>
      </w:r>
      <w:r>
        <w:rPr>
          <w:rFonts w:hint="eastAsia" w:ascii="仿宋" w:hAnsi="仿宋" w:eastAsia="仿宋"/>
          <w:spacing w:val="-2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pacing w:val="-2"/>
          <w:sz w:val="32"/>
          <w:szCs w:val="32"/>
        </w:rPr>
        <w:t>合规</w:t>
      </w:r>
      <w:r>
        <w:rPr>
          <w:rFonts w:hint="eastAsia" w:ascii="仿宋" w:hAnsi="仿宋" w:eastAsia="仿宋"/>
          <w:spacing w:val="-2"/>
          <w:sz w:val="32"/>
          <w:szCs w:val="32"/>
          <w:lang w:eastAsia="zh-CN"/>
        </w:rPr>
        <w:t>地</w:t>
      </w:r>
      <w:r>
        <w:rPr>
          <w:rFonts w:hint="eastAsia" w:ascii="仿宋" w:hAnsi="仿宋" w:eastAsia="仿宋"/>
          <w:spacing w:val="-2"/>
          <w:sz w:val="32"/>
          <w:szCs w:val="32"/>
        </w:rPr>
        <w:t>编制本</w:t>
      </w:r>
      <w:r>
        <w:rPr>
          <w:rFonts w:hint="eastAsia" w:ascii="仿宋" w:hAnsi="仿宋" w:eastAsia="仿宋"/>
          <w:spacing w:val="-2"/>
          <w:sz w:val="32"/>
          <w:szCs w:val="32"/>
          <w:lang w:eastAsia="zh-CN"/>
        </w:rPr>
        <w:t>年度</w:t>
      </w:r>
      <w:r>
        <w:rPr>
          <w:rFonts w:hint="eastAsia" w:ascii="仿宋" w:hAnsi="仿宋" w:eastAsia="仿宋"/>
          <w:spacing w:val="-2"/>
          <w:sz w:val="32"/>
          <w:szCs w:val="32"/>
        </w:rPr>
        <w:t>预算。</w:t>
      </w:r>
    </w:p>
    <w:p w14:paraId="256FAD30">
      <w:pPr>
        <w:ind w:firstLine="632" w:firstLineChars="200"/>
        <w:rPr>
          <w:rFonts w:hint="eastAsia" w:ascii="仿宋" w:hAnsi="仿宋" w:eastAsia="仿宋"/>
          <w:spacing w:val="-2"/>
          <w:sz w:val="32"/>
          <w:szCs w:val="32"/>
        </w:rPr>
      </w:pPr>
      <w:r>
        <w:rPr>
          <w:rFonts w:hint="eastAsia" w:ascii="仿宋" w:hAnsi="仿宋" w:eastAsia="仿宋"/>
          <w:spacing w:val="-2"/>
          <w:sz w:val="32"/>
          <w:szCs w:val="32"/>
        </w:rPr>
        <w:t>（2）加强学校的精细化管理，积极推进领导班子首遇责任制，积极推进让问题到我为止的责任管理模式。从细处入手，向管理要质量，向管理要效益。大力发展我校心理健康与信息化特色教育，将科学的学习方法、优质的教学资源、先进的教学工具进一步深度融合，提升办学</w:t>
      </w:r>
      <w:r>
        <w:rPr>
          <w:rFonts w:hint="eastAsia" w:ascii="仿宋" w:hAnsi="仿宋" w:eastAsia="仿宋"/>
          <w:spacing w:val="-2"/>
          <w:sz w:val="32"/>
          <w:szCs w:val="32"/>
          <w:lang w:eastAsia="zh-CN"/>
        </w:rPr>
        <w:t>品位</w:t>
      </w:r>
      <w:r>
        <w:rPr>
          <w:rFonts w:hint="eastAsia" w:ascii="仿宋" w:hAnsi="仿宋" w:eastAsia="仿宋"/>
          <w:spacing w:val="-2"/>
          <w:sz w:val="32"/>
          <w:szCs w:val="32"/>
        </w:rPr>
        <w:t>。</w:t>
      </w:r>
    </w:p>
    <w:p w14:paraId="68A21AEE">
      <w:pPr>
        <w:ind w:firstLine="632" w:firstLineChars="200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</w:rPr>
        <w:t>（3）进一步加强各科室的预算管理意识，对特殊项目事前提出预算要求，严格按照预算编制的相关制度和要求进行预算编制，尽量做到该纳入预算的，全部纳入预算。严格按照预算批复的支出项目和规定标准执行，打好支出审核关；加强资产管理，</w:t>
      </w:r>
      <w:r>
        <w:rPr>
          <w:rFonts w:hint="eastAsia" w:ascii="仿宋" w:hAnsi="仿宋" w:eastAsia="仿宋"/>
          <w:spacing w:val="-2"/>
          <w:sz w:val="32"/>
          <w:szCs w:val="32"/>
          <w:lang w:eastAsia="zh-CN"/>
        </w:rPr>
        <w:t>健全</w:t>
      </w:r>
      <w:r>
        <w:rPr>
          <w:rFonts w:hint="eastAsia" w:ascii="仿宋" w:hAnsi="仿宋" w:eastAsia="仿宋"/>
          <w:spacing w:val="-2"/>
          <w:sz w:val="32"/>
          <w:szCs w:val="32"/>
        </w:rPr>
        <w:t>资产台账，做到账账相符、账物相符；民主理财，实行财务公开，确保资金使用规范和效益。</w:t>
      </w:r>
    </w:p>
    <w:p w14:paraId="561DB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十一、绩效自评结果拟应用和公开情况</w:t>
      </w:r>
    </w:p>
    <w:p w14:paraId="0BD32C54">
      <w:pPr>
        <w:ind w:firstLine="632" w:firstLineChars="200"/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绩效自评结果将作为本单位完善政策和改进管理的重要依据。</w:t>
      </w:r>
    </w:p>
    <w:p w14:paraId="6DFB6718">
      <w:pPr>
        <w:ind w:firstLine="632" w:firstLineChars="200"/>
        <w:rPr>
          <w:rFonts w:hint="default" w:ascii="仿宋" w:hAnsi="仿宋" w:eastAsia="仿宋"/>
          <w:spacing w:val="-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本绩效自评情况将在政府门户网站进行公开。</w:t>
      </w:r>
    </w:p>
    <w:p w14:paraId="5038D6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其他需要说明的情况</w:t>
      </w:r>
    </w:p>
    <w:p w14:paraId="1FA71698">
      <w:pPr>
        <w:pStyle w:val="2"/>
        <w:numPr>
          <w:ilvl w:val="0"/>
          <w:numId w:val="0"/>
        </w:numPr>
        <w:ind w:firstLine="6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无</w:t>
      </w:r>
    </w:p>
    <w:p w14:paraId="0AE4F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09DDF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附件：</w:t>
      </w:r>
    </w:p>
    <w:p w14:paraId="456FD8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1.部门整体支出绩效评价基础数据表</w:t>
      </w:r>
    </w:p>
    <w:p w14:paraId="781846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2.部门整体支出绩效自评表</w:t>
      </w:r>
    </w:p>
    <w:p w14:paraId="72B23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3.项目支出绩效自评表</w:t>
      </w:r>
    </w:p>
    <w:p w14:paraId="20BEEA68">
      <w:pPr>
        <w:pStyle w:val="2"/>
        <w:rPr>
          <w:rFonts w:hint="default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4.政府性基金预算支出情况表</w:t>
      </w:r>
    </w:p>
    <w:p w14:paraId="68E9C77E">
      <w:pPr>
        <w:pStyle w:val="2"/>
        <w:ind w:left="0" w:leftChars="0" w:firstLine="0" w:firstLineChars="0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4AC30BD7">
      <w:pP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26F70C39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部门整体支出绩效评价基础数据表</w:t>
      </w:r>
    </w:p>
    <w:p w14:paraId="7B370F13">
      <w:pPr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ind w:left="91"/>
        <w:jc w:val="left"/>
        <w:rPr>
          <w:rFonts w:hint="default" w:eastAsia="仿宋_GB2312"/>
          <w:kern w:val="0"/>
          <w:sz w:val="24"/>
          <w:lang w:val="en-US" w:eastAsia="zh-CN"/>
        </w:rPr>
      </w:pPr>
      <w:r>
        <w:rPr>
          <w:rFonts w:hint="eastAsia" w:eastAsia="仿宋_GB2312"/>
          <w:kern w:val="0"/>
          <w:sz w:val="24"/>
          <w:lang w:val="en-US" w:eastAsia="zh-CN"/>
        </w:rPr>
        <w:t xml:space="preserve">                                       </w:t>
      </w:r>
    </w:p>
    <w:tbl>
      <w:tblPr>
        <w:tblStyle w:val="9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969"/>
        <w:gridCol w:w="863"/>
      </w:tblGrid>
      <w:tr w14:paraId="0121C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vMerge w:val="restart"/>
            <w:noWrap w:val="0"/>
            <w:vAlign w:val="center"/>
          </w:tcPr>
          <w:p w14:paraId="3451653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财政供养人员情况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BE299E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编制数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77799F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年实际在职人数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B2695B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控制率</w:t>
            </w:r>
          </w:p>
        </w:tc>
      </w:tr>
      <w:tr w14:paraId="44854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3354" w:type="dxa"/>
            <w:vMerge w:val="continue"/>
            <w:noWrap w:val="0"/>
            <w:vAlign w:val="center"/>
          </w:tcPr>
          <w:p w14:paraId="02C12AB0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gridSpan w:val="2"/>
            <w:noWrap w:val="0"/>
            <w:vAlign w:val="center"/>
          </w:tcPr>
          <w:p w14:paraId="06AC6898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228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EC7A9B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199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3C72DEE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87.28%</w:t>
            </w:r>
          </w:p>
        </w:tc>
      </w:tr>
      <w:tr w14:paraId="37279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CAC872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经费控制情况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3AD76A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年决算数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95FAD0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年预算数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B31A81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年决算数</w:t>
            </w:r>
          </w:p>
        </w:tc>
      </w:tr>
      <w:tr w14:paraId="1DF34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9EBB952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三公经费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FA2DAF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A721DD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0.25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A27670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2E301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81033C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1、公务用车购置和维护经费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91B8F9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950725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3FBB47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4F2D9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A535139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其中：公车购置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46C39F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9D5E60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AA6D6E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3372B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BBA619E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   公车运行维护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62921E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16B888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9BEE79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254A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B20953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2、出国经费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3E95A5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317BD6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080AEF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05DCF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035AFC8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3、公务接待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FDCEB4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7E07CB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3AEDD4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0D0F4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176E7FA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项目支出：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35D22C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544.5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D807011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634.3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CA3106C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510.13</w:t>
            </w:r>
          </w:p>
        </w:tc>
      </w:tr>
      <w:tr w14:paraId="78F6E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E9435C3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1、业务工作经费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6187FF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A8B89A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0C8274C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55FAF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94C8CE4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2、运行维护经费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9802F0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6E9D1B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7383453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46AE5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3354" w:type="dxa"/>
            <w:noWrap w:val="0"/>
            <w:vAlign w:val="center"/>
          </w:tcPr>
          <w:p w14:paraId="6A0492A5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市级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专项资金</w:t>
            </w:r>
          </w:p>
          <w:p w14:paraId="56296818">
            <w:pPr>
              <w:widowControl/>
              <w:ind w:firstLine="1000" w:firstLineChars="50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校方责任险</w:t>
            </w:r>
          </w:p>
          <w:p w14:paraId="12A4CBCC">
            <w:pPr>
              <w:widowControl/>
              <w:ind w:firstLine="1000" w:firstLineChars="5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保安经费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BBF4C4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30.62</w:t>
            </w:r>
          </w:p>
          <w:p w14:paraId="3D9CB05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5.27</w:t>
            </w:r>
          </w:p>
          <w:p w14:paraId="18867FA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25.35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EA6303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34.3</w:t>
            </w:r>
          </w:p>
          <w:p w14:paraId="02AC8D0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5.32</w:t>
            </w:r>
          </w:p>
          <w:p w14:paraId="30AD8D31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28.98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7AB1C0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31.97</w:t>
            </w:r>
          </w:p>
          <w:p w14:paraId="428C163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</w:t>
            </w:r>
          </w:p>
          <w:p w14:paraId="1E1AA2AD"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28.97</w:t>
            </w:r>
          </w:p>
        </w:tc>
      </w:tr>
      <w:tr w14:paraId="126AD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6886809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4、其他事业类发展资金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CE08B3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513.88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8A3ACA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600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EDC8EE0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478.16</w:t>
            </w:r>
          </w:p>
        </w:tc>
      </w:tr>
      <w:tr w14:paraId="3901C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96C5723">
            <w:pPr>
              <w:widowControl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公用经费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0C7922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398.64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02828A1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176.63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F675DD0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327.63</w:t>
            </w:r>
          </w:p>
        </w:tc>
      </w:tr>
      <w:tr w14:paraId="73EAB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D947BA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其中：办公费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B620ED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33.31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ACED147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6F4A58F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25.66</w:t>
            </w:r>
          </w:p>
        </w:tc>
      </w:tr>
      <w:tr w14:paraId="0B18D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51C46C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5F28B2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23.28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891DCEA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622164D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33.79</w:t>
            </w:r>
          </w:p>
        </w:tc>
      </w:tr>
      <w:tr w14:paraId="73ED7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354" w:type="dxa"/>
            <w:noWrap w:val="0"/>
            <w:vAlign w:val="center"/>
          </w:tcPr>
          <w:p w14:paraId="0511FA55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17307B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13.47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8A83968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3206C23A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4.15</w:t>
            </w:r>
          </w:p>
        </w:tc>
      </w:tr>
      <w:tr w14:paraId="2AE60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AF5BA98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政府采购金额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B39917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——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ED0C37B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85F6FFF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</w:tr>
      <w:tr w14:paraId="6CF37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DBB2E83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F97EA2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——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797EF24"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4246.16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7359801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4246.16</w:t>
            </w:r>
          </w:p>
        </w:tc>
      </w:tr>
      <w:tr w14:paraId="2F90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3354" w:type="dxa"/>
            <w:vMerge w:val="restart"/>
            <w:noWrap w:val="0"/>
            <w:vAlign w:val="center"/>
          </w:tcPr>
          <w:p w14:paraId="7020F75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楼堂馆所控制情况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2025年完工情况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189" w:type="dxa"/>
            <w:noWrap w:val="0"/>
            <w:vAlign w:val="center"/>
          </w:tcPr>
          <w:p w14:paraId="528C688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批复规模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（㎡）</w:t>
            </w:r>
          </w:p>
        </w:tc>
        <w:tc>
          <w:tcPr>
            <w:tcW w:w="849" w:type="dxa"/>
            <w:noWrap w:val="0"/>
            <w:vAlign w:val="center"/>
          </w:tcPr>
          <w:p w14:paraId="32D21B9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实际规模（㎡）</w:t>
            </w:r>
          </w:p>
        </w:tc>
        <w:tc>
          <w:tcPr>
            <w:tcW w:w="1129" w:type="dxa"/>
            <w:noWrap w:val="0"/>
            <w:vAlign w:val="center"/>
          </w:tcPr>
          <w:p w14:paraId="5967688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规模控制率</w:t>
            </w:r>
          </w:p>
        </w:tc>
        <w:tc>
          <w:tcPr>
            <w:tcW w:w="1111" w:type="dxa"/>
            <w:noWrap w:val="0"/>
            <w:vAlign w:val="center"/>
          </w:tcPr>
          <w:p w14:paraId="5E5E4E2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预算投资（万元）</w:t>
            </w:r>
          </w:p>
        </w:tc>
        <w:tc>
          <w:tcPr>
            <w:tcW w:w="969" w:type="dxa"/>
            <w:noWrap w:val="0"/>
            <w:vAlign w:val="center"/>
          </w:tcPr>
          <w:p w14:paraId="6977746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实际投资（万元）</w:t>
            </w:r>
          </w:p>
        </w:tc>
        <w:tc>
          <w:tcPr>
            <w:tcW w:w="863" w:type="dxa"/>
            <w:noWrap w:val="0"/>
            <w:vAlign w:val="center"/>
          </w:tcPr>
          <w:p w14:paraId="07C7079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投资概算控制率</w:t>
            </w:r>
          </w:p>
        </w:tc>
      </w:tr>
      <w:tr w14:paraId="2C72F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3354" w:type="dxa"/>
            <w:vMerge w:val="continue"/>
            <w:noWrap w:val="0"/>
            <w:vAlign w:val="center"/>
          </w:tcPr>
          <w:p w14:paraId="14413BF4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745CE46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849" w:type="dxa"/>
            <w:noWrap w:val="0"/>
            <w:vAlign w:val="center"/>
          </w:tcPr>
          <w:p w14:paraId="1B100B4D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129" w:type="dxa"/>
            <w:noWrap w:val="0"/>
            <w:vAlign w:val="center"/>
          </w:tcPr>
          <w:p w14:paraId="7F8628FE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111" w:type="dxa"/>
            <w:noWrap w:val="0"/>
            <w:vAlign w:val="center"/>
          </w:tcPr>
          <w:p w14:paraId="0EBDDCA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969" w:type="dxa"/>
            <w:noWrap w:val="0"/>
            <w:vAlign w:val="center"/>
          </w:tcPr>
          <w:p w14:paraId="090CB1AB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863" w:type="dxa"/>
            <w:noWrap w:val="0"/>
            <w:vAlign w:val="center"/>
          </w:tcPr>
          <w:p w14:paraId="67F15FF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6B50E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354" w:type="dxa"/>
            <w:noWrap w:val="0"/>
            <w:vAlign w:val="center"/>
          </w:tcPr>
          <w:p w14:paraId="24A3C26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厉行节约保障措施</w:t>
            </w:r>
          </w:p>
        </w:tc>
        <w:tc>
          <w:tcPr>
            <w:tcW w:w="6110" w:type="dxa"/>
            <w:gridSpan w:val="6"/>
            <w:noWrap w:val="0"/>
            <w:vAlign w:val="center"/>
          </w:tcPr>
          <w:p w14:paraId="4847C39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</w:tbl>
    <w:p w14:paraId="00F6D30B">
      <w:pPr>
        <w:pStyle w:val="1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lang w:val="en-US" w:eastAsia="zh-CN"/>
        </w:rPr>
      </w:pPr>
      <w:r>
        <w:rPr>
          <w:rFonts w:eastAsia="仿宋_GB2312"/>
          <w:kern w:val="0"/>
          <w:sz w:val="22"/>
        </w:rPr>
        <w:t>说明：“项目支出”需要填报基本支出以外的所有项目支出情况，“公用经费”填报基本支出中的一般商品和服务支出。</w:t>
      </w:r>
    </w:p>
    <w:p w14:paraId="07D95A71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龙樟灵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2026年6月12日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z w:val="22"/>
          <w:lang w:val="en-US" w:eastAsia="zh-CN"/>
        </w:rPr>
        <w:t>0745-2184350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</w:p>
    <w:p w14:paraId="719AF59A">
      <w:pPr>
        <w:keepNext w:val="0"/>
        <w:keepLines w:val="0"/>
        <w:pageBreakBefore w:val="0"/>
        <w:widowControl/>
        <w:tabs>
          <w:tab w:val="left" w:pos="2555"/>
          <w:tab w:val="left" w:pos="3611"/>
          <w:tab w:val="center" w:pos="4365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</w:p>
    <w:p w14:paraId="7F4537C1">
      <w:pPr>
        <w:keepNext w:val="0"/>
        <w:keepLines w:val="0"/>
        <w:pageBreakBefore w:val="0"/>
        <w:widowControl/>
        <w:tabs>
          <w:tab w:val="left" w:pos="2555"/>
          <w:tab w:val="left" w:pos="3611"/>
          <w:tab w:val="center" w:pos="4365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ab/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部门整体支出绩效自评表</w:t>
      </w:r>
    </w:p>
    <w:tbl>
      <w:tblPr>
        <w:tblStyle w:val="9"/>
        <w:tblW w:w="92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781"/>
        <w:gridCol w:w="885"/>
        <w:gridCol w:w="1485"/>
        <w:gridCol w:w="90"/>
        <w:gridCol w:w="1168"/>
        <w:gridCol w:w="1113"/>
        <w:gridCol w:w="690"/>
        <w:gridCol w:w="816"/>
        <w:gridCol w:w="1119"/>
      </w:tblGrid>
      <w:tr w14:paraId="688DC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115" w:type="dxa"/>
            <w:noWrap w:val="0"/>
            <w:vAlign w:val="center"/>
          </w:tcPr>
          <w:p w14:paraId="657D5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部门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8147" w:type="dxa"/>
            <w:gridSpan w:val="9"/>
            <w:noWrap w:val="0"/>
            <w:vAlign w:val="center"/>
          </w:tcPr>
          <w:p w14:paraId="6CCEF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怀化市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武陵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中学　</w:t>
            </w:r>
          </w:p>
        </w:tc>
      </w:tr>
      <w:tr w14:paraId="55EA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15" w:type="dxa"/>
            <w:vMerge w:val="restart"/>
            <w:noWrap w:val="0"/>
            <w:vAlign w:val="center"/>
          </w:tcPr>
          <w:p w14:paraId="0C34C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年度预</w:t>
            </w:r>
          </w:p>
          <w:p w14:paraId="01957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算申请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1666" w:type="dxa"/>
            <w:gridSpan w:val="2"/>
            <w:noWrap w:val="0"/>
            <w:vAlign w:val="center"/>
          </w:tcPr>
          <w:p w14:paraId="5F62F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6364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年初</w:t>
            </w:r>
          </w:p>
          <w:p w14:paraId="39F89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预算数</w:t>
            </w:r>
          </w:p>
        </w:tc>
        <w:tc>
          <w:tcPr>
            <w:tcW w:w="1258" w:type="dxa"/>
            <w:gridSpan w:val="2"/>
            <w:noWrap w:val="0"/>
            <w:vAlign w:val="center"/>
          </w:tcPr>
          <w:p w14:paraId="3683C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全年预算数</w:t>
            </w:r>
          </w:p>
        </w:tc>
        <w:tc>
          <w:tcPr>
            <w:tcW w:w="1113" w:type="dxa"/>
            <w:noWrap w:val="0"/>
            <w:vAlign w:val="center"/>
          </w:tcPr>
          <w:p w14:paraId="45A61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3BA5B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690" w:type="dxa"/>
            <w:noWrap w:val="0"/>
            <w:vAlign w:val="center"/>
          </w:tcPr>
          <w:p w14:paraId="2D240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16" w:type="dxa"/>
            <w:noWrap w:val="0"/>
            <w:vAlign w:val="center"/>
          </w:tcPr>
          <w:p w14:paraId="3B9E9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119" w:type="dxa"/>
            <w:noWrap w:val="0"/>
            <w:vAlign w:val="center"/>
          </w:tcPr>
          <w:p w14:paraId="2F034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293BD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5751D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547B1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1485" w:type="dxa"/>
            <w:noWrap w:val="0"/>
            <w:vAlign w:val="center"/>
          </w:tcPr>
          <w:p w14:paraId="62929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4017.63</w:t>
            </w:r>
          </w:p>
        </w:tc>
        <w:tc>
          <w:tcPr>
            <w:tcW w:w="1258" w:type="dxa"/>
            <w:gridSpan w:val="2"/>
            <w:noWrap w:val="0"/>
            <w:vAlign w:val="center"/>
          </w:tcPr>
          <w:p w14:paraId="0F0B7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4756.29</w:t>
            </w:r>
          </w:p>
        </w:tc>
        <w:tc>
          <w:tcPr>
            <w:tcW w:w="1113" w:type="dxa"/>
            <w:noWrap w:val="0"/>
            <w:vAlign w:val="center"/>
          </w:tcPr>
          <w:p w14:paraId="73F6D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4755.29</w:t>
            </w:r>
          </w:p>
        </w:tc>
        <w:tc>
          <w:tcPr>
            <w:tcW w:w="690" w:type="dxa"/>
            <w:noWrap w:val="0"/>
            <w:vAlign w:val="center"/>
          </w:tcPr>
          <w:p w14:paraId="057BC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10</w:t>
            </w:r>
          </w:p>
        </w:tc>
        <w:tc>
          <w:tcPr>
            <w:tcW w:w="816" w:type="dxa"/>
            <w:noWrap w:val="0"/>
            <w:vAlign w:val="center"/>
          </w:tcPr>
          <w:p w14:paraId="63FB0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99.98%</w:t>
            </w:r>
          </w:p>
        </w:tc>
        <w:tc>
          <w:tcPr>
            <w:tcW w:w="1119" w:type="dxa"/>
            <w:noWrap w:val="0"/>
            <w:vAlign w:val="center"/>
          </w:tcPr>
          <w:p w14:paraId="0A22D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</w:t>
            </w:r>
          </w:p>
        </w:tc>
      </w:tr>
      <w:tr w14:paraId="7206C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5698A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9" w:type="dxa"/>
            <w:gridSpan w:val="5"/>
            <w:noWrap w:val="0"/>
            <w:vAlign w:val="center"/>
          </w:tcPr>
          <w:p w14:paraId="78BCA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按收入性质分：</w:t>
            </w:r>
          </w:p>
        </w:tc>
        <w:tc>
          <w:tcPr>
            <w:tcW w:w="3738" w:type="dxa"/>
            <w:gridSpan w:val="4"/>
            <w:noWrap w:val="0"/>
            <w:vAlign w:val="center"/>
          </w:tcPr>
          <w:p w14:paraId="03E86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按支出性质分：</w:t>
            </w:r>
          </w:p>
        </w:tc>
      </w:tr>
      <w:tr w14:paraId="794B1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03A6A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9" w:type="dxa"/>
            <w:gridSpan w:val="5"/>
            <w:noWrap w:val="0"/>
            <w:vAlign w:val="center"/>
          </w:tcPr>
          <w:p w14:paraId="64C4E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其中：  一般公共预算：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4357.74</w:t>
            </w:r>
          </w:p>
        </w:tc>
        <w:tc>
          <w:tcPr>
            <w:tcW w:w="3738" w:type="dxa"/>
            <w:gridSpan w:val="4"/>
            <w:noWrap w:val="0"/>
            <w:vAlign w:val="center"/>
          </w:tcPr>
          <w:p w14:paraId="08A0D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其中：基本支出：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4246.16</w:t>
            </w:r>
          </w:p>
        </w:tc>
      </w:tr>
      <w:tr w14:paraId="594B3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7C16D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9" w:type="dxa"/>
            <w:gridSpan w:val="5"/>
            <w:noWrap w:val="0"/>
            <w:vAlign w:val="center"/>
          </w:tcPr>
          <w:p w14:paraId="77084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800" w:firstLineChars="4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政府性基金拨款：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28.6</w:t>
            </w:r>
          </w:p>
        </w:tc>
        <w:tc>
          <w:tcPr>
            <w:tcW w:w="3738" w:type="dxa"/>
            <w:gridSpan w:val="4"/>
            <w:noWrap w:val="0"/>
            <w:vAlign w:val="center"/>
          </w:tcPr>
          <w:p w14:paraId="20C07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510.13</w:t>
            </w:r>
          </w:p>
        </w:tc>
      </w:tr>
      <w:tr w14:paraId="4FFAA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181D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9" w:type="dxa"/>
            <w:gridSpan w:val="5"/>
            <w:noWrap w:val="0"/>
            <w:vAlign w:val="center"/>
          </w:tcPr>
          <w:p w14:paraId="585EB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纳入专户管理的非税收入拨款：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369.29</w:t>
            </w:r>
          </w:p>
        </w:tc>
        <w:tc>
          <w:tcPr>
            <w:tcW w:w="3738" w:type="dxa"/>
            <w:gridSpan w:val="4"/>
            <w:noWrap w:val="0"/>
            <w:vAlign w:val="center"/>
          </w:tcPr>
          <w:p w14:paraId="01389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7FFEA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1D642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9" w:type="dxa"/>
            <w:gridSpan w:val="5"/>
            <w:noWrap w:val="0"/>
            <w:vAlign w:val="center"/>
          </w:tcPr>
          <w:p w14:paraId="7A6A0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400" w:firstLineChars="7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0.66</w:t>
            </w:r>
          </w:p>
        </w:tc>
        <w:tc>
          <w:tcPr>
            <w:tcW w:w="3738" w:type="dxa"/>
            <w:gridSpan w:val="4"/>
            <w:noWrap w:val="0"/>
            <w:vAlign w:val="center"/>
          </w:tcPr>
          <w:p w14:paraId="7107D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D6B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115" w:type="dxa"/>
            <w:vMerge w:val="restart"/>
            <w:noWrap w:val="0"/>
            <w:vAlign w:val="center"/>
          </w:tcPr>
          <w:p w14:paraId="6C256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409" w:type="dxa"/>
            <w:gridSpan w:val="5"/>
            <w:noWrap w:val="0"/>
            <w:vAlign w:val="center"/>
          </w:tcPr>
          <w:p w14:paraId="7D8E4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3738" w:type="dxa"/>
            <w:gridSpan w:val="4"/>
            <w:noWrap w:val="0"/>
            <w:vAlign w:val="center"/>
          </w:tcPr>
          <w:p w14:paraId="6A781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0099A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5F476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9" w:type="dxa"/>
            <w:gridSpan w:val="5"/>
            <w:noWrap w:val="0"/>
            <w:vAlign w:val="center"/>
          </w:tcPr>
          <w:p w14:paraId="5ECC2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面推进党建工作以营造风清气正的教育生态；强化教师队伍建设，培养高水平教师队伍；修订完善规章制度确保工作规范高效；建设校园文化特色，增强文化自信；开展校园阅读工程打造书香校园；探索“五育融合”育人模式，促进学生全面发展。　</w:t>
            </w:r>
          </w:p>
        </w:tc>
        <w:tc>
          <w:tcPr>
            <w:tcW w:w="3738" w:type="dxa"/>
            <w:gridSpan w:val="4"/>
            <w:noWrap w:val="0"/>
            <w:vAlign w:val="center"/>
          </w:tcPr>
          <w:p w14:paraId="244FF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全面推进党建工作以营造风清气正的教育生态；强化教师队伍建设，培养高水平教师队伍；修订完善规章制度确保工作规范高效；建设校园文化特色，增强文化自信；开展校园阅读工程打造书香校园；探索“五育融合”育人模式，促进学生全面发展。</w:t>
            </w:r>
          </w:p>
        </w:tc>
      </w:tr>
      <w:tr w14:paraId="10050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115" w:type="dxa"/>
            <w:vMerge w:val="restart"/>
            <w:noWrap w:val="0"/>
            <w:vAlign w:val="center"/>
          </w:tcPr>
          <w:p w14:paraId="3F978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4E2BA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39757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19363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781" w:type="dxa"/>
            <w:noWrap w:val="0"/>
            <w:vAlign w:val="center"/>
          </w:tcPr>
          <w:p w14:paraId="4D273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885" w:type="dxa"/>
            <w:noWrap w:val="0"/>
            <w:vAlign w:val="center"/>
          </w:tcPr>
          <w:p w14:paraId="4C44C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06361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168" w:type="dxa"/>
            <w:noWrap w:val="0"/>
            <w:vAlign w:val="center"/>
          </w:tcPr>
          <w:p w14:paraId="368D6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0D299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13" w:type="dxa"/>
            <w:noWrap w:val="0"/>
            <w:vAlign w:val="center"/>
          </w:tcPr>
          <w:p w14:paraId="2FFC0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774CF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690" w:type="dxa"/>
            <w:noWrap w:val="0"/>
            <w:vAlign w:val="center"/>
          </w:tcPr>
          <w:p w14:paraId="41F80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16" w:type="dxa"/>
            <w:noWrap w:val="0"/>
            <w:vAlign w:val="center"/>
          </w:tcPr>
          <w:p w14:paraId="7C304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119" w:type="dxa"/>
            <w:noWrap w:val="0"/>
            <w:vAlign w:val="top"/>
          </w:tcPr>
          <w:p w14:paraId="1DE81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75AE2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624FB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00D88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276D0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781" w:type="dxa"/>
            <w:vMerge w:val="restart"/>
            <w:noWrap w:val="0"/>
            <w:vAlign w:val="center"/>
          </w:tcPr>
          <w:p w14:paraId="0BCC0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885" w:type="dxa"/>
            <w:noWrap w:val="0"/>
            <w:vAlign w:val="center"/>
          </w:tcPr>
          <w:p w14:paraId="7C736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4B9E4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部门整体支出</w:t>
            </w:r>
          </w:p>
        </w:tc>
        <w:tc>
          <w:tcPr>
            <w:tcW w:w="1168" w:type="dxa"/>
            <w:noWrap w:val="0"/>
            <w:vAlign w:val="center"/>
          </w:tcPr>
          <w:p w14:paraId="6A925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≤4017.63万元</w:t>
            </w:r>
          </w:p>
        </w:tc>
        <w:tc>
          <w:tcPr>
            <w:tcW w:w="1113" w:type="dxa"/>
            <w:noWrap w:val="0"/>
            <w:vAlign w:val="center"/>
          </w:tcPr>
          <w:p w14:paraId="2817C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4755.29万元</w:t>
            </w:r>
          </w:p>
        </w:tc>
        <w:tc>
          <w:tcPr>
            <w:tcW w:w="690" w:type="dxa"/>
            <w:noWrap w:val="0"/>
            <w:vAlign w:val="center"/>
          </w:tcPr>
          <w:p w14:paraId="4B0CE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16" w:type="dxa"/>
            <w:noWrap w:val="0"/>
            <w:vAlign w:val="center"/>
          </w:tcPr>
          <w:p w14:paraId="3B98C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119" w:type="dxa"/>
            <w:noWrap w:val="0"/>
            <w:vAlign w:val="center"/>
          </w:tcPr>
          <w:p w14:paraId="7FB5B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0F1E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6363E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 w14:paraId="6125E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noWrap w:val="0"/>
            <w:vAlign w:val="center"/>
          </w:tcPr>
          <w:p w14:paraId="5A28D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3CFDD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社会成本节约率</w:t>
            </w:r>
          </w:p>
        </w:tc>
        <w:tc>
          <w:tcPr>
            <w:tcW w:w="1168" w:type="dxa"/>
            <w:noWrap w:val="0"/>
            <w:vAlign w:val="center"/>
          </w:tcPr>
          <w:p w14:paraId="2F49B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≥0%</w:t>
            </w:r>
          </w:p>
        </w:tc>
        <w:tc>
          <w:tcPr>
            <w:tcW w:w="1113" w:type="dxa"/>
            <w:noWrap w:val="0"/>
            <w:vAlign w:val="center"/>
          </w:tcPr>
          <w:p w14:paraId="2609C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≥0%</w:t>
            </w:r>
          </w:p>
        </w:tc>
        <w:tc>
          <w:tcPr>
            <w:tcW w:w="690" w:type="dxa"/>
            <w:noWrap w:val="0"/>
            <w:vAlign w:val="center"/>
          </w:tcPr>
          <w:p w14:paraId="34415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1180B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9" w:type="dxa"/>
            <w:noWrap w:val="0"/>
            <w:vAlign w:val="center"/>
          </w:tcPr>
          <w:p w14:paraId="50594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FBA3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47CCF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 w14:paraId="08BE5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noWrap w:val="0"/>
            <w:vAlign w:val="center"/>
          </w:tcPr>
          <w:p w14:paraId="321CB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2B809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生态环境成本节约率</w:t>
            </w:r>
          </w:p>
        </w:tc>
        <w:tc>
          <w:tcPr>
            <w:tcW w:w="1168" w:type="dxa"/>
            <w:noWrap w:val="0"/>
            <w:vAlign w:val="center"/>
          </w:tcPr>
          <w:p w14:paraId="6DCB3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≥0%</w:t>
            </w:r>
          </w:p>
        </w:tc>
        <w:tc>
          <w:tcPr>
            <w:tcW w:w="1113" w:type="dxa"/>
            <w:noWrap w:val="0"/>
            <w:vAlign w:val="center"/>
          </w:tcPr>
          <w:p w14:paraId="5EF5F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≥0%</w:t>
            </w:r>
          </w:p>
        </w:tc>
        <w:tc>
          <w:tcPr>
            <w:tcW w:w="690" w:type="dxa"/>
            <w:noWrap w:val="0"/>
            <w:vAlign w:val="center"/>
          </w:tcPr>
          <w:p w14:paraId="65A47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6A326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9" w:type="dxa"/>
            <w:noWrap w:val="0"/>
            <w:vAlign w:val="center"/>
          </w:tcPr>
          <w:p w14:paraId="65FC0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17247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4C514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restart"/>
            <w:noWrap w:val="0"/>
            <w:vAlign w:val="center"/>
          </w:tcPr>
          <w:p w14:paraId="2E21A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4104B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vMerge w:val="restart"/>
            <w:noWrap w:val="0"/>
            <w:vAlign w:val="center"/>
          </w:tcPr>
          <w:p w14:paraId="04678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</w:t>
            </w:r>
          </w:p>
          <w:p w14:paraId="1E769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2B3FD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课后服务管理人数</w:t>
            </w:r>
          </w:p>
        </w:tc>
        <w:tc>
          <w:tcPr>
            <w:tcW w:w="1168" w:type="dxa"/>
            <w:noWrap w:val="0"/>
            <w:vAlign w:val="center"/>
          </w:tcPr>
          <w:p w14:paraId="1AF52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≥21人</w:t>
            </w:r>
          </w:p>
        </w:tc>
        <w:tc>
          <w:tcPr>
            <w:tcW w:w="1113" w:type="dxa"/>
            <w:noWrap w:val="0"/>
            <w:vAlign w:val="center"/>
          </w:tcPr>
          <w:p w14:paraId="6AABE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≥21人</w:t>
            </w:r>
          </w:p>
        </w:tc>
        <w:tc>
          <w:tcPr>
            <w:tcW w:w="690" w:type="dxa"/>
            <w:noWrap w:val="0"/>
            <w:vAlign w:val="center"/>
          </w:tcPr>
          <w:p w14:paraId="5E18A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79821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9" w:type="dxa"/>
            <w:noWrap w:val="0"/>
            <w:vAlign w:val="center"/>
          </w:tcPr>
          <w:p w14:paraId="3339E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F20A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330C9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 w14:paraId="51C3A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vMerge w:val="continue"/>
            <w:noWrap w:val="0"/>
            <w:vAlign w:val="center"/>
          </w:tcPr>
          <w:p w14:paraId="091B0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06B6F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设备采购次数</w:t>
            </w:r>
          </w:p>
        </w:tc>
        <w:tc>
          <w:tcPr>
            <w:tcW w:w="1168" w:type="dxa"/>
            <w:noWrap w:val="0"/>
            <w:vAlign w:val="center"/>
          </w:tcPr>
          <w:p w14:paraId="1A59F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≥2次</w:t>
            </w:r>
          </w:p>
        </w:tc>
        <w:tc>
          <w:tcPr>
            <w:tcW w:w="1113" w:type="dxa"/>
            <w:noWrap w:val="0"/>
            <w:vAlign w:val="center"/>
          </w:tcPr>
          <w:p w14:paraId="05E3A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≥2次</w:t>
            </w:r>
          </w:p>
        </w:tc>
        <w:tc>
          <w:tcPr>
            <w:tcW w:w="690" w:type="dxa"/>
            <w:noWrap w:val="0"/>
            <w:vAlign w:val="center"/>
          </w:tcPr>
          <w:p w14:paraId="47DEE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6C9A6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9" w:type="dxa"/>
            <w:noWrap w:val="0"/>
            <w:vAlign w:val="center"/>
          </w:tcPr>
          <w:p w14:paraId="5A3B0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033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27BBA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 w14:paraId="6EEE4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vMerge w:val="continue"/>
            <w:noWrap w:val="0"/>
            <w:vAlign w:val="center"/>
          </w:tcPr>
          <w:p w14:paraId="6834E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71B9E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投保学生人数</w:t>
            </w:r>
          </w:p>
        </w:tc>
        <w:tc>
          <w:tcPr>
            <w:tcW w:w="1168" w:type="dxa"/>
            <w:noWrap w:val="0"/>
            <w:vAlign w:val="center"/>
          </w:tcPr>
          <w:p w14:paraId="69471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≥3545人</w:t>
            </w:r>
          </w:p>
        </w:tc>
        <w:tc>
          <w:tcPr>
            <w:tcW w:w="1113" w:type="dxa"/>
            <w:noWrap w:val="0"/>
            <w:vAlign w:val="center"/>
          </w:tcPr>
          <w:p w14:paraId="6BF8E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≥3545人</w:t>
            </w:r>
          </w:p>
        </w:tc>
        <w:tc>
          <w:tcPr>
            <w:tcW w:w="690" w:type="dxa"/>
            <w:noWrap w:val="0"/>
            <w:vAlign w:val="center"/>
          </w:tcPr>
          <w:p w14:paraId="75C3E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59267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9" w:type="dxa"/>
            <w:noWrap w:val="0"/>
            <w:vAlign w:val="center"/>
          </w:tcPr>
          <w:p w14:paraId="3F85B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6B1F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2F897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 w14:paraId="3BF52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vMerge w:val="continue"/>
            <w:noWrap w:val="0"/>
            <w:vAlign w:val="center"/>
          </w:tcPr>
          <w:p w14:paraId="11B4B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5C925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课后服务老师人数</w:t>
            </w:r>
          </w:p>
        </w:tc>
        <w:tc>
          <w:tcPr>
            <w:tcW w:w="1168" w:type="dxa"/>
            <w:noWrap w:val="0"/>
            <w:vAlign w:val="center"/>
          </w:tcPr>
          <w:p w14:paraId="2ED21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≥180人</w:t>
            </w:r>
          </w:p>
        </w:tc>
        <w:tc>
          <w:tcPr>
            <w:tcW w:w="1113" w:type="dxa"/>
            <w:noWrap w:val="0"/>
            <w:vAlign w:val="center"/>
          </w:tcPr>
          <w:p w14:paraId="0CFC9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≥180人</w:t>
            </w:r>
          </w:p>
        </w:tc>
        <w:tc>
          <w:tcPr>
            <w:tcW w:w="690" w:type="dxa"/>
            <w:noWrap w:val="0"/>
            <w:vAlign w:val="center"/>
          </w:tcPr>
          <w:p w14:paraId="20EC2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47E0F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9" w:type="dxa"/>
            <w:noWrap w:val="0"/>
            <w:vAlign w:val="center"/>
          </w:tcPr>
          <w:p w14:paraId="0A441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4760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709E8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 w14:paraId="3C574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noWrap w:val="0"/>
            <w:vAlign w:val="center"/>
          </w:tcPr>
          <w:p w14:paraId="341CD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</w:t>
            </w:r>
          </w:p>
          <w:p w14:paraId="491D7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45C52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经费使用合规率</w:t>
            </w:r>
          </w:p>
        </w:tc>
        <w:tc>
          <w:tcPr>
            <w:tcW w:w="1168" w:type="dxa"/>
            <w:noWrap w:val="0"/>
            <w:vAlign w:val="center"/>
          </w:tcPr>
          <w:p w14:paraId="57A00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13" w:type="dxa"/>
            <w:noWrap w:val="0"/>
            <w:vAlign w:val="center"/>
          </w:tcPr>
          <w:p w14:paraId="2AE24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690" w:type="dxa"/>
            <w:noWrap w:val="0"/>
            <w:vAlign w:val="center"/>
          </w:tcPr>
          <w:p w14:paraId="3624F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24AF8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9" w:type="dxa"/>
            <w:noWrap w:val="0"/>
            <w:vAlign w:val="center"/>
          </w:tcPr>
          <w:p w14:paraId="55355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271F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40CB3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 w14:paraId="460DA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noWrap w:val="0"/>
            <w:vAlign w:val="center"/>
          </w:tcPr>
          <w:p w14:paraId="3F94B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</w:t>
            </w:r>
          </w:p>
          <w:p w14:paraId="53BCE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575" w:type="dxa"/>
            <w:gridSpan w:val="2"/>
            <w:shd w:val="clear" w:color="auto" w:fill="auto"/>
            <w:noWrap w:val="0"/>
            <w:vAlign w:val="center"/>
          </w:tcPr>
          <w:p w14:paraId="109C7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工作完成时间</w:t>
            </w:r>
          </w:p>
        </w:tc>
        <w:tc>
          <w:tcPr>
            <w:tcW w:w="1168" w:type="dxa"/>
            <w:noWrap w:val="0"/>
            <w:vAlign w:val="center"/>
          </w:tcPr>
          <w:p w14:paraId="243A6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2025年12月31日前</w:t>
            </w:r>
          </w:p>
        </w:tc>
        <w:tc>
          <w:tcPr>
            <w:tcW w:w="1113" w:type="dxa"/>
            <w:noWrap w:val="0"/>
            <w:vAlign w:val="center"/>
          </w:tcPr>
          <w:p w14:paraId="461FB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2025年12月</w:t>
            </w:r>
          </w:p>
        </w:tc>
        <w:tc>
          <w:tcPr>
            <w:tcW w:w="690" w:type="dxa"/>
            <w:noWrap w:val="0"/>
            <w:vAlign w:val="center"/>
          </w:tcPr>
          <w:p w14:paraId="21A58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2843F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9" w:type="dxa"/>
            <w:noWrap w:val="0"/>
            <w:vAlign w:val="center"/>
          </w:tcPr>
          <w:p w14:paraId="74513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9CC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72FEE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restart"/>
            <w:noWrap w:val="0"/>
            <w:vAlign w:val="center"/>
          </w:tcPr>
          <w:p w14:paraId="191E7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2248A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3801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33128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3EBBE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优化资源配置效率，通过精细化管理和制度完善，降低不必要的运营成本，提升资金使用效益</w:t>
            </w:r>
          </w:p>
        </w:tc>
        <w:tc>
          <w:tcPr>
            <w:tcW w:w="1168" w:type="dxa"/>
            <w:noWrap w:val="0"/>
            <w:vAlign w:val="center"/>
          </w:tcPr>
          <w:p w14:paraId="474A5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13" w:type="dxa"/>
            <w:noWrap w:val="0"/>
            <w:vAlign w:val="center"/>
          </w:tcPr>
          <w:p w14:paraId="26DFE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690" w:type="dxa"/>
            <w:noWrap w:val="0"/>
            <w:vAlign w:val="center"/>
          </w:tcPr>
          <w:p w14:paraId="52158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63129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9" w:type="dxa"/>
            <w:noWrap w:val="0"/>
            <w:vAlign w:val="center"/>
          </w:tcPr>
          <w:p w14:paraId="530AB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013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7C194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 w14:paraId="18D3D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noWrap w:val="0"/>
            <w:vAlign w:val="center"/>
          </w:tcPr>
          <w:p w14:paraId="0528A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04C64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3D88B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提升教学质量，培养具备综合素质和创新能力的学生，满足社会对高素质人才的需求</w:t>
            </w:r>
          </w:p>
        </w:tc>
        <w:tc>
          <w:tcPr>
            <w:tcW w:w="1168" w:type="dxa"/>
            <w:noWrap w:val="0"/>
            <w:vAlign w:val="center"/>
          </w:tcPr>
          <w:p w14:paraId="52052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13" w:type="dxa"/>
            <w:noWrap w:val="0"/>
            <w:vAlign w:val="center"/>
          </w:tcPr>
          <w:p w14:paraId="02645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690" w:type="dxa"/>
            <w:noWrap w:val="0"/>
            <w:vAlign w:val="center"/>
          </w:tcPr>
          <w:p w14:paraId="2083A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16" w:type="dxa"/>
            <w:noWrap w:val="0"/>
            <w:vAlign w:val="center"/>
          </w:tcPr>
          <w:p w14:paraId="4633C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19" w:type="dxa"/>
            <w:noWrap w:val="0"/>
            <w:vAlign w:val="center"/>
          </w:tcPr>
          <w:p w14:paraId="735E9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52C6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1B949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 w14:paraId="143B6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noWrap w:val="0"/>
            <w:vAlign w:val="center"/>
          </w:tcPr>
          <w:p w14:paraId="28801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生态效益指标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17AAD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推广绿色校园理念，通过环保教育和实践活动，增强师生环保意识</w:t>
            </w:r>
          </w:p>
        </w:tc>
        <w:tc>
          <w:tcPr>
            <w:tcW w:w="1168" w:type="dxa"/>
            <w:noWrap w:val="0"/>
            <w:vAlign w:val="center"/>
          </w:tcPr>
          <w:p w14:paraId="156FA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13" w:type="dxa"/>
            <w:noWrap w:val="0"/>
            <w:vAlign w:val="center"/>
          </w:tcPr>
          <w:p w14:paraId="0CAEC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690" w:type="dxa"/>
            <w:noWrap w:val="0"/>
            <w:vAlign w:val="center"/>
          </w:tcPr>
          <w:p w14:paraId="595E3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30273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9" w:type="dxa"/>
            <w:noWrap w:val="0"/>
            <w:vAlign w:val="center"/>
          </w:tcPr>
          <w:p w14:paraId="612FF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5EBD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23763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vMerge w:val="continue"/>
            <w:noWrap w:val="0"/>
            <w:vAlign w:val="center"/>
          </w:tcPr>
          <w:p w14:paraId="772AA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noWrap w:val="0"/>
            <w:vAlign w:val="center"/>
          </w:tcPr>
          <w:p w14:paraId="3FBC9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11D79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确保德育工作、教学质量、教师发展、文化传承等核心领域的持续改进，形成良性循环的发展模式</w:t>
            </w:r>
          </w:p>
        </w:tc>
        <w:tc>
          <w:tcPr>
            <w:tcW w:w="1168" w:type="dxa"/>
            <w:noWrap w:val="0"/>
            <w:vAlign w:val="center"/>
          </w:tcPr>
          <w:p w14:paraId="08C69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13" w:type="dxa"/>
            <w:noWrap w:val="0"/>
            <w:vAlign w:val="center"/>
          </w:tcPr>
          <w:p w14:paraId="0B3C7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690" w:type="dxa"/>
            <w:noWrap w:val="0"/>
            <w:vAlign w:val="center"/>
          </w:tcPr>
          <w:p w14:paraId="017F8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16" w:type="dxa"/>
            <w:noWrap w:val="0"/>
            <w:vAlign w:val="center"/>
          </w:tcPr>
          <w:p w14:paraId="2FC6B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19" w:type="dxa"/>
            <w:noWrap w:val="0"/>
            <w:vAlign w:val="center"/>
          </w:tcPr>
          <w:p w14:paraId="6E044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BC9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4D45A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dxa"/>
            <w:noWrap w:val="0"/>
            <w:vAlign w:val="center"/>
          </w:tcPr>
          <w:p w14:paraId="03A82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满意度指标</w:t>
            </w:r>
          </w:p>
          <w:p w14:paraId="3C2F0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noWrap w:val="0"/>
            <w:vAlign w:val="center"/>
          </w:tcPr>
          <w:p w14:paraId="5699F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02D08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师生满意度</w:t>
            </w:r>
          </w:p>
        </w:tc>
        <w:tc>
          <w:tcPr>
            <w:tcW w:w="1168" w:type="dxa"/>
            <w:noWrap w:val="0"/>
            <w:vAlign w:val="center"/>
          </w:tcPr>
          <w:p w14:paraId="11C74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13" w:type="dxa"/>
            <w:noWrap w:val="0"/>
            <w:vAlign w:val="center"/>
          </w:tcPr>
          <w:p w14:paraId="38871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690" w:type="dxa"/>
            <w:noWrap w:val="0"/>
            <w:vAlign w:val="center"/>
          </w:tcPr>
          <w:p w14:paraId="43A71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16" w:type="dxa"/>
            <w:noWrap w:val="0"/>
            <w:vAlign w:val="center"/>
          </w:tcPr>
          <w:p w14:paraId="7B513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19" w:type="dxa"/>
            <w:noWrap w:val="0"/>
            <w:vAlign w:val="center"/>
          </w:tcPr>
          <w:p w14:paraId="3E5DB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B14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637" w:type="dxa"/>
            <w:gridSpan w:val="7"/>
            <w:noWrap w:val="0"/>
            <w:vAlign w:val="center"/>
          </w:tcPr>
          <w:p w14:paraId="302A3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690" w:type="dxa"/>
            <w:noWrap w:val="0"/>
            <w:vAlign w:val="center"/>
          </w:tcPr>
          <w:p w14:paraId="71219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16" w:type="dxa"/>
            <w:noWrap w:val="0"/>
            <w:vAlign w:val="center"/>
          </w:tcPr>
          <w:p w14:paraId="7E1C4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97</w:t>
            </w:r>
          </w:p>
        </w:tc>
        <w:tc>
          <w:tcPr>
            <w:tcW w:w="1119" w:type="dxa"/>
            <w:noWrap w:val="0"/>
            <w:vAlign w:val="center"/>
          </w:tcPr>
          <w:p w14:paraId="20978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1310DF07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龙樟灵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2026年6月12日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z w:val="22"/>
          <w:lang w:val="en-US" w:eastAsia="zh-CN"/>
        </w:rPr>
        <w:t>0745-2184350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</w:p>
    <w:p w14:paraId="7FF7D1B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394163E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9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10A24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71494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0E8C9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05FEC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2025年校保安经费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5DFE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noWrap w:val="0"/>
            <w:vAlign w:val="center"/>
          </w:tcPr>
          <w:p w14:paraId="71DF2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46C42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怀化市教育局</w:t>
            </w:r>
          </w:p>
        </w:tc>
        <w:tc>
          <w:tcPr>
            <w:tcW w:w="1134" w:type="dxa"/>
            <w:noWrap w:val="0"/>
            <w:vAlign w:val="center"/>
          </w:tcPr>
          <w:p w14:paraId="4E0AD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6D0A2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怀化市武陵中学</w:t>
            </w:r>
          </w:p>
        </w:tc>
      </w:tr>
      <w:tr w14:paraId="36F8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01F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315DD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3DEA5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1F876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28331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34043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7803C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70851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56A8B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3B533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407FA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08E4B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90E6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35916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48BDF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28.98</w:t>
            </w:r>
          </w:p>
        </w:tc>
        <w:tc>
          <w:tcPr>
            <w:tcW w:w="1209" w:type="dxa"/>
            <w:noWrap w:val="0"/>
            <w:vAlign w:val="center"/>
          </w:tcPr>
          <w:p w14:paraId="3FBD9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28.97</w:t>
            </w:r>
          </w:p>
        </w:tc>
        <w:tc>
          <w:tcPr>
            <w:tcW w:w="1134" w:type="dxa"/>
            <w:noWrap w:val="0"/>
            <w:vAlign w:val="center"/>
          </w:tcPr>
          <w:p w14:paraId="33088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28.97</w:t>
            </w:r>
          </w:p>
        </w:tc>
        <w:tc>
          <w:tcPr>
            <w:tcW w:w="828" w:type="dxa"/>
            <w:noWrap w:val="0"/>
            <w:vAlign w:val="center"/>
          </w:tcPr>
          <w:p w14:paraId="143FC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1B57F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00043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40897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5A7C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59F39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noWrap w:val="0"/>
            <w:vAlign w:val="center"/>
          </w:tcPr>
          <w:p w14:paraId="733C8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28.98</w:t>
            </w:r>
          </w:p>
        </w:tc>
        <w:tc>
          <w:tcPr>
            <w:tcW w:w="1209" w:type="dxa"/>
            <w:noWrap w:val="0"/>
            <w:vAlign w:val="center"/>
          </w:tcPr>
          <w:p w14:paraId="3FDF8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28.97</w:t>
            </w:r>
          </w:p>
        </w:tc>
        <w:tc>
          <w:tcPr>
            <w:tcW w:w="1134" w:type="dxa"/>
            <w:noWrap w:val="0"/>
            <w:vAlign w:val="center"/>
          </w:tcPr>
          <w:p w14:paraId="0DFB8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28.97</w:t>
            </w:r>
          </w:p>
        </w:tc>
        <w:tc>
          <w:tcPr>
            <w:tcW w:w="828" w:type="dxa"/>
            <w:noWrap w:val="0"/>
            <w:vAlign w:val="center"/>
          </w:tcPr>
          <w:p w14:paraId="1FC36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1751F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1E591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51F68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CBAA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53C8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10522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539FA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0B0A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1397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55AE9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27754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E30E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50A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48055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13457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4E737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96D4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7E7E0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1BD7C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64C0F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CDF9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341A7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7A2D8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2BDC5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7D0B8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CAB8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104BC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0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确保校园综治安全，保障师生安全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6E88D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确保校园综治安全，保障师生安全</w:t>
            </w:r>
          </w:p>
        </w:tc>
      </w:tr>
      <w:tr w14:paraId="756F7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3BF25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3D688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5D8FE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57C70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259FE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618AE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0C0D8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3C471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4CF1D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52AC4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0A374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5E391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55852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73222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4FB88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1C1E8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2AD4D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E4B0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07BF3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502A2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noWrap w:val="0"/>
            <w:vAlign w:val="center"/>
          </w:tcPr>
          <w:p w14:paraId="3FF80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2025年校保安经费</w:t>
            </w:r>
          </w:p>
        </w:tc>
        <w:tc>
          <w:tcPr>
            <w:tcW w:w="1209" w:type="dxa"/>
            <w:noWrap w:val="0"/>
            <w:vAlign w:val="center"/>
          </w:tcPr>
          <w:p w14:paraId="5D879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28.98万元</w:t>
            </w:r>
          </w:p>
        </w:tc>
        <w:tc>
          <w:tcPr>
            <w:tcW w:w="1134" w:type="dxa"/>
            <w:noWrap w:val="0"/>
            <w:vAlign w:val="center"/>
          </w:tcPr>
          <w:p w14:paraId="25859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28.97万元</w:t>
            </w:r>
          </w:p>
        </w:tc>
        <w:tc>
          <w:tcPr>
            <w:tcW w:w="828" w:type="dxa"/>
            <w:noWrap w:val="0"/>
            <w:vAlign w:val="center"/>
          </w:tcPr>
          <w:p w14:paraId="0A606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1A2FC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4309B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5558D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9C89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DF33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5583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502BE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社会成本节约率</w:t>
            </w:r>
          </w:p>
        </w:tc>
        <w:tc>
          <w:tcPr>
            <w:tcW w:w="1209" w:type="dxa"/>
            <w:noWrap w:val="0"/>
            <w:vAlign w:val="center"/>
          </w:tcPr>
          <w:p w14:paraId="6EDF7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1134" w:type="dxa"/>
            <w:noWrap w:val="0"/>
            <w:vAlign w:val="center"/>
          </w:tcPr>
          <w:p w14:paraId="62F2A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828" w:type="dxa"/>
            <w:noWrap w:val="0"/>
            <w:vAlign w:val="center"/>
          </w:tcPr>
          <w:p w14:paraId="590D7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3A4EF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47502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7515D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1928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6EB4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A5AE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08C09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生态环境成本节约率</w:t>
            </w:r>
          </w:p>
        </w:tc>
        <w:tc>
          <w:tcPr>
            <w:tcW w:w="1209" w:type="dxa"/>
            <w:noWrap w:val="0"/>
            <w:vAlign w:val="center"/>
          </w:tcPr>
          <w:p w14:paraId="3FDFF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1134" w:type="dxa"/>
            <w:noWrap w:val="0"/>
            <w:vAlign w:val="center"/>
          </w:tcPr>
          <w:p w14:paraId="3B3CF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828" w:type="dxa"/>
            <w:noWrap w:val="0"/>
            <w:vAlign w:val="center"/>
          </w:tcPr>
          <w:p w14:paraId="41C64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0DE18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0683E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70E34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CC6E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4DBB5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3A956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7EF5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noWrap w:val="0"/>
            <w:vAlign w:val="center"/>
          </w:tcPr>
          <w:p w14:paraId="2DC0B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配备保安人数</w:t>
            </w:r>
          </w:p>
        </w:tc>
        <w:tc>
          <w:tcPr>
            <w:tcW w:w="1209" w:type="dxa"/>
            <w:noWrap w:val="0"/>
            <w:vAlign w:val="center"/>
          </w:tcPr>
          <w:p w14:paraId="5A55B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8人</w:t>
            </w:r>
          </w:p>
        </w:tc>
        <w:tc>
          <w:tcPr>
            <w:tcW w:w="1134" w:type="dxa"/>
            <w:noWrap w:val="0"/>
            <w:vAlign w:val="center"/>
          </w:tcPr>
          <w:p w14:paraId="47F9D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8人</w:t>
            </w:r>
          </w:p>
        </w:tc>
        <w:tc>
          <w:tcPr>
            <w:tcW w:w="828" w:type="dxa"/>
            <w:noWrap w:val="0"/>
            <w:vAlign w:val="center"/>
          </w:tcPr>
          <w:p w14:paraId="56EE8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63EB2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4D491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3A74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ED59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F2A3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55C72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noWrap w:val="0"/>
            <w:vAlign w:val="center"/>
          </w:tcPr>
          <w:p w14:paraId="109070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安全事故发生率</w:t>
            </w:r>
          </w:p>
        </w:tc>
        <w:tc>
          <w:tcPr>
            <w:tcW w:w="1209" w:type="dxa"/>
            <w:noWrap w:val="0"/>
            <w:vAlign w:val="center"/>
          </w:tcPr>
          <w:p w14:paraId="194F1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1134" w:type="dxa"/>
            <w:noWrap w:val="0"/>
            <w:vAlign w:val="center"/>
          </w:tcPr>
          <w:p w14:paraId="2FCBD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828" w:type="dxa"/>
            <w:noWrap w:val="0"/>
            <w:vAlign w:val="center"/>
          </w:tcPr>
          <w:p w14:paraId="113D0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59AEF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2FACC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ACC3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04F7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CC79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3B34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4F914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经费使用合规率</w:t>
            </w:r>
          </w:p>
        </w:tc>
        <w:tc>
          <w:tcPr>
            <w:tcW w:w="1209" w:type="dxa"/>
            <w:noWrap w:val="0"/>
            <w:vAlign w:val="center"/>
          </w:tcPr>
          <w:p w14:paraId="1D214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1B0AB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77066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2D853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7536C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C31D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827E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8BC6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B904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2FF5F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项目完成时间</w:t>
            </w:r>
          </w:p>
        </w:tc>
        <w:tc>
          <w:tcPr>
            <w:tcW w:w="1209" w:type="dxa"/>
            <w:noWrap w:val="0"/>
            <w:vAlign w:val="center"/>
          </w:tcPr>
          <w:p w14:paraId="0E9E7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34" w:type="dxa"/>
            <w:noWrap w:val="0"/>
            <w:vAlign w:val="center"/>
          </w:tcPr>
          <w:p w14:paraId="4DF7B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</w:t>
            </w:r>
          </w:p>
        </w:tc>
        <w:tc>
          <w:tcPr>
            <w:tcW w:w="828" w:type="dxa"/>
            <w:noWrap w:val="0"/>
            <w:vAlign w:val="center"/>
          </w:tcPr>
          <w:p w14:paraId="43F6B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5B4F9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07E9F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C89D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E7E8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32FCD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5FE92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14AFF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经济效益指标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5ADEA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通过专业化保安服务外包，降低学校自主招聘、培训保安人员的隐性成本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093F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4347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70A09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247EE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7B6FB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FEF6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5D97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A01F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505F0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106CC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构建“人防+技防+物防”一体化安防体系，营造安全、有序的校园环境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7D47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85FF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602D0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6060E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33FCB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BBD9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853E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0B40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7C8D9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60034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在安保工作中融入环保巡查职责，协同构建绿色校园环境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9065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CC6A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6D428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7141D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39466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2757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93C2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8D30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71DB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79335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通过保安服务标准化建设，完善校园出入登记、巡查记录、应急演练等制度</w:t>
            </w:r>
          </w:p>
        </w:tc>
        <w:tc>
          <w:tcPr>
            <w:tcW w:w="1209" w:type="dxa"/>
            <w:noWrap w:val="0"/>
            <w:vAlign w:val="center"/>
          </w:tcPr>
          <w:p w14:paraId="064D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66CD1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1C5C1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12431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B1F6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FAA3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ADC2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2340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26D7C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4F27D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D9C2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noWrap w:val="0"/>
            <w:vAlign w:val="center"/>
          </w:tcPr>
          <w:p w14:paraId="7CE7E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保安人员满意度</w:t>
            </w:r>
          </w:p>
        </w:tc>
        <w:tc>
          <w:tcPr>
            <w:tcW w:w="1209" w:type="dxa"/>
            <w:noWrap w:val="0"/>
            <w:vAlign w:val="center"/>
          </w:tcPr>
          <w:p w14:paraId="458E7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134" w:type="dxa"/>
            <w:noWrap w:val="0"/>
            <w:vAlign w:val="center"/>
          </w:tcPr>
          <w:p w14:paraId="4405D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noWrap w:val="0"/>
            <w:vAlign w:val="center"/>
          </w:tcPr>
          <w:p w14:paraId="6F9D3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3C449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ECCF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2D64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5E05A6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35D95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6A45B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51C7A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48510AAC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龙樟灵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2026年6月12日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z w:val="22"/>
          <w:lang w:val="en-US" w:eastAsia="zh-CN"/>
        </w:rPr>
        <w:t>0745-2184350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</w:p>
    <w:p w14:paraId="3FC6EDC6">
      <w:pP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page"/>
      </w:r>
    </w:p>
    <w:p w14:paraId="2EB11A54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9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4DE11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20AB4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57C1B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65BDB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2025年校方责任险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1323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47BA9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09852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怀化市教育局</w:t>
            </w:r>
          </w:p>
        </w:tc>
        <w:tc>
          <w:tcPr>
            <w:tcW w:w="1134" w:type="dxa"/>
            <w:noWrap w:val="0"/>
            <w:vAlign w:val="center"/>
          </w:tcPr>
          <w:p w14:paraId="4A46A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38335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怀化市武陵中学</w:t>
            </w:r>
          </w:p>
        </w:tc>
      </w:tr>
      <w:tr w14:paraId="49E1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2B0E3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4A151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7A979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6D2B3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76C95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77D8D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17CF9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04689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51BAF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701D8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5000E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7842A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67EF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3F5FC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14708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5.32</w:t>
            </w:r>
          </w:p>
        </w:tc>
        <w:tc>
          <w:tcPr>
            <w:tcW w:w="1209" w:type="dxa"/>
            <w:noWrap w:val="0"/>
            <w:vAlign w:val="center"/>
          </w:tcPr>
          <w:p w14:paraId="32917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 w14:paraId="5F410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28" w:type="dxa"/>
            <w:noWrap w:val="0"/>
            <w:vAlign w:val="center"/>
          </w:tcPr>
          <w:p w14:paraId="7E5A1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7DF34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0000C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7D7F8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1E6B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CF83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noWrap w:val="0"/>
            <w:vAlign w:val="center"/>
          </w:tcPr>
          <w:p w14:paraId="2D9FD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5.32</w:t>
            </w:r>
          </w:p>
        </w:tc>
        <w:tc>
          <w:tcPr>
            <w:tcW w:w="1209" w:type="dxa"/>
            <w:noWrap w:val="0"/>
            <w:vAlign w:val="center"/>
          </w:tcPr>
          <w:p w14:paraId="696A0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 w14:paraId="57C76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28" w:type="dxa"/>
            <w:noWrap w:val="0"/>
            <w:vAlign w:val="center"/>
          </w:tcPr>
          <w:p w14:paraId="117E6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7829A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41A57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4E00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006B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562B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407B4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13CBE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47D59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52E7E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4CC5B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73615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1231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0C5F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13237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0BE6C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2948D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17068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2A395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077B5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50878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3309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60D75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17178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02EBA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37E72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E443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61EDB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0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校方责任险，由学校作为投保人和被保险人，因校方过失导致学生伤亡事件及财产损失，由保险公司赔偿的一种责任险。校方责任险的被保险人可以是任何取得合法资格的教育机构，包括中小学、幼儿园及高等院校。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5CA3A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校方责任险，由学校作为投保人和被保险人，因校方过失导致学生伤亡事件及财产损失，由保险公司赔偿的一种责任险。校方责任险的被保险人可以是任何取得合法资格的教育机构，包括中小学、幼儿园及高等院校。</w:t>
            </w:r>
          </w:p>
        </w:tc>
      </w:tr>
      <w:tr w14:paraId="17802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320C1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45F7C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19778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6F4C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399A2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59EE2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7D5C6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2647D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21AE2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743F7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1A998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305C5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6B472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60E91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2169B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29A76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4E38F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D2BF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3C4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48780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noWrap w:val="0"/>
            <w:vAlign w:val="center"/>
          </w:tcPr>
          <w:p w14:paraId="4767B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2025年校方责任险</w:t>
            </w:r>
          </w:p>
        </w:tc>
        <w:tc>
          <w:tcPr>
            <w:tcW w:w="1209" w:type="dxa"/>
            <w:noWrap w:val="0"/>
            <w:vAlign w:val="center"/>
          </w:tcPr>
          <w:p w14:paraId="181C4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5.32万元</w:t>
            </w:r>
          </w:p>
        </w:tc>
        <w:tc>
          <w:tcPr>
            <w:tcW w:w="1134" w:type="dxa"/>
            <w:noWrap w:val="0"/>
            <w:vAlign w:val="center"/>
          </w:tcPr>
          <w:p w14:paraId="6D4A8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3万元</w:t>
            </w:r>
          </w:p>
        </w:tc>
        <w:tc>
          <w:tcPr>
            <w:tcW w:w="828" w:type="dxa"/>
            <w:noWrap w:val="0"/>
            <w:vAlign w:val="center"/>
          </w:tcPr>
          <w:p w14:paraId="06ED8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7D112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4DAEF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B008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2165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74BE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7CF5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7C02E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社会成本节约率</w:t>
            </w:r>
          </w:p>
        </w:tc>
        <w:tc>
          <w:tcPr>
            <w:tcW w:w="1209" w:type="dxa"/>
            <w:noWrap w:val="0"/>
            <w:vAlign w:val="center"/>
          </w:tcPr>
          <w:p w14:paraId="33FFD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1134" w:type="dxa"/>
            <w:noWrap w:val="0"/>
            <w:vAlign w:val="center"/>
          </w:tcPr>
          <w:p w14:paraId="0417A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828" w:type="dxa"/>
            <w:noWrap w:val="0"/>
            <w:vAlign w:val="center"/>
          </w:tcPr>
          <w:p w14:paraId="208FD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2CBC2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42333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B1AC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74E9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BE69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E502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09800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生态环境成本节约率</w:t>
            </w:r>
          </w:p>
        </w:tc>
        <w:tc>
          <w:tcPr>
            <w:tcW w:w="1209" w:type="dxa"/>
            <w:noWrap w:val="0"/>
            <w:vAlign w:val="center"/>
          </w:tcPr>
          <w:p w14:paraId="1D855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1134" w:type="dxa"/>
            <w:noWrap w:val="0"/>
            <w:vAlign w:val="center"/>
          </w:tcPr>
          <w:p w14:paraId="367FE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828" w:type="dxa"/>
            <w:noWrap w:val="0"/>
            <w:vAlign w:val="center"/>
          </w:tcPr>
          <w:p w14:paraId="2362E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7309E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586FF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094B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D399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3D8F5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6ADF1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56D0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noWrap w:val="0"/>
            <w:vAlign w:val="center"/>
          </w:tcPr>
          <w:p w14:paraId="4C2E1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投保学生人数</w:t>
            </w:r>
          </w:p>
        </w:tc>
        <w:tc>
          <w:tcPr>
            <w:tcW w:w="1209" w:type="dxa"/>
            <w:noWrap w:val="0"/>
            <w:vAlign w:val="center"/>
          </w:tcPr>
          <w:p w14:paraId="4AA36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3545人</w:t>
            </w:r>
          </w:p>
        </w:tc>
        <w:tc>
          <w:tcPr>
            <w:tcW w:w="1134" w:type="dxa"/>
            <w:noWrap w:val="0"/>
            <w:vAlign w:val="center"/>
          </w:tcPr>
          <w:p w14:paraId="46E91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3545人</w:t>
            </w:r>
          </w:p>
        </w:tc>
        <w:tc>
          <w:tcPr>
            <w:tcW w:w="828" w:type="dxa"/>
            <w:noWrap w:val="0"/>
            <w:vAlign w:val="center"/>
          </w:tcPr>
          <w:p w14:paraId="3D005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2FC16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31FBD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4BD8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2C28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08C8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24C06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noWrap w:val="0"/>
            <w:vAlign w:val="center"/>
          </w:tcPr>
          <w:p w14:paraId="628CD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校园安全事故保险赔付率</w:t>
            </w:r>
          </w:p>
        </w:tc>
        <w:tc>
          <w:tcPr>
            <w:tcW w:w="1209" w:type="dxa"/>
            <w:noWrap w:val="0"/>
            <w:vAlign w:val="center"/>
          </w:tcPr>
          <w:p w14:paraId="13491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134" w:type="dxa"/>
            <w:noWrap w:val="0"/>
            <w:vAlign w:val="center"/>
          </w:tcPr>
          <w:p w14:paraId="60FDE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noWrap w:val="0"/>
            <w:vAlign w:val="center"/>
          </w:tcPr>
          <w:p w14:paraId="7CD8D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40BF4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0345E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434A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EAF8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FC92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C56B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19616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经费使用合规率</w:t>
            </w:r>
          </w:p>
        </w:tc>
        <w:tc>
          <w:tcPr>
            <w:tcW w:w="1209" w:type="dxa"/>
            <w:noWrap w:val="0"/>
            <w:vAlign w:val="center"/>
          </w:tcPr>
          <w:p w14:paraId="1C4D9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564B3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261D3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668F5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21AF9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A760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BE05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608B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EC8D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6CDA8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项目完成时间</w:t>
            </w:r>
          </w:p>
        </w:tc>
        <w:tc>
          <w:tcPr>
            <w:tcW w:w="1209" w:type="dxa"/>
            <w:noWrap w:val="0"/>
            <w:vAlign w:val="center"/>
          </w:tcPr>
          <w:p w14:paraId="3ABE0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2025年12月31日前</w:t>
            </w:r>
          </w:p>
        </w:tc>
        <w:tc>
          <w:tcPr>
            <w:tcW w:w="1134" w:type="dxa"/>
            <w:noWrap w:val="0"/>
            <w:vAlign w:val="center"/>
          </w:tcPr>
          <w:p w14:paraId="33880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2025年12月31日</w:t>
            </w:r>
          </w:p>
        </w:tc>
        <w:tc>
          <w:tcPr>
            <w:tcW w:w="828" w:type="dxa"/>
            <w:noWrap w:val="0"/>
            <w:vAlign w:val="center"/>
          </w:tcPr>
          <w:p w14:paraId="03425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79721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2C262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C45F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DED6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00314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57C59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09221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经济效益指标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7409B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减轻学校因突发事件导致的财务压力，优化教育经费分配结构‌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C26F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6208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7F2CF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3A7F4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7D8F0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489E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C14C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92F0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4ACB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44A1C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确保学生在校期间意外伤害得到及时救治和经济补偿，维护社会和谐稳定‌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D3A2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44A6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0B01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42D2A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41545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6412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1C7B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9481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151EB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27E2B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生态效益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5F45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EC0F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77D0B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3A7CC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35D26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12358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C7E7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8D2B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1BF7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51760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推动学校建立常态化风险排查、安全教育及应急响应机制，形成长期稳定的校园安全保障模式‌</w:t>
            </w:r>
          </w:p>
        </w:tc>
        <w:tc>
          <w:tcPr>
            <w:tcW w:w="1209" w:type="dxa"/>
            <w:noWrap w:val="0"/>
            <w:vAlign w:val="center"/>
          </w:tcPr>
          <w:p w14:paraId="728D0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0D6D1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69B6A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273B1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DD76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DB0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5A6D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FE24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39088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22667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9DCE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noWrap w:val="0"/>
            <w:vAlign w:val="center"/>
          </w:tcPr>
          <w:p w14:paraId="3D998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学生和学校满意</w:t>
            </w:r>
          </w:p>
        </w:tc>
        <w:tc>
          <w:tcPr>
            <w:tcW w:w="1209" w:type="dxa"/>
            <w:noWrap w:val="0"/>
            <w:vAlign w:val="center"/>
          </w:tcPr>
          <w:p w14:paraId="67A10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134" w:type="dxa"/>
            <w:noWrap w:val="0"/>
            <w:vAlign w:val="center"/>
          </w:tcPr>
          <w:p w14:paraId="64755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noWrap w:val="0"/>
            <w:vAlign w:val="center"/>
          </w:tcPr>
          <w:p w14:paraId="318B7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2526A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221FE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258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534D6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63E1D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4586F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35A85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03C47656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龙樟灵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2026年6月12日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z w:val="22"/>
          <w:lang w:val="en-US" w:eastAsia="zh-CN"/>
        </w:rPr>
        <w:t>0745-2184350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</w:p>
    <w:p w14:paraId="17C86C6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525532B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9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19316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6CE88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30A8E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45C36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2025年课后服务教师补贴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BDF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22704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58766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怀化市教育局</w:t>
            </w:r>
          </w:p>
        </w:tc>
        <w:tc>
          <w:tcPr>
            <w:tcW w:w="1134" w:type="dxa"/>
            <w:noWrap w:val="0"/>
            <w:vAlign w:val="center"/>
          </w:tcPr>
          <w:p w14:paraId="0AEDA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22B9A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怀化市武陵中学</w:t>
            </w:r>
          </w:p>
        </w:tc>
      </w:tr>
      <w:tr w14:paraId="530DC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1B335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16A99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48D37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43F06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4FFAE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64D43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7E081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63FE0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0A0BA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2FD7F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785C4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4B74C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D7A2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05C4B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4949F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520</w:t>
            </w:r>
          </w:p>
        </w:tc>
        <w:tc>
          <w:tcPr>
            <w:tcW w:w="1209" w:type="dxa"/>
            <w:noWrap w:val="0"/>
            <w:vAlign w:val="center"/>
          </w:tcPr>
          <w:p w14:paraId="6ADB4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320</w:t>
            </w:r>
          </w:p>
        </w:tc>
        <w:tc>
          <w:tcPr>
            <w:tcW w:w="1134" w:type="dxa"/>
            <w:noWrap w:val="0"/>
            <w:vAlign w:val="center"/>
          </w:tcPr>
          <w:p w14:paraId="1AFE6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320</w:t>
            </w:r>
          </w:p>
        </w:tc>
        <w:tc>
          <w:tcPr>
            <w:tcW w:w="828" w:type="dxa"/>
            <w:noWrap w:val="0"/>
            <w:vAlign w:val="center"/>
          </w:tcPr>
          <w:p w14:paraId="2AD5E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659C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71775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70DE1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2BFF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0FAFA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noWrap w:val="0"/>
            <w:vAlign w:val="center"/>
          </w:tcPr>
          <w:p w14:paraId="33FB9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520</w:t>
            </w:r>
          </w:p>
        </w:tc>
        <w:tc>
          <w:tcPr>
            <w:tcW w:w="1209" w:type="dxa"/>
            <w:noWrap w:val="0"/>
            <w:vAlign w:val="center"/>
          </w:tcPr>
          <w:p w14:paraId="6FD8F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320</w:t>
            </w:r>
          </w:p>
        </w:tc>
        <w:tc>
          <w:tcPr>
            <w:tcW w:w="1134" w:type="dxa"/>
            <w:noWrap w:val="0"/>
            <w:vAlign w:val="center"/>
          </w:tcPr>
          <w:p w14:paraId="06CA8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320</w:t>
            </w:r>
          </w:p>
        </w:tc>
        <w:tc>
          <w:tcPr>
            <w:tcW w:w="828" w:type="dxa"/>
            <w:noWrap w:val="0"/>
            <w:vAlign w:val="center"/>
          </w:tcPr>
          <w:p w14:paraId="1504F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063C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4AE2A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32751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7444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A9B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4BDEE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4754B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229D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44979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57AB5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41634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757F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7B03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1513F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7FC96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433B1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630D7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73F5B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44BD6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15590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B34B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58025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3404F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22998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20956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E90A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583F4C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为切实做好我校课后服务工作，帮助家长解决无法按时接送孩子的难题，促进学生健康、平安、快乐成长，结合本校实情开展课后服务。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18C639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为切实做好我校课后服务工作，帮助家长解决无法按时接送孩子的难题，促进学生健康、平安、快乐成长，结合本校实情开展课后服务。</w:t>
            </w:r>
          </w:p>
        </w:tc>
      </w:tr>
      <w:tr w14:paraId="3D50F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44749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06308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4A2C5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5C5CA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1D4E6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592BE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4394C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71072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1AD64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4A131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56B73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0D727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6F425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2DDCD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438D6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5A76E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00897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C7A2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2E7B2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475A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经济成本指标</w:t>
            </w:r>
          </w:p>
        </w:tc>
        <w:tc>
          <w:tcPr>
            <w:tcW w:w="1149" w:type="dxa"/>
            <w:noWrap w:val="0"/>
            <w:vAlign w:val="center"/>
          </w:tcPr>
          <w:p w14:paraId="0DD4E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2025年课后服务教师补贴</w:t>
            </w:r>
          </w:p>
        </w:tc>
        <w:tc>
          <w:tcPr>
            <w:tcW w:w="1209" w:type="dxa"/>
            <w:noWrap w:val="0"/>
            <w:vAlign w:val="center"/>
          </w:tcPr>
          <w:p w14:paraId="23431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520万元</w:t>
            </w:r>
          </w:p>
        </w:tc>
        <w:tc>
          <w:tcPr>
            <w:tcW w:w="1134" w:type="dxa"/>
            <w:noWrap w:val="0"/>
            <w:vAlign w:val="center"/>
          </w:tcPr>
          <w:p w14:paraId="201E7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320万元</w:t>
            </w:r>
          </w:p>
        </w:tc>
        <w:tc>
          <w:tcPr>
            <w:tcW w:w="828" w:type="dxa"/>
            <w:noWrap w:val="0"/>
            <w:vAlign w:val="center"/>
          </w:tcPr>
          <w:p w14:paraId="394F7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007A2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255FB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B11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57E3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A81C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FBE4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41DA5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社会成本节约率</w:t>
            </w:r>
          </w:p>
        </w:tc>
        <w:tc>
          <w:tcPr>
            <w:tcW w:w="1209" w:type="dxa"/>
            <w:noWrap w:val="0"/>
            <w:vAlign w:val="center"/>
          </w:tcPr>
          <w:p w14:paraId="6C73B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1134" w:type="dxa"/>
            <w:noWrap w:val="0"/>
            <w:vAlign w:val="center"/>
          </w:tcPr>
          <w:p w14:paraId="0FA98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828" w:type="dxa"/>
            <w:noWrap w:val="0"/>
            <w:vAlign w:val="center"/>
          </w:tcPr>
          <w:p w14:paraId="19DB0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25636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24051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3E00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1158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C901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7B8F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44003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生态环境成本节约率</w:t>
            </w:r>
          </w:p>
        </w:tc>
        <w:tc>
          <w:tcPr>
            <w:tcW w:w="1209" w:type="dxa"/>
            <w:noWrap w:val="0"/>
            <w:vAlign w:val="center"/>
          </w:tcPr>
          <w:p w14:paraId="24B2A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1134" w:type="dxa"/>
            <w:noWrap w:val="0"/>
            <w:vAlign w:val="center"/>
          </w:tcPr>
          <w:p w14:paraId="46CC2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828" w:type="dxa"/>
            <w:noWrap w:val="0"/>
            <w:vAlign w:val="center"/>
          </w:tcPr>
          <w:p w14:paraId="403C2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6FE71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384A7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E821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4CDF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953F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5F37E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662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noWrap w:val="0"/>
            <w:vAlign w:val="center"/>
          </w:tcPr>
          <w:p w14:paraId="1280E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课后服务老师人数</w:t>
            </w:r>
          </w:p>
        </w:tc>
        <w:tc>
          <w:tcPr>
            <w:tcW w:w="1209" w:type="dxa"/>
            <w:noWrap w:val="0"/>
            <w:vAlign w:val="center"/>
          </w:tcPr>
          <w:p w14:paraId="4F316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180人次</w:t>
            </w:r>
          </w:p>
        </w:tc>
        <w:tc>
          <w:tcPr>
            <w:tcW w:w="1134" w:type="dxa"/>
            <w:noWrap w:val="0"/>
            <w:vAlign w:val="center"/>
          </w:tcPr>
          <w:p w14:paraId="22651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6600人次</w:t>
            </w:r>
          </w:p>
        </w:tc>
        <w:tc>
          <w:tcPr>
            <w:tcW w:w="828" w:type="dxa"/>
            <w:noWrap w:val="0"/>
            <w:vAlign w:val="center"/>
          </w:tcPr>
          <w:p w14:paraId="4F332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26C1D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6E724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1FD3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513F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916B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25C9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noWrap w:val="0"/>
            <w:vAlign w:val="center"/>
          </w:tcPr>
          <w:p w14:paraId="787CA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授课完成率</w:t>
            </w:r>
          </w:p>
        </w:tc>
        <w:tc>
          <w:tcPr>
            <w:tcW w:w="1209" w:type="dxa"/>
            <w:noWrap w:val="0"/>
            <w:vAlign w:val="center"/>
          </w:tcPr>
          <w:p w14:paraId="1DCB3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55F5A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77658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262D3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0235C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B7E8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91AF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79D9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979B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3B54D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经费使用合规率</w:t>
            </w:r>
          </w:p>
        </w:tc>
        <w:tc>
          <w:tcPr>
            <w:tcW w:w="1209" w:type="dxa"/>
            <w:noWrap w:val="0"/>
            <w:vAlign w:val="center"/>
          </w:tcPr>
          <w:p w14:paraId="66F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1A60B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6A414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379CD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55572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B10C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4EF6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6601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4750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7E357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项目完成时间</w:t>
            </w:r>
          </w:p>
        </w:tc>
        <w:tc>
          <w:tcPr>
            <w:tcW w:w="1209" w:type="dxa"/>
            <w:noWrap w:val="0"/>
            <w:vAlign w:val="center"/>
          </w:tcPr>
          <w:p w14:paraId="07244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34" w:type="dxa"/>
            <w:noWrap w:val="0"/>
            <w:vAlign w:val="center"/>
          </w:tcPr>
          <w:p w14:paraId="1CB13E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</w:t>
            </w:r>
          </w:p>
        </w:tc>
        <w:tc>
          <w:tcPr>
            <w:tcW w:w="828" w:type="dxa"/>
            <w:noWrap w:val="0"/>
            <w:vAlign w:val="center"/>
          </w:tcPr>
          <w:p w14:paraId="35DF3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36C87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5ED65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D926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A74A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2F077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436FF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1240C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经济效益指标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352F3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减少因消极履职导致的服务质量波动风险，提升课后服务资源投入产出比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9CEE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67C0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763AD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26960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6AA09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EB72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5667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EEB6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12B99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6287B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提升课后活动专业化水平，形成优质教育资源辐射效应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3680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BBF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5A481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7D079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A81B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5FF2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E23D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4F08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58E87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89D1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培养学生绿色生活理念，形成校园可持续发展文化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11FA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D107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75BC3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33D16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4D3DF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704DD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5A9E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5539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9251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272F7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吸引青年教师参与服务，积累实践经验反哺课堂教学能力，促进教师职业生涯全周期成长</w:t>
            </w:r>
          </w:p>
        </w:tc>
        <w:tc>
          <w:tcPr>
            <w:tcW w:w="1209" w:type="dxa"/>
            <w:noWrap w:val="0"/>
            <w:vAlign w:val="center"/>
          </w:tcPr>
          <w:p w14:paraId="457AC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32DAD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7B770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78BAE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34E4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519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8F10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6E80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60BFF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4F23B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8AA3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noWrap w:val="0"/>
            <w:vAlign w:val="center"/>
          </w:tcPr>
          <w:p w14:paraId="48988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家长满意度</w:t>
            </w:r>
          </w:p>
        </w:tc>
        <w:tc>
          <w:tcPr>
            <w:tcW w:w="1209" w:type="dxa"/>
            <w:noWrap w:val="0"/>
            <w:vAlign w:val="center"/>
          </w:tcPr>
          <w:p w14:paraId="1B4CE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134" w:type="dxa"/>
            <w:noWrap w:val="0"/>
            <w:vAlign w:val="center"/>
          </w:tcPr>
          <w:p w14:paraId="79CF0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noWrap w:val="0"/>
            <w:vAlign w:val="center"/>
          </w:tcPr>
          <w:p w14:paraId="2465D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6E9F1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7220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F147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46766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5227A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7AB09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76227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19060BCF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龙樟灵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2026年6月12日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z w:val="22"/>
          <w:lang w:val="en-US" w:eastAsia="zh-CN"/>
        </w:rPr>
        <w:t>0745-2184350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</w:p>
    <w:p w14:paraId="1E6B3788">
      <w:pP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br w:type="page"/>
      </w:r>
    </w:p>
    <w:p w14:paraId="0A9238D5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9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312BC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4FB36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55200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27C3A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2025年课后服务设备维护成本及管理人员津贴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C263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0B087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1BB66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怀化市教育局</w:t>
            </w:r>
          </w:p>
        </w:tc>
        <w:tc>
          <w:tcPr>
            <w:tcW w:w="1134" w:type="dxa"/>
            <w:noWrap w:val="0"/>
            <w:vAlign w:val="center"/>
          </w:tcPr>
          <w:p w14:paraId="1D01B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0FCAE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怀化市武陵中学</w:t>
            </w:r>
          </w:p>
        </w:tc>
      </w:tr>
      <w:tr w14:paraId="629E6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00C42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46D5D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58E7D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4F201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0305A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1612E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58CB6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66E02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2B47D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1248D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5DD52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21A3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4603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6767C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6BD2C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209" w:type="dxa"/>
            <w:noWrap w:val="0"/>
            <w:vAlign w:val="center"/>
          </w:tcPr>
          <w:p w14:paraId="4AD63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49.29</w:t>
            </w:r>
          </w:p>
        </w:tc>
        <w:tc>
          <w:tcPr>
            <w:tcW w:w="1134" w:type="dxa"/>
            <w:noWrap w:val="0"/>
            <w:vAlign w:val="center"/>
          </w:tcPr>
          <w:p w14:paraId="30ADB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49.29</w:t>
            </w:r>
          </w:p>
        </w:tc>
        <w:tc>
          <w:tcPr>
            <w:tcW w:w="828" w:type="dxa"/>
            <w:noWrap w:val="0"/>
            <w:vAlign w:val="center"/>
          </w:tcPr>
          <w:p w14:paraId="7FA65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21E75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3AC35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41678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5D40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78A78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noWrap w:val="0"/>
            <w:vAlign w:val="center"/>
          </w:tcPr>
          <w:p w14:paraId="4DB60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209" w:type="dxa"/>
            <w:noWrap w:val="0"/>
            <w:vAlign w:val="center"/>
          </w:tcPr>
          <w:p w14:paraId="78328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49.29</w:t>
            </w:r>
          </w:p>
        </w:tc>
        <w:tc>
          <w:tcPr>
            <w:tcW w:w="1134" w:type="dxa"/>
            <w:noWrap w:val="0"/>
            <w:vAlign w:val="center"/>
          </w:tcPr>
          <w:p w14:paraId="10802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49.29</w:t>
            </w:r>
          </w:p>
        </w:tc>
        <w:tc>
          <w:tcPr>
            <w:tcW w:w="828" w:type="dxa"/>
            <w:noWrap w:val="0"/>
            <w:vAlign w:val="center"/>
          </w:tcPr>
          <w:p w14:paraId="23FB7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29E19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57576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6DAD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51DC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3B58D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5DB01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05305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1431B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64C3C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0EE35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741DA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37E3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8BA9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98BB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2DD91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267BD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5057A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1BC96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54B78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2793D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BCB9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7C6C6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319FE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1D96F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1DD01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2F00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04C1BD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课后服务管理津贴按时发放；采购补充维修用于课后服务的设施设备。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365BB5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课后服务管理津贴按时发放；采购补充维修用于课后服务的设施设备。</w:t>
            </w:r>
          </w:p>
        </w:tc>
      </w:tr>
      <w:tr w14:paraId="0AD0A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1F8D8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7E5AF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19B6C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41736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5FF49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43947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583D0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3820E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1FC18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712BC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3470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4B26B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01701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1EFEA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2C822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698CA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15A5C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CD0B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41F90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2D08F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经济成本指标</w:t>
            </w:r>
          </w:p>
        </w:tc>
        <w:tc>
          <w:tcPr>
            <w:tcW w:w="1149" w:type="dxa"/>
            <w:noWrap w:val="0"/>
            <w:vAlign w:val="center"/>
          </w:tcPr>
          <w:p w14:paraId="7DABE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2025年课后服务设备维护成本及管理人员津贴</w:t>
            </w:r>
          </w:p>
        </w:tc>
        <w:tc>
          <w:tcPr>
            <w:tcW w:w="1209" w:type="dxa"/>
            <w:noWrap w:val="0"/>
            <w:vAlign w:val="center"/>
          </w:tcPr>
          <w:p w14:paraId="522EF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80万元</w:t>
            </w:r>
          </w:p>
        </w:tc>
        <w:tc>
          <w:tcPr>
            <w:tcW w:w="1134" w:type="dxa"/>
            <w:noWrap w:val="0"/>
            <w:vAlign w:val="center"/>
          </w:tcPr>
          <w:p w14:paraId="0E753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49.29万元</w:t>
            </w:r>
          </w:p>
        </w:tc>
        <w:tc>
          <w:tcPr>
            <w:tcW w:w="828" w:type="dxa"/>
            <w:noWrap w:val="0"/>
            <w:vAlign w:val="center"/>
          </w:tcPr>
          <w:p w14:paraId="45659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70E29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48631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C892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172F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9F05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BCFB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0CBA4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社会成本节约率</w:t>
            </w:r>
          </w:p>
        </w:tc>
        <w:tc>
          <w:tcPr>
            <w:tcW w:w="1209" w:type="dxa"/>
            <w:noWrap w:val="0"/>
            <w:vAlign w:val="center"/>
          </w:tcPr>
          <w:p w14:paraId="7D003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1134" w:type="dxa"/>
            <w:noWrap w:val="0"/>
            <w:vAlign w:val="center"/>
          </w:tcPr>
          <w:p w14:paraId="2E4BF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828" w:type="dxa"/>
            <w:noWrap w:val="0"/>
            <w:vAlign w:val="center"/>
          </w:tcPr>
          <w:p w14:paraId="5FAE8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339C3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47ABF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E4E4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3400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B4D9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7B9E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71861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生态环境成本节约率</w:t>
            </w:r>
          </w:p>
        </w:tc>
        <w:tc>
          <w:tcPr>
            <w:tcW w:w="1209" w:type="dxa"/>
            <w:noWrap w:val="0"/>
            <w:vAlign w:val="center"/>
          </w:tcPr>
          <w:p w14:paraId="235C4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1134" w:type="dxa"/>
            <w:noWrap w:val="0"/>
            <w:vAlign w:val="center"/>
          </w:tcPr>
          <w:p w14:paraId="741CF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0%</w:t>
            </w:r>
          </w:p>
        </w:tc>
        <w:tc>
          <w:tcPr>
            <w:tcW w:w="828" w:type="dxa"/>
            <w:noWrap w:val="0"/>
            <w:vAlign w:val="center"/>
          </w:tcPr>
          <w:p w14:paraId="7AEAE8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42948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3217E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7189F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EDB0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C729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16881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7723E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noWrap w:val="0"/>
            <w:vAlign w:val="center"/>
          </w:tcPr>
          <w:p w14:paraId="23AC1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课后服务管理人数</w:t>
            </w:r>
          </w:p>
        </w:tc>
        <w:tc>
          <w:tcPr>
            <w:tcW w:w="1209" w:type="dxa"/>
            <w:noWrap w:val="0"/>
            <w:vAlign w:val="center"/>
          </w:tcPr>
          <w:p w14:paraId="47577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21人</w:t>
            </w:r>
          </w:p>
        </w:tc>
        <w:tc>
          <w:tcPr>
            <w:tcW w:w="1134" w:type="dxa"/>
            <w:noWrap w:val="0"/>
            <w:vAlign w:val="center"/>
          </w:tcPr>
          <w:p w14:paraId="4A2BF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21人</w:t>
            </w:r>
          </w:p>
        </w:tc>
        <w:tc>
          <w:tcPr>
            <w:tcW w:w="828" w:type="dxa"/>
            <w:noWrap w:val="0"/>
            <w:vAlign w:val="center"/>
          </w:tcPr>
          <w:p w14:paraId="309F0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2F4BB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0901C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6C3C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D5B7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689C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2B5E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7D4E8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设备采购次数</w:t>
            </w:r>
          </w:p>
        </w:tc>
        <w:tc>
          <w:tcPr>
            <w:tcW w:w="1209" w:type="dxa"/>
            <w:noWrap w:val="0"/>
            <w:vAlign w:val="center"/>
          </w:tcPr>
          <w:p w14:paraId="1D5D7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2次</w:t>
            </w:r>
          </w:p>
        </w:tc>
        <w:tc>
          <w:tcPr>
            <w:tcW w:w="1134" w:type="dxa"/>
            <w:noWrap w:val="0"/>
            <w:vAlign w:val="center"/>
          </w:tcPr>
          <w:p w14:paraId="1241B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2次</w:t>
            </w:r>
          </w:p>
        </w:tc>
        <w:tc>
          <w:tcPr>
            <w:tcW w:w="828" w:type="dxa"/>
            <w:noWrap w:val="0"/>
            <w:vAlign w:val="center"/>
          </w:tcPr>
          <w:p w14:paraId="2E1EC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543D3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05DEE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5B11B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FB87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88EC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7FF0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noWrap w:val="0"/>
            <w:vAlign w:val="center"/>
          </w:tcPr>
          <w:p w14:paraId="1C053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经费使用合规率</w:t>
            </w:r>
          </w:p>
        </w:tc>
        <w:tc>
          <w:tcPr>
            <w:tcW w:w="1209" w:type="dxa"/>
            <w:noWrap w:val="0"/>
            <w:vAlign w:val="center"/>
          </w:tcPr>
          <w:p w14:paraId="37127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2218F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1917F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35A9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009D9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EA9A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364F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B07C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DE79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19BA1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项目完成时间</w:t>
            </w:r>
          </w:p>
        </w:tc>
        <w:tc>
          <w:tcPr>
            <w:tcW w:w="1209" w:type="dxa"/>
            <w:noWrap w:val="0"/>
            <w:vAlign w:val="center"/>
          </w:tcPr>
          <w:p w14:paraId="2CBCF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34" w:type="dxa"/>
            <w:noWrap w:val="0"/>
            <w:vAlign w:val="center"/>
          </w:tcPr>
          <w:p w14:paraId="77829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</w:t>
            </w:r>
          </w:p>
        </w:tc>
        <w:tc>
          <w:tcPr>
            <w:tcW w:w="828" w:type="dxa"/>
            <w:noWrap w:val="0"/>
            <w:vAlign w:val="center"/>
          </w:tcPr>
          <w:p w14:paraId="3E8BE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3" w:type="dxa"/>
            <w:noWrap w:val="0"/>
            <w:vAlign w:val="center"/>
          </w:tcPr>
          <w:p w14:paraId="01617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18" w:type="dxa"/>
            <w:noWrap w:val="0"/>
            <w:vAlign w:val="center"/>
          </w:tcPr>
          <w:p w14:paraId="21B00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0523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49C5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3DAA3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21217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DC2E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经济效益指标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2DFBF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通过管理人员技能培训提升服务效能，减少对外部技术支持的依赖，降低外包服务支出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09AF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F609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57BD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694A1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5EDBA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A568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9A94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743D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4D7A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社会效益指标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7B386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避免因设备故障导致课程中断，保障学生参与兴趣课程、素质拓展活动的连续性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7DD1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774F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3CC9F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79FDB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230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9FD7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0AB0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8E02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3B74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生态效益指标</w:t>
            </w:r>
          </w:p>
        </w:tc>
        <w:tc>
          <w:tcPr>
            <w:tcW w:w="1149" w:type="dxa"/>
            <w:noWrap w:val="0"/>
            <w:vAlign w:val="center"/>
          </w:tcPr>
          <w:p w14:paraId="68FA6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管理人员参与校园垃圾分类督导，通过设备维护边角料回收利用示范，引导学生形成资源节约意识</w:t>
            </w:r>
          </w:p>
        </w:tc>
        <w:tc>
          <w:tcPr>
            <w:tcW w:w="1209" w:type="dxa"/>
            <w:noWrap w:val="0"/>
            <w:vAlign w:val="center"/>
          </w:tcPr>
          <w:p w14:paraId="68B64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64281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505F7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03C16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20410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4D7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1E2E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84B2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B699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28769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建立管理人员“传帮带”培训体系，通过经验沉淀与案例库建设，保障团队服务能力持续提升</w:t>
            </w:r>
          </w:p>
        </w:tc>
        <w:tc>
          <w:tcPr>
            <w:tcW w:w="1209" w:type="dxa"/>
            <w:noWrap w:val="0"/>
            <w:vAlign w:val="center"/>
          </w:tcPr>
          <w:p w14:paraId="135BC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056BC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36B16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79333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B99F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5138A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8613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ADF7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3AB5D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16E43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51A8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noWrap w:val="0"/>
            <w:vAlign w:val="center"/>
          </w:tcPr>
          <w:p w14:paraId="7D044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学校满意度</w:t>
            </w:r>
          </w:p>
        </w:tc>
        <w:tc>
          <w:tcPr>
            <w:tcW w:w="1209" w:type="dxa"/>
            <w:noWrap w:val="0"/>
            <w:vAlign w:val="center"/>
          </w:tcPr>
          <w:p w14:paraId="39250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134" w:type="dxa"/>
            <w:noWrap w:val="0"/>
            <w:vAlign w:val="center"/>
          </w:tcPr>
          <w:p w14:paraId="03501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noWrap w:val="0"/>
            <w:vAlign w:val="center"/>
          </w:tcPr>
          <w:p w14:paraId="18661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2C824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1EC53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3377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36D7B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571E7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37BD9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1D3A8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3260BBB9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龙樟灵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2026年6月12日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z w:val="22"/>
          <w:lang w:val="en-US" w:eastAsia="zh-CN"/>
        </w:rPr>
        <w:t>0745-2184350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</w:p>
    <w:p w14:paraId="232C689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16A39887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方正小标宋简体" w:hAnsi="Arial" w:eastAsia="方正小标宋简体" w:cs="Arial"/>
          <w:sz w:val="40"/>
          <w:szCs w:val="40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             </w:t>
      </w:r>
      <w:r>
        <w:rPr>
          <w:rFonts w:hint="eastAsia" w:ascii="方正小标宋简体" w:hAnsi="Arial" w:eastAsia="方正小标宋简体" w:cs="Arial"/>
          <w:sz w:val="40"/>
          <w:szCs w:val="40"/>
        </w:rPr>
        <w:t>项目</w:t>
      </w:r>
      <w:r>
        <w:rPr>
          <w:rFonts w:hint="eastAsia" w:ascii="方正小标宋简体" w:hAnsi="Arial" w:eastAsia="方正小标宋简体" w:cs="Arial"/>
          <w:sz w:val="40"/>
          <w:szCs w:val="40"/>
          <w:lang w:eastAsia="zh-CN"/>
        </w:rPr>
        <w:t>支出</w:t>
      </w:r>
      <w:r>
        <w:rPr>
          <w:rFonts w:hint="eastAsia" w:ascii="方正小标宋简体" w:hAnsi="Arial" w:eastAsia="方正小标宋简体" w:cs="Arial"/>
          <w:sz w:val="40"/>
          <w:szCs w:val="40"/>
        </w:rPr>
        <w:t>自评</w:t>
      </w:r>
      <w:r>
        <w:rPr>
          <w:rFonts w:hint="eastAsia" w:ascii="方正小标宋简体" w:hAnsi="Arial" w:eastAsia="方正小标宋简体" w:cs="Arial"/>
          <w:sz w:val="40"/>
          <w:szCs w:val="40"/>
          <w:lang w:eastAsia="zh-CN"/>
        </w:rPr>
        <w:t>结果汇总分析</w:t>
      </w:r>
      <w:r>
        <w:rPr>
          <w:rFonts w:hint="eastAsia" w:ascii="方正小标宋简体" w:hAnsi="Arial" w:eastAsia="方正小标宋简体" w:cs="Arial"/>
          <w:sz w:val="40"/>
          <w:szCs w:val="40"/>
        </w:rPr>
        <w:t>报告</w:t>
      </w:r>
    </w:p>
    <w:p w14:paraId="5169DA51">
      <w:pPr>
        <w:pStyle w:val="2"/>
      </w:pPr>
    </w:p>
    <w:p w14:paraId="5A036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一、项目支出基本情况</w:t>
      </w:r>
    </w:p>
    <w:p w14:paraId="7794B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  <w:t>我单位项目支出主要包括：2025年校保安经费、2025年校方责任险、2025年课后服务教师补贴、2025年课后服务设备维护成本及管理人员津贴等4个项目，年初预算634.3万元，预算调整为510.13万元，实际执行510.13万元。</w:t>
      </w:r>
    </w:p>
    <w:p w14:paraId="40A79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二、项目自评工作开展情况</w:t>
      </w:r>
    </w:p>
    <w:p w14:paraId="567F2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  <w:t>项目支出自评工作由总务处负责牵头，各部门配合。</w:t>
      </w:r>
    </w:p>
    <w:p w14:paraId="5D564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三、项目自评结果及分析</w:t>
      </w:r>
    </w:p>
    <w:p w14:paraId="28E1F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  <w:t>1、2025年校保安经费项目支出自评得分100分，项目实施确保校园综治安全，保障师生安全，较好的完成了年初设定的目标。该项目全年预算28.97万元，实际执行28.97万元，预算执行率为100%。</w:t>
      </w:r>
    </w:p>
    <w:p w14:paraId="7A58D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  <w:t>2、2025年校方责任险项目支出自评得分100分，项目实施保障了学生校园安全，提高教学质量，较好的完成了年初设定的目标。该项目全年预算3万元，实际执行3万元，预算执行率为100%。</w:t>
      </w:r>
    </w:p>
    <w:p w14:paraId="73A3F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  <w:t>3、2025年课后服务教师补贴项目支出自评得分100分，项目实施提升了课后服务水平，满足了学生多样化需求，同时，课后服务教师补贴按时按量支付到位，较好的完成了年初设定的目标。该项目全年预算320万元，实际执行320万元，预算执行率为100%。</w:t>
      </w:r>
    </w:p>
    <w:p w14:paraId="79B5E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  <w:t>4、2025年课后服务设备维护成本及管理人员津贴项目支出自评得分100分，项目实施为课后服务正常开展提供保障，设备得到了及时维护，较好的完成了年初设定的目标。该项目全年预算49.29万元，实际执行49.29万元，预算执行率为100%。</w:t>
      </w:r>
    </w:p>
    <w:p w14:paraId="63F6C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四、项目自评发现的问题及整改措施</w:t>
      </w:r>
    </w:p>
    <w:p w14:paraId="1531B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  <w:t>预算编制需要更加科学、及时，对于存在偏差的项目，年中要及时进行调整。</w:t>
      </w:r>
    </w:p>
    <w:p w14:paraId="69C52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五、项目自评工作建议及预算安排建议</w:t>
      </w:r>
    </w:p>
    <w:p w14:paraId="335CE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  <w:t>进一步加强各科室的预算管理意识，对特殊项目事前提出预算要求，严格按照预算编制的相关制度和要求进行预算编制，尽量做到该纳入预算的，全部纳入预算。各项目支出是保障学校正常运行的前提，需要足额安排。</w:t>
      </w:r>
    </w:p>
    <w:p w14:paraId="32F85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六、其他需要说明的问题</w:t>
      </w: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ab/>
      </w:r>
    </w:p>
    <w:p w14:paraId="0B363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theme="minorBidi"/>
          <w:spacing w:val="-2"/>
          <w:kern w:val="0"/>
          <w:sz w:val="32"/>
          <w:szCs w:val="32"/>
          <w:lang w:val="en-US" w:eastAsia="zh-CN" w:bidi="ar"/>
        </w:rPr>
        <w:t>无</w:t>
      </w:r>
    </w:p>
    <w:p w14:paraId="3FB83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1394E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B83C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Times New Roman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8C5C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DC83DA">
                          <w:pPr>
                            <w:pStyle w:val="5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DC83DA">
                    <w:pPr>
                      <w:pStyle w:val="5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58C504"/>
    <w:multiLevelType w:val="singleLevel"/>
    <w:tmpl w:val="B558C504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jYmJkZTgyZjQzZTk3ZTUzMWNlNWIzZDJmYjY5OGMifQ=="/>
    <w:docVar w:name="KSO_WPS_MARK_KEY" w:val="9920a277-c0c3-43b4-93d3-1636fe398e0b"/>
  </w:docVars>
  <w:rsids>
    <w:rsidRoot w:val="753C4E9B"/>
    <w:rsid w:val="025B76ED"/>
    <w:rsid w:val="05E95AA6"/>
    <w:rsid w:val="0C180A78"/>
    <w:rsid w:val="0D276746"/>
    <w:rsid w:val="0D464D9C"/>
    <w:rsid w:val="0DD52794"/>
    <w:rsid w:val="0E956870"/>
    <w:rsid w:val="0EF44384"/>
    <w:rsid w:val="10C666A5"/>
    <w:rsid w:val="1223366A"/>
    <w:rsid w:val="143877FD"/>
    <w:rsid w:val="17FCFFF6"/>
    <w:rsid w:val="19106C8E"/>
    <w:rsid w:val="19E805B2"/>
    <w:rsid w:val="1CBF872E"/>
    <w:rsid w:val="21CD20BC"/>
    <w:rsid w:val="22FE234B"/>
    <w:rsid w:val="277E6F02"/>
    <w:rsid w:val="29586EB8"/>
    <w:rsid w:val="29990575"/>
    <w:rsid w:val="29E74FBB"/>
    <w:rsid w:val="2AF6742D"/>
    <w:rsid w:val="2EA9088F"/>
    <w:rsid w:val="312A2265"/>
    <w:rsid w:val="333F3E43"/>
    <w:rsid w:val="36FC0F5D"/>
    <w:rsid w:val="375773F8"/>
    <w:rsid w:val="393E32BB"/>
    <w:rsid w:val="3EFDDE87"/>
    <w:rsid w:val="40107D2A"/>
    <w:rsid w:val="419B2857"/>
    <w:rsid w:val="41D71DA8"/>
    <w:rsid w:val="41E21510"/>
    <w:rsid w:val="4C6611ED"/>
    <w:rsid w:val="4D5D3BD3"/>
    <w:rsid w:val="4D660768"/>
    <w:rsid w:val="4EB7F892"/>
    <w:rsid w:val="552A0475"/>
    <w:rsid w:val="57225D42"/>
    <w:rsid w:val="578D10CB"/>
    <w:rsid w:val="5A5915AC"/>
    <w:rsid w:val="5A9A408C"/>
    <w:rsid w:val="5ABBC979"/>
    <w:rsid w:val="5BFC7B3B"/>
    <w:rsid w:val="5C3143E4"/>
    <w:rsid w:val="5E77C7C6"/>
    <w:rsid w:val="5FFFAAE0"/>
    <w:rsid w:val="66347B2F"/>
    <w:rsid w:val="667FD72C"/>
    <w:rsid w:val="6A12486A"/>
    <w:rsid w:val="6ABE64BE"/>
    <w:rsid w:val="6B5F16C5"/>
    <w:rsid w:val="6CF3EA5A"/>
    <w:rsid w:val="6E080B98"/>
    <w:rsid w:val="72EA5344"/>
    <w:rsid w:val="753C4E9B"/>
    <w:rsid w:val="769B7804"/>
    <w:rsid w:val="779FCBF0"/>
    <w:rsid w:val="77F7E21B"/>
    <w:rsid w:val="781113A7"/>
    <w:rsid w:val="791E6510"/>
    <w:rsid w:val="79E2F975"/>
    <w:rsid w:val="7B14634E"/>
    <w:rsid w:val="7B3BDBF2"/>
    <w:rsid w:val="7C8D4A41"/>
    <w:rsid w:val="7CED360A"/>
    <w:rsid w:val="7EBDCBBF"/>
    <w:rsid w:val="7EC74CC1"/>
    <w:rsid w:val="7EE6408F"/>
    <w:rsid w:val="7F3EB32E"/>
    <w:rsid w:val="7F5F3F3B"/>
    <w:rsid w:val="7F5FE5E8"/>
    <w:rsid w:val="7F7FC8C5"/>
    <w:rsid w:val="7FFDE9AB"/>
    <w:rsid w:val="7FFEB77D"/>
    <w:rsid w:val="7FFFADA2"/>
    <w:rsid w:val="9ED5792A"/>
    <w:rsid w:val="AEFFB886"/>
    <w:rsid w:val="BEFF7926"/>
    <w:rsid w:val="CF12F568"/>
    <w:rsid w:val="DEBF7731"/>
    <w:rsid w:val="E39F96A6"/>
    <w:rsid w:val="E6DFCF67"/>
    <w:rsid w:val="EBB76B61"/>
    <w:rsid w:val="F37FFBB8"/>
    <w:rsid w:val="F6D78CAF"/>
    <w:rsid w:val="F7DA3342"/>
    <w:rsid w:val="FBD266D3"/>
    <w:rsid w:val="FBFF7914"/>
    <w:rsid w:val="FDBFA637"/>
    <w:rsid w:val="FE6B70D4"/>
    <w:rsid w:val="FF2C1D8F"/>
    <w:rsid w:val="FF7BB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99"/>
    <w:pPr>
      <w:spacing w:line="481" w:lineRule="atLeast"/>
      <w:ind w:firstLine="623"/>
      <w:textAlignment w:val="baseline"/>
    </w:pPr>
    <w:rPr>
      <w:color w:val="000000"/>
      <w:sz w:val="31"/>
      <w:szCs w:val="31"/>
    </w:rPr>
  </w:style>
  <w:style w:type="paragraph" w:styleId="4">
    <w:name w:val="Body Text Indent"/>
    <w:basedOn w:val="1"/>
    <w:autoRedefine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autoRedefine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标题1"/>
    <w:basedOn w:val="3"/>
    <w:autoRedefine/>
    <w:qFormat/>
    <w:uiPriority w:val="0"/>
    <w:rPr>
      <w:rFonts w:eastAsia="黑体"/>
    </w:rPr>
  </w:style>
  <w:style w:type="paragraph" w:customStyle="1" w:styleId="13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4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5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3349</Words>
  <Characters>3774</Characters>
  <Lines>0</Lines>
  <Paragraphs>0</Paragraphs>
  <TotalTime>15</TotalTime>
  <ScaleCrop>false</ScaleCrop>
  <LinksUpToDate>false</LinksUpToDate>
  <CharactersWithSpaces>3977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2024-02-23T18:03:00Z</dcterms:created>
  <dc:creator>1402836399</dc:creator>
  <cp:lastModifiedBy>A梦</cp:lastModifiedBy>
  <cp:lastPrinted>2025-04-10T18:25:00Z</cp:lastPrinted>
  <dcterms:modified xsi:type="dcterms:W3CDTF">2026-10-12T16:05:41Z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4F8E04F53C714D9BACCDC91A0E6B69A1_13</vt:lpwstr>
  </property>
  <property fmtid="{D5CDD505-2E9C-101B-9397-08002B2CF9AE}" pid="4" name="KSOTemplateDocerSaveRecord">
    <vt:lpwstr>eyJoZGlkIjoiZTQ4MGMzZGM0ODNhOGQ4Mzc5MjRlNjEyMTNiYmY5YWIiLCJ1c2VySWQiOiIzMjQ3MzQzMTIifQ==</vt:lpwstr>
  </property>
</Properties>
</file>