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B18FD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lang w:bidi="ar"/>
        </w:rPr>
      </w:pPr>
      <w:r>
        <w:rPr>
          <w:rFonts w:ascii="仿宋" w:hAnsi="仿宋" w:eastAsia="仿宋"/>
          <w:sz w:val="24"/>
          <w:szCs w:val="24"/>
          <w:lang w:bidi="ar"/>
        </w:rPr>
        <w:t>附件</w:t>
      </w:r>
      <w:r>
        <w:rPr>
          <w:rFonts w:hint="eastAsia" w:ascii="仿宋" w:hAnsi="仿宋" w:eastAsia="仿宋"/>
          <w:sz w:val="24"/>
          <w:szCs w:val="24"/>
          <w:lang w:bidi="ar"/>
        </w:rPr>
        <w:t>6</w:t>
      </w:r>
    </w:p>
    <w:p w14:paraId="14EAE9FD">
      <w:pPr>
        <w:spacing w:line="240" w:lineRule="auto"/>
        <w:ind w:left="280" w:right="280" w:firstLine="480"/>
        <w:jc w:val="center"/>
        <w:rPr>
          <w:rFonts w:ascii="仿宋" w:hAnsi="仿宋" w:eastAsia="仿宋"/>
          <w:sz w:val="24"/>
          <w:szCs w:val="24"/>
          <w:lang w:bidi="ar"/>
        </w:rPr>
      </w:pPr>
      <w:r>
        <w:rPr>
          <w:rFonts w:hint="eastAsia" w:ascii="仿宋" w:hAnsi="仿宋" w:eastAsia="仿宋"/>
          <w:sz w:val="24"/>
          <w:szCs w:val="24"/>
          <w:lang w:bidi="ar"/>
        </w:rPr>
        <w:t>怀化</w:t>
      </w:r>
      <w:r>
        <w:rPr>
          <w:rFonts w:ascii="仿宋" w:hAnsi="仿宋" w:eastAsia="仿宋"/>
          <w:sz w:val="24"/>
          <w:szCs w:val="24"/>
          <w:lang w:bidi="ar"/>
        </w:rPr>
        <w:t>市铁路第一小学</w:t>
      </w:r>
      <w:r>
        <w:rPr>
          <w:rFonts w:hint="eastAsia" w:ascii="仿宋" w:hAnsi="仿宋" w:eastAsia="仿宋"/>
          <w:sz w:val="24"/>
          <w:szCs w:val="24"/>
          <w:lang w:bidi="ar"/>
        </w:rPr>
        <w:t>2025</w:t>
      </w:r>
      <w:r>
        <w:rPr>
          <w:rFonts w:ascii="仿宋" w:hAnsi="仿宋" w:eastAsia="仿宋"/>
          <w:sz w:val="24"/>
          <w:szCs w:val="24"/>
          <w:lang w:bidi="ar"/>
        </w:rPr>
        <w:t>年度校方责任险项目支出</w:t>
      </w:r>
    </w:p>
    <w:p w14:paraId="17A88054">
      <w:pPr>
        <w:spacing w:line="240" w:lineRule="auto"/>
        <w:ind w:left="280" w:right="280" w:firstLine="480"/>
        <w:jc w:val="center"/>
        <w:rPr>
          <w:rFonts w:ascii="仿宋" w:hAnsi="仿宋" w:eastAsia="仿宋"/>
          <w:sz w:val="24"/>
          <w:szCs w:val="24"/>
          <w:lang w:bidi="ar"/>
        </w:rPr>
      </w:pPr>
      <w:r>
        <w:rPr>
          <w:rFonts w:ascii="仿宋" w:hAnsi="仿宋" w:eastAsia="仿宋"/>
          <w:sz w:val="24"/>
          <w:szCs w:val="24"/>
          <w:lang w:bidi="ar"/>
        </w:rPr>
        <w:t>绩效自评报告</w:t>
      </w:r>
    </w:p>
    <w:p w14:paraId="4091BAB5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一、</w:t>
      </w:r>
      <w:r>
        <w:rPr>
          <w:rFonts w:ascii="仿宋" w:hAnsi="仿宋" w:eastAsia="仿宋"/>
          <w:sz w:val="24"/>
          <w:szCs w:val="24"/>
        </w:rPr>
        <w:t>项目概况</w:t>
      </w:r>
    </w:p>
    <w:p w14:paraId="7E218103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（一）</w:t>
      </w:r>
      <w:r>
        <w:rPr>
          <w:rFonts w:ascii="仿宋" w:hAnsi="仿宋" w:eastAsia="仿宋"/>
          <w:sz w:val="24"/>
          <w:szCs w:val="24"/>
        </w:rPr>
        <w:t>项目基本情况</w:t>
      </w:r>
    </w:p>
    <w:p w14:paraId="1703A10B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</w:t>
      </w:r>
      <w:r>
        <w:rPr>
          <w:rFonts w:ascii="仿宋" w:hAnsi="仿宋" w:eastAsia="仿宋"/>
          <w:sz w:val="24"/>
          <w:szCs w:val="24"/>
        </w:rPr>
        <w:t>说明项目主管部门在该项目管理中的职能。</w:t>
      </w:r>
    </w:p>
    <w:p w14:paraId="7E9F285B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bookmarkStart w:id="0" w:name="OLE_LINK10"/>
      <w:r>
        <w:rPr>
          <w:rFonts w:hint="eastAsia" w:ascii="仿宋" w:hAnsi="仿宋" w:eastAsia="仿宋"/>
          <w:color w:val="auto"/>
          <w:sz w:val="24"/>
          <w:szCs w:val="24"/>
          <w:shd w:val="clear" w:color="auto" w:fill="auto"/>
        </w:rPr>
        <w:t>（1）</w:t>
      </w:r>
      <w:bookmarkEnd w:id="0"/>
      <w:r>
        <w:rPr>
          <w:rFonts w:ascii="仿宋" w:hAnsi="仿宋" w:eastAsia="仿宋"/>
          <w:sz w:val="24"/>
          <w:szCs w:val="24"/>
          <w:shd w:val="clear" w:color="auto" w:fill="auto"/>
        </w:rPr>
        <w:t>怀化市教育局（行业主管部门）</w:t>
      </w:r>
    </w:p>
    <w:p w14:paraId="1E70F259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一是政策统筹：贯彻落实国家、省、市校园安全及校方责任险相关法规文件，统一制定全市中小学投保标准、承保采购规则、保费经费保障政策；</w:t>
      </w:r>
    </w:p>
    <w:p w14:paraId="649B7930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二是资金统筹：统筹全市校方责任险财政预算申报、资金下达、经费监管，明确生均保费标准，监督各校专款专用；</w:t>
      </w:r>
    </w:p>
    <w:p w14:paraId="27044E54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三是采购监管：统一组织全市校方责任险承保机构公开招标，确定承保服务商，规范保险条款保障范围；</w:t>
      </w:r>
    </w:p>
    <w:p w14:paraId="355499E4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四是督导考核：每季度开展校方责任险专项督查，核查各校参保覆盖率、理赔处置、台账管理，将项目实施情况纳入学校年度安全工作考核；</w:t>
      </w:r>
    </w:p>
    <w:p w14:paraId="578D19CE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五是纠纷协调：统筹跨校重大校园伤害事故保险理赔协调，指导学校开展安全风险防控宣教工作。</w:t>
      </w:r>
    </w:p>
    <w:p w14:paraId="617C5E5F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hint="eastAsia" w:ascii="仿宋" w:hAnsi="仿宋" w:eastAsia="仿宋"/>
          <w:color w:val="auto"/>
          <w:sz w:val="24"/>
          <w:szCs w:val="24"/>
          <w:shd w:val="clear" w:color="auto" w:fill="auto"/>
        </w:rPr>
        <w:t>（2）</w:t>
      </w:r>
      <w:r>
        <w:rPr>
          <w:rFonts w:ascii="仿宋" w:hAnsi="仿宋" w:eastAsia="仿宋"/>
          <w:sz w:val="24"/>
          <w:szCs w:val="24"/>
          <w:shd w:val="clear" w:color="auto" w:fill="auto"/>
        </w:rPr>
        <w:t>怀化市财政局（资金监管主管部门）</w:t>
      </w:r>
    </w:p>
    <w:p w14:paraId="3F36860F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负责校方责任险专项预算审核、资金拨付、非税及教育专项资金监管；规范保费支付审批流程，开展年度专项资金绩效监控与绩效自评复核；监督资金支付范围、支付标准合规性，查处挤占、挪用、超范围支出等财务违规行为。</w:t>
      </w:r>
    </w:p>
    <w:p w14:paraId="52EA72EF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（3）</w:t>
      </w:r>
      <w:r>
        <w:rPr>
          <w:rFonts w:ascii="仿宋" w:hAnsi="仿宋" w:eastAsia="仿宋"/>
          <w:sz w:val="24"/>
          <w:szCs w:val="24"/>
          <w:shd w:val="clear" w:color="auto" w:fill="auto"/>
        </w:rPr>
        <w:t>校内主管执行部门（校安办）</w:t>
      </w:r>
    </w:p>
    <w:p w14:paraId="6EB75661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作为本校校方责任险直接管理部门，承接上级主管部门各项工作部署，统筹在校生信息统计、投保名单核对、保单管理、事故报案、理赔材料收集对接；组织校园安全警示教育，建立投保、出险、理赔全套安全台账，牵头完成项目年度绩效自评。</w:t>
      </w:r>
    </w:p>
    <w:p w14:paraId="7D176135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2.</w:t>
      </w:r>
      <w:r>
        <w:rPr>
          <w:rFonts w:ascii="仿宋" w:hAnsi="仿宋" w:eastAsia="仿宋"/>
          <w:sz w:val="24"/>
          <w:szCs w:val="24"/>
        </w:rPr>
        <w:t>项目立项、资金申报的依据。</w:t>
      </w:r>
    </w:p>
    <w:p w14:paraId="2A54A3F0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（1）立项政策依据</w:t>
      </w:r>
    </w:p>
    <w:p w14:paraId="44A7E163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《中华人民共和国未成年人保护法》《中小学幼儿园安全管理办法》《湖南省校园安全风险防控实施办法》《怀化市义务教育阶段校方责任险统一投保实施方案》等文件，明确要求全市公办中小学统一投保校方责任险，全覆盖转嫁校园人身伤害责任风险，构建校园安全风险分担机制，为本项目实施提供法定与政策支撑。</w:t>
      </w:r>
    </w:p>
    <w:p w14:paraId="4B5A6A82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（</w:t>
      </w:r>
      <w:r>
        <w:rPr>
          <w:rFonts w:hint="eastAsia" w:ascii="仿宋" w:hAnsi="仿宋" w:eastAsia="仿宋"/>
          <w:sz w:val="24"/>
          <w:szCs w:val="24"/>
        </w:rPr>
        <w:t>2）</w:t>
      </w:r>
      <w:r>
        <w:rPr>
          <w:rFonts w:ascii="仿宋" w:hAnsi="仿宋" w:eastAsia="仿宋"/>
          <w:sz w:val="24"/>
          <w:szCs w:val="24"/>
        </w:rPr>
        <w:t>资金申报依据</w:t>
      </w:r>
    </w:p>
    <w:p w14:paraId="3CA8A687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a、怀化市教育局、财政局联合下发年度校方责任险工作通知，核定全市统一生均保费 19 元 / 人 / 年标准；</w:t>
      </w:r>
    </w:p>
    <w:p w14:paraId="1FFF8C03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b、</w:t>
      </w:r>
      <w:r>
        <w:rPr>
          <w:rFonts w:ascii="仿宋" w:hAnsi="仿宋" w:eastAsia="仿宋"/>
          <w:sz w:val="24"/>
          <w:szCs w:val="24"/>
        </w:rPr>
        <w:t>市级教育专项资金预算编制管理办法，学校依据学籍系统在校生 4531 人测算保费总额，编制年度专项预算上报；</w:t>
      </w:r>
    </w:p>
    <w:p w14:paraId="24A9CAF7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c、</w:t>
      </w:r>
      <w:r>
        <w:rPr>
          <w:rFonts w:ascii="仿宋" w:hAnsi="仿宋" w:eastAsia="仿宋"/>
          <w:sz w:val="24"/>
          <w:szCs w:val="24"/>
        </w:rPr>
        <w:t>市级财政教育专项资金收支管理规定，校方责任险保费纳入市级财政专项保障，实行财政统一拨付，不向学生另行收费。</w:t>
      </w:r>
    </w:p>
    <w:p w14:paraId="508C9010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3.</w:t>
      </w:r>
      <w:r>
        <w:rPr>
          <w:rFonts w:ascii="仿宋" w:hAnsi="仿宋" w:eastAsia="仿宋"/>
          <w:sz w:val="24"/>
          <w:szCs w:val="24"/>
        </w:rPr>
        <w:t>资金管理办法制定情况,资金支持具体项目的条件、范围与支持方式概况。</w:t>
      </w:r>
    </w:p>
    <w:p w14:paraId="3808EE8A">
      <w:pPr>
        <w:spacing w:line="240" w:lineRule="auto"/>
        <w:ind w:left="560" w:right="280" w:firstLine="0"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（</w:t>
      </w:r>
      <w:r>
        <w:rPr>
          <w:rFonts w:hint="eastAsia" w:ascii="仿宋" w:hAnsi="仿宋" w:eastAsia="仿宋"/>
          <w:sz w:val="24"/>
          <w:szCs w:val="24"/>
        </w:rPr>
        <w:t>1）</w:t>
      </w:r>
      <w:r>
        <w:rPr>
          <w:rFonts w:ascii="仿宋" w:hAnsi="仿宋" w:eastAsia="仿宋"/>
          <w:sz w:val="24"/>
          <w:szCs w:val="24"/>
        </w:rPr>
        <w:t>资金管理办法制定情况</w:t>
      </w:r>
    </w:p>
    <w:p w14:paraId="259A3D31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学校严格执行《中小学校财务制度》《怀化市市级教育专项资金管理细则》，明确保费预算申报、资金拨付、支付审批、票据归档、台账管理、绩效监控全流程管理要求；规范资金支出审核权限，落实分管财务副校长、财务、校安办三级审核机制，做到资金管理有制度、支出有依据、全程可监管。</w:t>
      </w:r>
    </w:p>
    <w:p w14:paraId="03F14E77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(2)</w:t>
      </w:r>
      <w:r>
        <w:rPr>
          <w:rFonts w:ascii="仿宋" w:hAnsi="仿宋" w:eastAsia="仿宋"/>
          <w:sz w:val="24"/>
          <w:szCs w:val="24"/>
        </w:rPr>
        <w:t>资金支持条件</w:t>
      </w:r>
    </w:p>
    <w:p w14:paraId="7C6838F1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a、</w:t>
      </w:r>
      <w:r>
        <w:rPr>
          <w:rFonts w:ascii="仿宋" w:hAnsi="仿宋" w:eastAsia="仿宋"/>
          <w:sz w:val="24"/>
          <w:szCs w:val="24"/>
        </w:rPr>
        <w:t>覆盖对象：本校全体在校注册学籍学生，含新生、插班生、转学生，做到应保尽保；</w:t>
      </w:r>
    </w:p>
    <w:p w14:paraId="540297DC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b、</w:t>
      </w:r>
      <w:r>
        <w:rPr>
          <w:rFonts w:ascii="仿宋" w:hAnsi="仿宋" w:eastAsia="仿宋"/>
          <w:sz w:val="24"/>
          <w:szCs w:val="24"/>
        </w:rPr>
        <w:t>投保标准：严格执行市级统一标准19元</w:t>
      </w:r>
      <w:r>
        <w:rPr>
          <w:rFonts w:hint="eastAsia" w:ascii="仿宋" w:hAnsi="仿宋" w:eastAsia="仿宋"/>
          <w:sz w:val="24"/>
          <w:szCs w:val="24"/>
        </w:rPr>
        <w:t>/</w:t>
      </w:r>
      <w:r>
        <w:rPr>
          <w:rFonts w:ascii="仿宋" w:hAnsi="仿宋" w:eastAsia="仿宋"/>
          <w:sz w:val="24"/>
          <w:szCs w:val="24"/>
        </w:rPr>
        <w:t>生</w:t>
      </w:r>
      <w:r>
        <w:rPr>
          <w:rFonts w:hint="eastAsia" w:ascii="仿宋" w:hAnsi="仿宋" w:eastAsia="仿宋"/>
          <w:sz w:val="24"/>
          <w:szCs w:val="24"/>
        </w:rPr>
        <w:t>/</w:t>
      </w:r>
      <w:r>
        <w:rPr>
          <w:rFonts w:ascii="仿宋" w:hAnsi="仿宋" w:eastAsia="仿宋"/>
          <w:sz w:val="24"/>
          <w:szCs w:val="24"/>
        </w:rPr>
        <w:t>年，不得上浮、不得额外向家长收取保险费用；</w:t>
      </w:r>
    </w:p>
    <w:p w14:paraId="2DF5206A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c、</w:t>
      </w:r>
      <w:r>
        <w:rPr>
          <w:rFonts w:ascii="仿宋" w:hAnsi="仿宋" w:eastAsia="仿宋"/>
          <w:sz w:val="24"/>
          <w:szCs w:val="24"/>
        </w:rPr>
        <w:t>使用限制：财政专项资金仅可用于支付校方责任险保费，不得挪用于安全器材采购、安保人员薪酬、校园维修等其他支出。</w:t>
      </w:r>
    </w:p>
    <w:p w14:paraId="2CC8CAED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（3）资金支持范围</w:t>
      </w:r>
    </w:p>
    <w:p w14:paraId="7B33D9D3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仅限支付本年度全校学生校方责任险保险费用，包含主险基础保障，保障覆盖在校课堂教学、课间活动、体育训练、校内劳动、运动会、研学实践、上下学校园内接送区间等场景学生人身意外伤亡、受伤医疗赔偿相关保险责任。</w:t>
      </w:r>
    </w:p>
    <w:p w14:paraId="33D59403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（4）资金支持方式</w:t>
      </w:r>
    </w:p>
    <w:p w14:paraId="797399D7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本项目资金全部为市级财政专项教育资金，无中央、省级资金，无学校自筹、家长缴费；预算经财政局审核后全额下达至学校，由学校财务对公转账统一支付至中标保险公司，实行财政专项保障、专款专用，不收取学生保险费。</w:t>
      </w:r>
    </w:p>
    <w:p w14:paraId="2B73E19E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4.</w:t>
      </w:r>
      <w:r>
        <w:rPr>
          <w:rFonts w:ascii="仿宋" w:hAnsi="仿宋" w:eastAsia="仿宋"/>
          <w:sz w:val="24"/>
          <w:szCs w:val="24"/>
        </w:rPr>
        <w:t>资金分配的原则及考虑因素</w:t>
      </w:r>
      <w:r>
        <w:rPr>
          <w:rFonts w:hint="eastAsia" w:ascii="仿宋" w:hAnsi="仿宋" w:eastAsia="仿宋"/>
          <w:sz w:val="24"/>
          <w:szCs w:val="24"/>
        </w:rPr>
        <w:t>。</w:t>
      </w:r>
    </w:p>
    <w:p w14:paraId="5066B389">
      <w:pPr>
        <w:pStyle w:val="12"/>
        <w:spacing w:line="240" w:lineRule="auto"/>
        <w:ind w:left="280" w:right="280" w:firstLine="0"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（</w:t>
      </w:r>
      <w:r>
        <w:rPr>
          <w:rFonts w:hint="eastAsia" w:ascii="仿宋" w:hAnsi="仿宋" w:eastAsia="仿宋"/>
          <w:sz w:val="24"/>
          <w:szCs w:val="24"/>
        </w:rPr>
        <w:t>1）</w:t>
      </w:r>
      <w:r>
        <w:rPr>
          <w:rFonts w:ascii="仿宋" w:hAnsi="仿宋" w:eastAsia="仿宋"/>
          <w:sz w:val="24"/>
          <w:szCs w:val="24"/>
        </w:rPr>
        <w:t>资金分配原则</w:t>
      </w:r>
    </w:p>
    <w:p w14:paraId="55B6620F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a、</w:t>
      </w:r>
      <w:r>
        <w:rPr>
          <w:rFonts w:ascii="仿宋" w:hAnsi="仿宋" w:eastAsia="仿宋"/>
          <w:sz w:val="24"/>
          <w:szCs w:val="24"/>
        </w:rPr>
        <w:t>足额保障原则：按照实际在校学籍人数全额测算保费，保障全员参保，不留资金缺口；</w:t>
      </w:r>
    </w:p>
    <w:p w14:paraId="6247F5EE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b、</w:t>
      </w:r>
      <w:r>
        <w:rPr>
          <w:rFonts w:ascii="仿宋" w:hAnsi="仿宋" w:eastAsia="仿宋"/>
          <w:sz w:val="24"/>
          <w:szCs w:val="24"/>
        </w:rPr>
        <w:t>专款专用原则：专项资金仅用于保险保费支付，严禁截留、调剂、挤占至其他项目；</w:t>
      </w:r>
    </w:p>
    <w:p w14:paraId="53544ACD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c、</w:t>
      </w:r>
      <w:r>
        <w:rPr>
          <w:rFonts w:ascii="仿宋" w:hAnsi="仿宋" w:eastAsia="仿宋"/>
          <w:sz w:val="24"/>
          <w:szCs w:val="24"/>
        </w:rPr>
        <w:t>统一标准原则：严格执行全市统一 19 元 / 生保费标准，不区分年级、班级差异化计价；</w:t>
      </w:r>
    </w:p>
    <w:p w14:paraId="202E34B8">
      <w:pPr>
        <w:pStyle w:val="12"/>
        <w:numPr>
          <w:ilvl w:val="0"/>
          <w:numId w:val="1"/>
        </w:numPr>
        <w:spacing w:line="240" w:lineRule="auto"/>
        <w:ind w:right="280"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合规高效原则：资金一次性集中支付，简化拨付流程，确保保单按期生效。</w:t>
      </w:r>
    </w:p>
    <w:p w14:paraId="1F83B3FC">
      <w:pPr>
        <w:pStyle w:val="12"/>
        <w:spacing w:line="240" w:lineRule="auto"/>
        <w:ind w:left="200" w:right="280" w:firstLine="0"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（2）</w:t>
      </w:r>
      <w:r>
        <w:rPr>
          <w:rFonts w:ascii="仿宋" w:hAnsi="仿宋" w:eastAsia="仿宋"/>
          <w:sz w:val="24"/>
          <w:szCs w:val="24"/>
        </w:rPr>
        <w:t>分配测算考虑因素</w:t>
      </w:r>
    </w:p>
    <w:p w14:paraId="224CD610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a、</w:t>
      </w:r>
      <w:r>
        <w:rPr>
          <w:rFonts w:ascii="仿宋" w:hAnsi="仿宋" w:eastAsia="仿宋"/>
          <w:sz w:val="24"/>
          <w:szCs w:val="24"/>
        </w:rPr>
        <w:t>学籍在册人数：以开学初教育局学籍系统核定 4531 名在校生为基数测算总预算；</w:t>
      </w:r>
    </w:p>
    <w:p w14:paraId="0FD4AD82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b、</w:t>
      </w:r>
      <w:r>
        <w:rPr>
          <w:rFonts w:ascii="仿宋" w:hAnsi="仿宋" w:eastAsia="仿宋"/>
          <w:sz w:val="24"/>
          <w:szCs w:val="24"/>
        </w:rPr>
        <w:t>市级统一收费标准：严格按照市教育局、财政局统一核定生均保费核算总资金；</w:t>
      </w:r>
    </w:p>
    <w:p w14:paraId="52F17B29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c、</w:t>
      </w:r>
      <w:r>
        <w:rPr>
          <w:rFonts w:ascii="仿宋" w:hAnsi="仿宋" w:eastAsia="仿宋"/>
          <w:sz w:val="24"/>
          <w:szCs w:val="24"/>
        </w:rPr>
        <w:t>人员动态浮动：预留少量测算弹性，应对学期中转学、插班新增学生参保补差；</w:t>
      </w:r>
    </w:p>
    <w:p w14:paraId="58F51EE2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d、</w:t>
      </w:r>
      <w:r>
        <w:rPr>
          <w:rFonts w:ascii="仿宋" w:hAnsi="仿宋" w:eastAsia="仿宋"/>
          <w:sz w:val="24"/>
          <w:szCs w:val="24"/>
        </w:rPr>
        <w:t>采购成本固定：保险服务通过全市统一招标，保费总价固定，无额外增值服务加价支出。</w:t>
      </w:r>
    </w:p>
    <w:p w14:paraId="14558130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（二）</w:t>
      </w:r>
      <w:r>
        <w:rPr>
          <w:rFonts w:ascii="仿宋" w:hAnsi="仿宋" w:eastAsia="仿宋"/>
          <w:sz w:val="24"/>
          <w:szCs w:val="24"/>
        </w:rPr>
        <w:t>项目绩效目标</w:t>
      </w:r>
    </w:p>
    <w:p w14:paraId="164147E5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</w:t>
      </w:r>
      <w:r>
        <w:rPr>
          <w:rFonts w:ascii="仿宋" w:hAnsi="仿宋" w:eastAsia="仿宋"/>
          <w:sz w:val="24"/>
          <w:szCs w:val="24"/>
        </w:rPr>
        <w:t>项目主要内容。</w:t>
      </w:r>
    </w:p>
    <w:p w14:paraId="4AA9C62F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  <w:lang w:bidi="ar"/>
        </w:rPr>
        <w:t xml:space="preserve">本项目为 </w:t>
      </w:r>
      <w:r>
        <w:rPr>
          <w:rFonts w:hint="eastAsia" w:ascii="仿宋" w:hAnsi="仿宋" w:eastAsia="仿宋"/>
          <w:sz w:val="24"/>
          <w:szCs w:val="24"/>
          <w:lang w:bidi="ar"/>
        </w:rPr>
        <w:t>2025</w:t>
      </w:r>
      <w:r>
        <w:rPr>
          <w:rFonts w:ascii="仿宋" w:hAnsi="仿宋" w:eastAsia="仿宋"/>
          <w:sz w:val="24"/>
          <w:szCs w:val="24"/>
          <w:lang w:bidi="ar"/>
        </w:rPr>
        <w:t xml:space="preserve"> 年度校方责任险专项，严格依据《校园安全条例》及省级财政教育专项资金管理办法实施，项目核心工作为完成全校 </w:t>
      </w:r>
      <w:r>
        <w:rPr>
          <w:rFonts w:hint="eastAsia" w:ascii="仿宋" w:hAnsi="仿宋" w:eastAsia="仿宋"/>
          <w:sz w:val="24"/>
          <w:szCs w:val="24"/>
          <w:lang w:bidi="ar"/>
        </w:rPr>
        <w:t>4531</w:t>
      </w:r>
      <w:r>
        <w:rPr>
          <w:rFonts w:ascii="仿宋" w:hAnsi="仿宋" w:eastAsia="仿宋"/>
          <w:sz w:val="24"/>
          <w:szCs w:val="24"/>
          <w:lang w:bidi="ar"/>
        </w:rPr>
        <w:t>名在校学生校方责任险统一投保，保险保障覆盖校内课堂教学、课间活动、体育实训、校外实习、校园集体活动等全场景学生人身伤害风险；同步配套出险报案、资料收集、对接保险公司理赔、安全风险台账建立、校园安全宣教等配套工作，通过财政资金统一支付保险保费，转嫁校园安全责任风险，妥善处置学生意外伤害纠纷，筑牢校园安全保障防线。</w:t>
      </w:r>
    </w:p>
    <w:p w14:paraId="4D244E02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2.</w:t>
      </w:r>
      <w:r>
        <w:rPr>
          <w:rFonts w:ascii="仿宋" w:hAnsi="仿宋" w:eastAsia="仿宋"/>
          <w:sz w:val="24"/>
          <w:szCs w:val="24"/>
        </w:rPr>
        <w:t>项目应实现的具体绩效目标,包括目标的量化、细化情况以及项目实施进度计划等。</w:t>
      </w:r>
    </w:p>
    <w:p w14:paraId="5F00A344">
      <w:pPr>
        <w:pStyle w:val="2"/>
        <w:spacing w:beforeAutospacing="0" w:afterAutospacing="0"/>
        <w:ind w:left="280" w:right="280" w:firstLine="480"/>
        <w:rPr>
          <w:rFonts w:hint="default" w:ascii="仿宋" w:hAnsi="仿宋" w:eastAsia="仿宋"/>
          <w:b w:val="0"/>
        </w:rPr>
      </w:pPr>
      <w:r>
        <w:rPr>
          <w:rFonts w:ascii="仿宋" w:hAnsi="仿宋" w:eastAsia="仿宋"/>
          <w:b w:val="0"/>
        </w:rPr>
        <w:t>（1）量化细化绩效目标</w:t>
      </w:r>
    </w:p>
    <w:p w14:paraId="320DF69C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lang w:bidi="ar"/>
        </w:rPr>
      </w:pPr>
      <w:r>
        <w:rPr>
          <w:rFonts w:hint="eastAsia" w:ascii="仿宋" w:hAnsi="仿宋" w:eastAsia="仿宋"/>
          <w:sz w:val="24"/>
          <w:szCs w:val="24"/>
          <w:lang w:bidi="ar"/>
        </w:rPr>
        <w:t>a</w:t>
      </w:r>
      <w:r>
        <w:rPr>
          <w:rFonts w:ascii="仿宋" w:hAnsi="仿宋" w:eastAsia="仿宋"/>
          <w:sz w:val="24"/>
          <w:szCs w:val="24"/>
          <w:lang w:bidi="ar"/>
        </w:rPr>
        <w:t xml:space="preserve">数量指标：在校  </w:t>
      </w:r>
      <w:r>
        <w:rPr>
          <w:rFonts w:hint="eastAsia" w:ascii="仿宋" w:hAnsi="仿宋" w:eastAsia="仿宋"/>
          <w:sz w:val="24"/>
          <w:szCs w:val="24"/>
          <w:lang w:bidi="ar"/>
        </w:rPr>
        <w:t>4531</w:t>
      </w:r>
      <w:r>
        <w:rPr>
          <w:rFonts w:ascii="仿宋" w:hAnsi="仿宋" w:eastAsia="仿宋"/>
          <w:sz w:val="24"/>
          <w:szCs w:val="24"/>
          <w:lang w:bidi="ar"/>
        </w:rPr>
        <w:t xml:space="preserve"> 名学生投保覆盖率 100%，做到应保尽保，无漏保、脱保学生； </w:t>
      </w:r>
    </w:p>
    <w:p w14:paraId="53F9D92A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lang w:bidi="ar"/>
        </w:rPr>
      </w:pPr>
      <w:r>
        <w:rPr>
          <w:rFonts w:hint="eastAsia" w:ascii="仿宋" w:hAnsi="仿宋" w:eastAsia="仿宋"/>
          <w:sz w:val="24"/>
          <w:szCs w:val="24"/>
          <w:lang w:bidi="ar"/>
        </w:rPr>
        <w:t>b</w:t>
      </w:r>
      <w:r>
        <w:rPr>
          <w:rFonts w:ascii="仿宋" w:hAnsi="仿宋" w:eastAsia="仿宋"/>
          <w:sz w:val="24"/>
          <w:szCs w:val="24"/>
          <w:lang w:bidi="ar"/>
        </w:rPr>
        <w:t xml:space="preserve">质量指标：保险条款覆盖全部校园活动风险，无免责疏漏；保费支付标准严格执行生均 </w:t>
      </w:r>
      <w:r>
        <w:rPr>
          <w:rFonts w:hint="eastAsia" w:ascii="仿宋" w:hAnsi="仿宋" w:eastAsia="仿宋"/>
          <w:sz w:val="24"/>
          <w:szCs w:val="24"/>
          <w:lang w:bidi="ar"/>
        </w:rPr>
        <w:t>19</w:t>
      </w:r>
      <w:r>
        <w:rPr>
          <w:rFonts w:ascii="仿宋" w:hAnsi="仿宋" w:eastAsia="仿宋"/>
          <w:sz w:val="24"/>
          <w:szCs w:val="24"/>
          <w:lang w:bidi="ar"/>
        </w:rPr>
        <w:t xml:space="preserve"> 元 / 年标准，资金使用合规率 100%；理赔资料齐全后理赔响应时限控制在 5 个工作日内； </w:t>
      </w:r>
    </w:p>
    <w:p w14:paraId="6B5C0AD0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lang w:bidi="ar"/>
        </w:rPr>
      </w:pPr>
      <w:r>
        <w:rPr>
          <w:rFonts w:hint="eastAsia" w:ascii="仿宋" w:hAnsi="仿宋" w:eastAsia="仿宋"/>
          <w:sz w:val="24"/>
          <w:szCs w:val="24"/>
          <w:lang w:bidi="ar"/>
        </w:rPr>
        <w:t>c</w:t>
      </w:r>
      <w:r>
        <w:rPr>
          <w:rFonts w:ascii="仿宋" w:hAnsi="仿宋" w:eastAsia="仿宋"/>
          <w:sz w:val="24"/>
          <w:szCs w:val="24"/>
          <w:lang w:bidi="ar"/>
        </w:rPr>
        <w:t>时效指标：</w:t>
      </w:r>
      <w:r>
        <w:rPr>
          <w:rFonts w:hint="eastAsia" w:ascii="仿宋" w:hAnsi="仿宋" w:eastAsia="仿宋"/>
          <w:sz w:val="24"/>
          <w:szCs w:val="24"/>
          <w:lang w:bidi="ar"/>
        </w:rPr>
        <w:t>2025</w:t>
      </w:r>
      <w:r>
        <w:rPr>
          <w:rFonts w:ascii="仿宋" w:hAnsi="仿宋" w:eastAsia="仿宋"/>
          <w:sz w:val="24"/>
          <w:szCs w:val="24"/>
          <w:lang w:bidi="ar"/>
        </w:rPr>
        <w:t xml:space="preserve"> 年 9 月 1 日前完成全部学生投保、保单生效；全年出险案件按流程及时处置结案； </w:t>
      </w:r>
      <w:r>
        <w:rPr>
          <w:rFonts w:ascii="仿宋" w:hAnsi="仿宋" w:eastAsia="仿宋"/>
          <w:sz w:val="24"/>
          <w:szCs w:val="24"/>
          <w:lang w:bidi="ar"/>
        </w:rPr>
        <w:br w:type="textWrapping"/>
      </w:r>
      <w:r>
        <w:rPr>
          <w:rFonts w:hint="eastAsia" w:ascii="仿宋" w:hAnsi="仿宋" w:eastAsia="仿宋"/>
          <w:sz w:val="24"/>
          <w:szCs w:val="24"/>
          <w:lang w:bidi="ar"/>
        </w:rPr>
        <w:t xml:space="preserve">    d</w:t>
      </w:r>
      <w:r>
        <w:rPr>
          <w:rFonts w:ascii="仿宋" w:hAnsi="仿宋" w:eastAsia="仿宋"/>
          <w:sz w:val="24"/>
          <w:szCs w:val="24"/>
          <w:lang w:bidi="ar"/>
        </w:rPr>
        <w:t>成本指标：项目总预算</w:t>
      </w:r>
      <w:r>
        <w:rPr>
          <w:rFonts w:ascii="仿宋" w:hAnsi="仿宋" w:eastAsia="仿宋"/>
          <w:color w:val="FF0000"/>
          <w:sz w:val="24"/>
          <w:szCs w:val="24"/>
          <w:lang w:bidi="ar"/>
        </w:rPr>
        <w:t xml:space="preserve"> </w:t>
      </w:r>
      <w:r>
        <w:rPr>
          <w:rFonts w:hint="eastAsia" w:ascii="仿宋" w:hAnsi="仿宋" w:eastAsia="仿宋"/>
          <w:sz w:val="24"/>
          <w:szCs w:val="24"/>
          <w:lang w:bidi="ar"/>
        </w:rPr>
        <w:t>7.01</w:t>
      </w:r>
      <w:r>
        <w:rPr>
          <w:rFonts w:ascii="仿宋" w:hAnsi="仿宋" w:eastAsia="仿宋"/>
          <w:color w:val="FF0000"/>
          <w:sz w:val="24"/>
          <w:szCs w:val="24"/>
          <w:lang w:bidi="ar"/>
        </w:rPr>
        <w:t xml:space="preserve"> </w:t>
      </w:r>
      <w:r>
        <w:rPr>
          <w:rFonts w:ascii="仿宋" w:hAnsi="仿宋" w:eastAsia="仿宋"/>
          <w:sz w:val="24"/>
          <w:szCs w:val="24"/>
          <w:lang w:bidi="ar"/>
        </w:rPr>
        <w:t>万元，</w:t>
      </w:r>
      <w:bookmarkStart w:id="1" w:name="OLE_LINK14"/>
      <w:bookmarkStart w:id="2" w:name="OLE_LINK13"/>
      <w:r>
        <w:rPr>
          <w:rFonts w:ascii="仿宋" w:hAnsi="仿宋" w:eastAsia="仿宋"/>
          <w:sz w:val="24"/>
          <w:szCs w:val="24"/>
          <w:lang w:bidi="ar"/>
        </w:rPr>
        <w:t>严格控制预算总额</w:t>
      </w:r>
      <w:r>
        <w:rPr>
          <w:rFonts w:hint="eastAsia" w:ascii="仿宋" w:hAnsi="仿宋" w:eastAsia="仿宋"/>
          <w:sz w:val="24"/>
          <w:szCs w:val="24"/>
          <w:lang w:bidi="ar"/>
        </w:rPr>
        <w:t>,但因预算做完后，保费标准由做预算时的15元</w:t>
      </w:r>
      <w:bookmarkStart w:id="3" w:name="OLE_LINK12"/>
      <w:r>
        <w:rPr>
          <w:rFonts w:hint="eastAsia" w:ascii="仿宋" w:hAnsi="仿宋" w:eastAsia="仿宋"/>
          <w:sz w:val="24"/>
          <w:szCs w:val="24"/>
          <w:lang w:bidi="ar"/>
        </w:rPr>
        <w:t>/人/年</w:t>
      </w:r>
      <w:bookmarkEnd w:id="3"/>
      <w:r>
        <w:rPr>
          <w:rFonts w:hint="eastAsia" w:ascii="仿宋" w:hAnsi="仿宋" w:eastAsia="仿宋"/>
          <w:sz w:val="24"/>
          <w:szCs w:val="24"/>
          <w:lang w:bidi="ar"/>
        </w:rPr>
        <w:t>上涨至19元/人/年</w:t>
      </w:r>
      <w:r>
        <w:rPr>
          <w:rFonts w:ascii="仿宋" w:hAnsi="仿宋" w:eastAsia="仿宋"/>
          <w:sz w:val="24"/>
          <w:szCs w:val="24"/>
          <w:lang w:bidi="ar"/>
        </w:rPr>
        <w:t>，超出年初预算，支付时超出部分使用公用经费支出</w:t>
      </w:r>
      <w:bookmarkEnd w:id="1"/>
      <w:bookmarkEnd w:id="2"/>
      <w:r>
        <w:rPr>
          <w:rFonts w:ascii="仿宋" w:hAnsi="仿宋" w:eastAsia="仿宋"/>
          <w:sz w:val="24"/>
          <w:szCs w:val="24"/>
          <w:lang w:bidi="ar"/>
        </w:rPr>
        <w:t xml:space="preserve">； </w:t>
      </w:r>
    </w:p>
    <w:p w14:paraId="65162C8D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bidi="ar"/>
        </w:rPr>
        <w:t>e</w:t>
      </w:r>
      <w:r>
        <w:rPr>
          <w:rFonts w:ascii="仿宋" w:hAnsi="仿宋" w:eastAsia="仿宋"/>
          <w:sz w:val="24"/>
          <w:szCs w:val="24"/>
          <w:lang w:bidi="ar"/>
        </w:rPr>
        <w:t>满意度指标：师生、家长对校方责任险保障服务满意度≥90%。</w:t>
      </w:r>
    </w:p>
    <w:p w14:paraId="7ED1CE5D">
      <w:pPr>
        <w:pStyle w:val="2"/>
        <w:spacing w:beforeAutospacing="0" w:afterAutospacing="0"/>
        <w:ind w:left="280" w:right="280" w:firstLine="480"/>
        <w:rPr>
          <w:rFonts w:hint="default" w:ascii="仿宋" w:hAnsi="仿宋" w:eastAsia="仿宋"/>
          <w:b w:val="0"/>
        </w:rPr>
      </w:pPr>
      <w:r>
        <w:rPr>
          <w:rFonts w:ascii="仿宋" w:hAnsi="仿宋" w:eastAsia="仿宋"/>
          <w:b w:val="0"/>
        </w:rPr>
        <w:t>（2）项目实施进度计划</w:t>
      </w:r>
    </w:p>
    <w:p w14:paraId="6A6E9819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  <w:lang w:bidi="ar"/>
        </w:rPr>
        <w:t>①</w:t>
      </w:r>
      <w:r>
        <w:rPr>
          <w:rFonts w:hint="eastAsia" w:ascii="仿宋" w:hAnsi="仿宋" w:eastAsia="仿宋"/>
          <w:sz w:val="24"/>
          <w:szCs w:val="24"/>
          <w:lang w:bidi="ar"/>
        </w:rPr>
        <w:t>2025</w:t>
      </w:r>
      <w:r>
        <w:rPr>
          <w:rFonts w:ascii="仿宋" w:hAnsi="仿宋" w:eastAsia="仿宋"/>
          <w:sz w:val="24"/>
          <w:szCs w:val="24"/>
          <w:lang w:bidi="ar"/>
        </w:rPr>
        <w:t xml:space="preserve"> 年 5 月：统计全校在校生学籍名单，完成项目预算申报，对接市教育局、财政局完成资金审批； ②</w:t>
      </w:r>
      <w:r>
        <w:rPr>
          <w:rFonts w:hint="eastAsia" w:ascii="仿宋" w:hAnsi="仿宋" w:eastAsia="仿宋"/>
          <w:sz w:val="24"/>
          <w:szCs w:val="24"/>
          <w:lang w:bidi="ar"/>
        </w:rPr>
        <w:t>2025</w:t>
      </w:r>
      <w:r>
        <w:rPr>
          <w:rFonts w:ascii="仿宋" w:hAnsi="仿宋" w:eastAsia="仿宋"/>
          <w:sz w:val="24"/>
          <w:szCs w:val="24"/>
          <w:lang w:bidi="ar"/>
        </w:rPr>
        <w:t xml:space="preserve"> 年 6 月：市级财政资金全额下达，通过政府采购平台公开招标承保保险公司，确定合作机构； ③</w:t>
      </w:r>
      <w:r>
        <w:rPr>
          <w:rFonts w:hint="eastAsia" w:ascii="仿宋" w:hAnsi="仿宋" w:eastAsia="仿宋"/>
          <w:sz w:val="24"/>
          <w:szCs w:val="24"/>
          <w:lang w:bidi="ar"/>
        </w:rPr>
        <w:t>2025</w:t>
      </w:r>
      <w:r>
        <w:rPr>
          <w:rFonts w:ascii="仿宋" w:hAnsi="仿宋" w:eastAsia="仿宋"/>
          <w:sz w:val="24"/>
          <w:szCs w:val="24"/>
          <w:lang w:bidi="ar"/>
        </w:rPr>
        <w:t xml:space="preserve"> 年 8 月：核对新生、转学生人员信息，完成全部学生投保名单汇总公示，签订保险合同，完成保费支付； ④</w:t>
      </w:r>
      <w:r>
        <w:rPr>
          <w:rFonts w:hint="eastAsia" w:ascii="仿宋" w:hAnsi="仿宋" w:eastAsia="仿宋"/>
          <w:sz w:val="24"/>
          <w:szCs w:val="24"/>
          <w:lang w:bidi="ar"/>
        </w:rPr>
        <w:t>2025</w:t>
      </w:r>
      <w:r>
        <w:rPr>
          <w:rFonts w:ascii="仿宋" w:hAnsi="仿宋" w:eastAsia="仿宋"/>
          <w:sz w:val="24"/>
          <w:szCs w:val="24"/>
          <w:lang w:bidi="ar"/>
        </w:rPr>
        <w:t xml:space="preserve"> 年 9 月 1 日前：保单正式生效，建立投保台账、理赔处置流程； ⑤</w:t>
      </w:r>
      <w:r>
        <w:rPr>
          <w:rFonts w:hint="eastAsia" w:ascii="仿宋" w:hAnsi="仿宋" w:eastAsia="仿宋"/>
          <w:sz w:val="24"/>
          <w:szCs w:val="24"/>
          <w:lang w:bidi="ar"/>
        </w:rPr>
        <w:t>2025</w:t>
      </w:r>
      <w:r>
        <w:rPr>
          <w:rFonts w:ascii="仿宋" w:hAnsi="仿宋" w:eastAsia="仿宋"/>
          <w:sz w:val="24"/>
          <w:szCs w:val="24"/>
          <w:lang w:bidi="ar"/>
        </w:rPr>
        <w:t xml:space="preserve"> 年 9 月 —12 月：常态化受理校园意外伤害报案，跟进理赔流程，建立年度风险台账，开展校园安全警示教育； ⑥</w:t>
      </w:r>
      <w:r>
        <w:rPr>
          <w:rFonts w:hint="eastAsia" w:ascii="仿宋" w:hAnsi="仿宋" w:eastAsia="仿宋"/>
          <w:sz w:val="24"/>
          <w:szCs w:val="24"/>
          <w:lang w:bidi="ar"/>
        </w:rPr>
        <w:t>2025</w:t>
      </w:r>
      <w:r>
        <w:rPr>
          <w:rFonts w:ascii="仿宋" w:hAnsi="仿宋" w:eastAsia="仿宋"/>
          <w:sz w:val="24"/>
          <w:szCs w:val="24"/>
          <w:lang w:bidi="ar"/>
        </w:rPr>
        <w:t xml:space="preserve"> 年 12 月底：全年项目资料归集、台账整理，开展项目自评。</w:t>
      </w:r>
    </w:p>
    <w:p w14:paraId="7A258C13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3.</w:t>
      </w:r>
      <w:r>
        <w:rPr>
          <w:rFonts w:ascii="仿宋" w:hAnsi="仿宋" w:eastAsia="仿宋"/>
          <w:sz w:val="24"/>
          <w:szCs w:val="24"/>
        </w:rPr>
        <w:t>分析评价申报内容是否与实际相符,申报目标是否合理可行</w:t>
      </w:r>
      <w:r>
        <w:rPr>
          <w:rFonts w:hint="eastAsia" w:ascii="仿宋" w:hAnsi="仿宋" w:eastAsia="仿宋"/>
          <w:sz w:val="24"/>
          <w:szCs w:val="24"/>
        </w:rPr>
        <w:t>。</w:t>
      </w:r>
    </w:p>
    <w:p w14:paraId="6EE00D5F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  <w:lang w:bidi="ar"/>
        </w:rPr>
        <w:t>项目绩效目标结合学校在校生规模、历年校园出险情况、市级统一投保政策制定，人员数量、保费标准、投保时限、理赔时效等指标贴合校安工作实际，资金测算、实施周期科学可行，可量化、可核查，能够全面衡量项目实施成效。</w:t>
      </w:r>
    </w:p>
    <w:p w14:paraId="6C6776B0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（三）</w:t>
      </w:r>
      <w:r>
        <w:rPr>
          <w:rFonts w:ascii="仿宋" w:hAnsi="仿宋" w:eastAsia="仿宋"/>
          <w:sz w:val="24"/>
          <w:szCs w:val="24"/>
        </w:rPr>
        <w:t>项目自评步骤及方法</w:t>
      </w:r>
    </w:p>
    <w:p w14:paraId="41BA2886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本次绩效自评严格遵循财政专项资金绩效评价科学公正、客观真实、有据可查、公开透明的原则，综合运用台账核查、凭证核验、问卷调研、现场核对、对比分析等方式开展评价，完整实施以下工作步骤：</w:t>
      </w:r>
    </w:p>
    <w:p w14:paraId="4C04AA55">
      <w:pPr>
        <w:pStyle w:val="12"/>
        <w:numPr>
          <w:ilvl w:val="0"/>
          <w:numId w:val="2"/>
        </w:numPr>
        <w:spacing w:line="240" w:lineRule="auto"/>
        <w:ind w:left="280" w:right="280" w:firstLine="200" w:firstLineChars="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组建自评工作小组：成立以校长为组长，分管安全副校长为副组长，校安办、财务室、年级组长、班主任代表为成员的绩效自评工作专班，明确各岗位资料收集、指标核对、问题梳理分工；</w:t>
      </w:r>
    </w:p>
    <w:p w14:paraId="04A3F167">
      <w:pPr>
        <w:pStyle w:val="12"/>
        <w:numPr>
          <w:ilvl w:val="0"/>
          <w:numId w:val="2"/>
        </w:numPr>
        <w:spacing w:line="240" w:lineRule="auto"/>
        <w:ind w:left="280" w:right="280" w:firstLine="200" w:firstLineChars="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政策学习与方案制定：组织专班人员系统学习校方责任险管理、财政绩效评价相关政策文件，结合本项目实际编制专项绩效自评工作方案，明确评价范围、评价指标、佐证材料清单、工作时限；</w:t>
      </w:r>
    </w:p>
    <w:p w14:paraId="57DAFF48">
      <w:pPr>
        <w:pStyle w:val="12"/>
        <w:numPr>
          <w:ilvl w:val="0"/>
          <w:numId w:val="2"/>
        </w:numPr>
        <w:spacing w:line="240" w:lineRule="auto"/>
        <w:ind w:left="280" w:right="280" w:firstLine="200" w:firstLineChars="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全面归集佐证资料：收集预算申报表、资金拨付凭证、保费支付票据、投保花名册、保险合同、出险登记台账、理赔卷宗、安全活动记录、家长满意度调查问卷等全套原始资料；</w:t>
      </w:r>
    </w:p>
    <w:p w14:paraId="6035DB0C">
      <w:pPr>
        <w:pStyle w:val="12"/>
        <w:numPr>
          <w:ilvl w:val="0"/>
          <w:numId w:val="2"/>
        </w:numPr>
        <w:spacing w:line="240" w:lineRule="auto"/>
        <w:ind w:left="280" w:right="280" w:firstLine="200" w:firstLineChars="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逐项对标量化打分：对照财政专项资金绩效评价指标表，分产出、成本、效益、满意度四大维度逐项核对实际完成数据，对照年初绩效目标客观打分，记录指标完成差异；</w:t>
      </w:r>
    </w:p>
    <w:p w14:paraId="24AB4ACB">
      <w:pPr>
        <w:pStyle w:val="12"/>
        <w:numPr>
          <w:ilvl w:val="0"/>
          <w:numId w:val="2"/>
        </w:numPr>
        <w:spacing w:line="240" w:lineRule="auto"/>
        <w:ind w:left="280" w:right="280" w:firstLine="200" w:firstLineChars="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梳理问题分析成因：针对未达标指标、管理薄弱环节梳理现存问题，结合业务流程、制度机制深挖问题产生根源；</w:t>
      </w:r>
    </w:p>
    <w:p w14:paraId="735E8927">
      <w:pPr>
        <w:pStyle w:val="12"/>
        <w:numPr>
          <w:ilvl w:val="0"/>
          <w:numId w:val="2"/>
        </w:numPr>
        <w:spacing w:line="240" w:lineRule="auto"/>
        <w:ind w:left="280" w:right="280" w:firstLine="200" w:firstLineChars="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撰写自评报告并归档：汇总项目实施成效、现存短板、整改措施，编制完整绩效自评报告，将自评方案、打分表、佐证材料、报告统一装订归档，以备上级主管部门复核检查。</w:t>
      </w:r>
    </w:p>
    <w:p w14:paraId="53068D90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二、</w:t>
      </w:r>
      <w:bookmarkStart w:id="4" w:name="OLE_LINK15"/>
      <w:r>
        <w:rPr>
          <w:rFonts w:ascii="仿宋" w:hAnsi="仿宋" w:eastAsia="仿宋"/>
          <w:sz w:val="24"/>
          <w:szCs w:val="24"/>
        </w:rPr>
        <w:t>项目资金申报及使用情况</w:t>
      </w:r>
      <w:bookmarkEnd w:id="4"/>
    </w:p>
    <w:p w14:paraId="39047BE3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（一）</w:t>
      </w:r>
      <w:r>
        <w:rPr>
          <w:rFonts w:ascii="仿宋" w:hAnsi="仿宋" w:eastAsia="仿宋"/>
          <w:sz w:val="24"/>
          <w:szCs w:val="24"/>
        </w:rPr>
        <w:t>项目资金申报及批复情况</w:t>
      </w:r>
    </w:p>
    <w:p w14:paraId="0799B499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bookmarkStart w:id="5" w:name="OLE_LINK38"/>
      <w:bookmarkStart w:id="6" w:name="OLE_LINK37"/>
      <w:r>
        <w:rPr>
          <w:rFonts w:hint="eastAsia" w:ascii="仿宋" w:hAnsi="仿宋" w:eastAsia="仿宋"/>
          <w:sz w:val="24"/>
          <w:szCs w:val="24"/>
        </w:rPr>
        <w:t>年初在预算中进行申报，后财政下达指标，资金全部用于申报内容，无擅自变更用途情况。</w:t>
      </w:r>
      <w:bookmarkEnd w:id="5"/>
      <w:bookmarkEnd w:id="6"/>
    </w:p>
    <w:p w14:paraId="5B0B1E81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（二）</w:t>
      </w:r>
      <w:r>
        <w:rPr>
          <w:rFonts w:ascii="仿宋" w:hAnsi="仿宋" w:eastAsia="仿宋"/>
          <w:sz w:val="24"/>
          <w:szCs w:val="24"/>
        </w:rPr>
        <w:t>资金计划、到位及使用情况(可用表格形式反映)</w:t>
      </w:r>
    </w:p>
    <w:p w14:paraId="73908BE5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bookmarkStart w:id="7" w:name="OLE_LINK39"/>
      <w:r>
        <w:rPr>
          <w:rFonts w:hint="eastAsia" w:ascii="仿宋" w:hAnsi="仿宋" w:eastAsia="仿宋"/>
          <w:sz w:val="24"/>
          <w:szCs w:val="24"/>
        </w:rPr>
        <w:t>1.资金计划。</w:t>
      </w:r>
      <w:bookmarkStart w:id="8" w:name="OLE_LINK40"/>
      <w:r>
        <w:rPr>
          <w:rFonts w:hint="eastAsia" w:ascii="仿宋" w:hAnsi="仿宋" w:eastAsia="仿宋"/>
          <w:sz w:val="24"/>
          <w:szCs w:val="24"/>
        </w:rPr>
        <w:t>为</w:t>
      </w:r>
      <w:bookmarkStart w:id="9" w:name="OLE_LINK2"/>
      <w:r>
        <w:rPr>
          <w:rFonts w:hint="eastAsia" w:ascii="仿宋" w:hAnsi="仿宋" w:eastAsia="仿宋"/>
          <w:sz w:val="24"/>
          <w:szCs w:val="24"/>
        </w:rPr>
        <w:t>市级</w:t>
      </w:r>
      <w:bookmarkEnd w:id="9"/>
      <w:bookmarkStart w:id="10" w:name="OLE_LINK18"/>
      <w:r>
        <w:rPr>
          <w:rFonts w:hint="eastAsia" w:ascii="仿宋" w:hAnsi="仿宋" w:eastAsia="仿宋"/>
          <w:sz w:val="24"/>
          <w:szCs w:val="24"/>
        </w:rPr>
        <w:t>一般公共预算资金</w:t>
      </w:r>
      <w:r>
        <w:rPr>
          <w:rFonts w:ascii="仿宋" w:hAnsi="仿宋" w:eastAsia="仿宋"/>
          <w:sz w:val="24"/>
          <w:szCs w:val="24"/>
        </w:rPr>
        <w:t>(经费拨款)</w:t>
      </w:r>
      <w:r>
        <w:rPr>
          <w:rFonts w:hint="eastAsia" w:ascii="仿宋" w:hAnsi="仿宋" w:eastAsia="仿宋"/>
          <w:sz w:val="24"/>
          <w:szCs w:val="24"/>
        </w:rPr>
        <w:t>，</w:t>
      </w:r>
      <w:bookmarkEnd w:id="10"/>
      <w:r>
        <w:rPr>
          <w:rFonts w:hint="eastAsia" w:ascii="仿宋" w:hAnsi="仿宋" w:eastAsia="仿宋"/>
          <w:sz w:val="24"/>
          <w:szCs w:val="24"/>
        </w:rPr>
        <w:t>无中央、省财政资金，无单位自筹、其他渠道资金。</w:t>
      </w:r>
      <w:bookmarkEnd w:id="8"/>
    </w:p>
    <w:p w14:paraId="2B7E710D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2.资金到位。</w:t>
      </w:r>
      <w:bookmarkStart w:id="11" w:name="OLE_LINK41"/>
      <w:r>
        <w:rPr>
          <w:rFonts w:hint="eastAsia" w:ascii="仿宋" w:hAnsi="仿宋" w:eastAsia="仿宋"/>
          <w:sz w:val="24"/>
          <w:szCs w:val="24"/>
        </w:rPr>
        <w:t>截</w:t>
      </w:r>
      <w:r>
        <w:rPr>
          <w:rFonts w:hint="eastAsia" w:ascii="仿宋" w:hAnsi="仿宋" w:eastAsia="仿宋"/>
          <w:sz w:val="24"/>
          <w:szCs w:val="24"/>
          <w:lang w:eastAsia="zh-CN"/>
        </w:rPr>
        <w:t>至</w:t>
      </w:r>
      <w:r>
        <w:rPr>
          <w:rFonts w:hint="eastAsia" w:ascii="仿宋" w:hAnsi="仿宋" w:eastAsia="仿宋"/>
          <w:sz w:val="24"/>
          <w:szCs w:val="24"/>
        </w:rPr>
        <w:t>评价时点2025年12月31日，项目资金7.01万元，全部为一般公共预算资金(经费拨款)，与资金计划一致，资金到位率100%。资金指标在项目实施之前下达，到位及时。</w:t>
      </w:r>
      <w:bookmarkEnd w:id="11"/>
    </w:p>
    <w:p w14:paraId="50E9E855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3.资金使用。</w:t>
      </w:r>
      <w:bookmarkStart w:id="12" w:name="OLE_LINK44"/>
      <w:bookmarkStart w:id="13" w:name="OLE_LINK42"/>
      <w:bookmarkStart w:id="14" w:name="OLE_LINK43"/>
      <w:r>
        <w:rPr>
          <w:rFonts w:hint="eastAsia" w:ascii="仿宋" w:hAnsi="仿宋" w:eastAsia="仿宋"/>
          <w:sz w:val="24"/>
          <w:szCs w:val="24"/>
        </w:rPr>
        <w:t>截</w:t>
      </w:r>
      <w:bookmarkStart w:id="15" w:name="OLE_LINK5"/>
      <w:bookmarkStart w:id="16" w:name="OLE_LINK4"/>
      <w:r>
        <w:rPr>
          <w:rFonts w:hint="eastAsia" w:ascii="仿宋" w:hAnsi="仿宋" w:eastAsia="仿宋"/>
          <w:sz w:val="24"/>
          <w:szCs w:val="24"/>
          <w:lang w:eastAsia="zh-CN"/>
        </w:rPr>
        <w:t>至</w:t>
      </w:r>
      <w:r>
        <w:rPr>
          <w:rFonts w:hint="eastAsia" w:ascii="仿宋" w:hAnsi="仿宋" w:eastAsia="仿宋"/>
          <w:sz w:val="24"/>
          <w:szCs w:val="24"/>
        </w:rPr>
        <w:t>评价时点</w:t>
      </w:r>
      <w:bookmarkEnd w:id="15"/>
      <w:bookmarkEnd w:id="16"/>
      <w:r>
        <w:rPr>
          <w:rFonts w:hint="eastAsia" w:ascii="仿宋" w:hAnsi="仿宋" w:eastAsia="仿宋"/>
          <w:sz w:val="24"/>
          <w:szCs w:val="24"/>
        </w:rPr>
        <w:t>（2025年12月31日），该项目资金支出8.6089万元，用于支付给保险公司，资金执行率100%，资金使用安全、合规、有效，包括资金支付范围合规、支付标准严格，支付依据充分。项目资金无结余，资金执行率达到100%。</w:t>
      </w:r>
      <w:bookmarkEnd w:id="7"/>
      <w:bookmarkEnd w:id="12"/>
      <w:bookmarkEnd w:id="13"/>
      <w:bookmarkEnd w:id="14"/>
    </w:p>
    <w:p w14:paraId="5D5AC4A4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（三）</w:t>
      </w:r>
      <w:r>
        <w:rPr>
          <w:rFonts w:ascii="仿宋" w:hAnsi="仿宋" w:eastAsia="仿宋"/>
          <w:sz w:val="24"/>
          <w:szCs w:val="24"/>
        </w:rPr>
        <w:t>项目财务管理情况</w:t>
      </w:r>
    </w:p>
    <w:p w14:paraId="58740605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bookmarkStart w:id="17" w:name="OLE_LINK46"/>
      <w:bookmarkStart w:id="18" w:name="OLE_LINK45"/>
      <w:r>
        <w:rPr>
          <w:rFonts w:hint="eastAsia" w:ascii="仿宋" w:hAnsi="仿宋" w:eastAsia="仿宋"/>
          <w:sz w:val="24"/>
          <w:szCs w:val="24"/>
        </w:rPr>
        <w:t>学校财务管理制度健全，并严格执行《中小学校财务制度》及内部《财务管理制度》；账务处理及时，每笔收支当日入账，确保账实相符；会计核算规范，支出按政府收支分类功能分类科目和经济分类科目进行明细核算，科目使用准确。</w:t>
      </w:r>
      <w:bookmarkEnd w:id="17"/>
      <w:bookmarkEnd w:id="18"/>
    </w:p>
    <w:p w14:paraId="4DE44AA1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三、</w:t>
      </w:r>
      <w:r>
        <w:rPr>
          <w:rFonts w:ascii="仿宋" w:hAnsi="仿宋" w:eastAsia="仿宋"/>
          <w:sz w:val="24"/>
          <w:szCs w:val="24"/>
        </w:rPr>
        <w:t>项目实施及管理情况</w:t>
      </w:r>
    </w:p>
    <w:p w14:paraId="0FA85EBE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bookmarkStart w:id="19" w:name="OLE_LINK47"/>
      <w:bookmarkStart w:id="20" w:name="OLE_LINK48"/>
      <w:bookmarkStart w:id="21" w:name="OLE_LINK8"/>
      <w:r>
        <w:rPr>
          <w:rFonts w:ascii="仿宋" w:hAnsi="仿宋" w:eastAsia="仿宋"/>
          <w:sz w:val="24"/>
          <w:szCs w:val="24"/>
          <w:lang w:bidi="ar"/>
        </w:rPr>
        <w:t>本项目严格对照《中小学校公用经费管理办法》《怀化市市直单位财务制度》及市级教育专项资金管理相关规定组织实施，建立 “教育局统筹、校安部门落实、财务审核、全程监督” 管理体系，结合项目实施全流程开展综合评价，针对自评发</w:t>
      </w:r>
      <w:bookmarkStart w:id="24" w:name="_GoBack"/>
      <w:bookmarkEnd w:id="24"/>
      <w:r>
        <w:rPr>
          <w:rFonts w:ascii="仿宋" w:hAnsi="仿宋" w:eastAsia="仿宋"/>
          <w:sz w:val="24"/>
          <w:szCs w:val="24"/>
          <w:lang w:bidi="ar"/>
        </w:rPr>
        <w:t>现的实施短板同步分析问题成因。</w:t>
      </w:r>
      <w:bookmarkEnd w:id="19"/>
      <w:bookmarkEnd w:id="20"/>
    </w:p>
    <w:bookmarkEnd w:id="21"/>
    <w:p w14:paraId="63DFDE70">
      <w:pPr>
        <w:pStyle w:val="12"/>
        <w:numPr>
          <w:ilvl w:val="0"/>
          <w:numId w:val="3"/>
        </w:numPr>
        <w:spacing w:line="240" w:lineRule="auto"/>
        <w:ind w:right="280"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项目组织架构及实施流程</w:t>
      </w:r>
    </w:p>
    <w:p w14:paraId="324FCFE5">
      <w:pPr>
        <w:pStyle w:val="2"/>
        <w:spacing w:beforeAutospacing="0" w:afterAutospacing="0"/>
        <w:ind w:left="280" w:right="280" w:firstLine="480"/>
        <w:rPr>
          <w:rFonts w:hint="default" w:ascii="仿宋" w:hAnsi="仿宋" w:eastAsia="仿宋"/>
          <w:b w:val="0"/>
        </w:rPr>
      </w:pPr>
      <w:r>
        <w:rPr>
          <w:rFonts w:ascii="仿宋" w:hAnsi="仿宋" w:eastAsia="仿宋"/>
          <w:b w:val="0"/>
        </w:rPr>
        <w:t>1. 项目组织架构</w:t>
      </w:r>
    </w:p>
    <w:p w14:paraId="753BC0F4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lang w:bidi="ar"/>
        </w:rPr>
      </w:pPr>
      <w:r>
        <w:rPr>
          <w:rFonts w:ascii="仿宋" w:hAnsi="仿宋" w:eastAsia="仿宋"/>
          <w:sz w:val="24"/>
          <w:szCs w:val="24"/>
          <w:lang w:bidi="ar"/>
        </w:rPr>
        <w:t>1）主管单位：怀化市教育局。统筹全市校方责任险政策制定、资金分配、投保标准设定，统筹招标采购、季度专项督查、年度绩效评估工作，对项目实施全过程监督指导</w:t>
      </w:r>
    </w:p>
    <w:p w14:paraId="0D8C4193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lang w:bidi="ar"/>
        </w:rPr>
      </w:pPr>
      <w:r>
        <w:rPr>
          <w:rFonts w:ascii="仿宋" w:hAnsi="仿宋" w:eastAsia="仿宋"/>
          <w:sz w:val="24"/>
          <w:szCs w:val="24"/>
          <w:lang w:bidi="ar"/>
        </w:rPr>
        <w:t>2）校内实施部门：校安部门为项目执行主体，负责学生信息统计、投保名单核对、出险处置、理赔对接、安全宣教、台账资料归档；</w:t>
      </w:r>
    </w:p>
    <w:p w14:paraId="32AFDDDE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lang w:bidi="ar"/>
        </w:rPr>
      </w:pPr>
      <w:r>
        <w:rPr>
          <w:rFonts w:ascii="仿宋" w:hAnsi="仿宋" w:eastAsia="仿宋"/>
          <w:sz w:val="24"/>
          <w:szCs w:val="24"/>
          <w:lang w:bidi="ar"/>
        </w:rPr>
        <w:t xml:space="preserve">3）协同部门：学校财务部门负责保费资金核算、支付审批、账务归档；各班级班主任负责摸排学生异动信息，同步更新参保名单； </w:t>
      </w:r>
    </w:p>
    <w:p w14:paraId="4316B50D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  <w:lang w:bidi="ar"/>
        </w:rPr>
        <w:t>4）第三方机构：中标承保保险公司，负责保单出具、事故勘查、理赔核算、赔付打款，配合学校开展风险防控培训。</w:t>
      </w:r>
    </w:p>
    <w:p w14:paraId="18D0ADFC">
      <w:pPr>
        <w:pStyle w:val="2"/>
        <w:spacing w:beforeAutospacing="0" w:afterAutospacing="0"/>
        <w:ind w:left="280" w:right="280" w:firstLine="480"/>
        <w:rPr>
          <w:rFonts w:hint="default" w:ascii="仿宋" w:hAnsi="仿宋" w:eastAsia="仿宋"/>
          <w:b w:val="0"/>
        </w:rPr>
      </w:pPr>
      <w:r>
        <w:rPr>
          <w:rFonts w:ascii="仿宋" w:hAnsi="仿宋" w:eastAsia="仿宋"/>
          <w:b w:val="0"/>
        </w:rPr>
        <w:t>2. 项目实施全流程</w:t>
      </w:r>
    </w:p>
    <w:p w14:paraId="3291CEF8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  <w:lang w:bidi="ar"/>
        </w:rPr>
        <w:t xml:space="preserve">第一步：方案制定与预算申报。市教育局统一发布年度校方责任险投保工作方案，校安部门统计全校 </w:t>
      </w:r>
      <w:r>
        <w:rPr>
          <w:rFonts w:hint="eastAsia" w:ascii="仿宋" w:hAnsi="仿宋" w:eastAsia="仿宋"/>
          <w:sz w:val="24"/>
          <w:szCs w:val="24"/>
          <w:lang w:bidi="ar"/>
        </w:rPr>
        <w:t>4531</w:t>
      </w:r>
      <w:r>
        <w:rPr>
          <w:rFonts w:ascii="仿宋" w:hAnsi="仿宋" w:eastAsia="仿宋"/>
          <w:sz w:val="24"/>
          <w:szCs w:val="24"/>
          <w:lang w:bidi="ar"/>
        </w:rPr>
        <w:t xml:space="preserve"> 名在校生数据，按生均 1</w:t>
      </w:r>
      <w:r>
        <w:rPr>
          <w:rFonts w:hint="eastAsia" w:ascii="仿宋" w:hAnsi="仿宋" w:eastAsia="仿宋"/>
          <w:sz w:val="24"/>
          <w:szCs w:val="24"/>
          <w:lang w:bidi="ar"/>
        </w:rPr>
        <w:t>9</w:t>
      </w:r>
      <w:r>
        <w:rPr>
          <w:rFonts w:ascii="仿宋" w:hAnsi="仿宋" w:eastAsia="仿宋"/>
          <w:sz w:val="24"/>
          <w:szCs w:val="24"/>
          <w:lang w:bidi="ar"/>
        </w:rPr>
        <w:t xml:space="preserve"> 元标准测算保费，编制项目预算上报教育局、财政局审批； 第二步：财政资金下达与公开招标。</w:t>
      </w:r>
      <w:r>
        <w:rPr>
          <w:rFonts w:hint="eastAsia" w:ascii="仿宋" w:hAnsi="仿宋" w:eastAsia="仿宋"/>
          <w:sz w:val="24"/>
          <w:szCs w:val="24"/>
          <w:lang w:bidi="ar"/>
        </w:rPr>
        <w:t>2025</w:t>
      </w:r>
      <w:r>
        <w:rPr>
          <w:rFonts w:ascii="仿宋" w:hAnsi="仿宋" w:eastAsia="仿宋"/>
          <w:sz w:val="24"/>
          <w:szCs w:val="24"/>
          <w:lang w:bidi="ar"/>
        </w:rPr>
        <w:t xml:space="preserve"> 年 </w:t>
      </w:r>
      <w:r>
        <w:rPr>
          <w:rFonts w:hint="eastAsia" w:ascii="仿宋" w:hAnsi="仿宋" w:eastAsia="仿宋"/>
          <w:sz w:val="24"/>
          <w:szCs w:val="24"/>
          <w:lang w:bidi="ar"/>
        </w:rPr>
        <w:t>1</w:t>
      </w:r>
      <w:r>
        <w:rPr>
          <w:rFonts w:ascii="仿宋" w:hAnsi="仿宋" w:eastAsia="仿宋"/>
          <w:sz w:val="24"/>
          <w:szCs w:val="24"/>
          <w:lang w:bidi="ar"/>
        </w:rPr>
        <w:t xml:space="preserve"> 月市级财政</w:t>
      </w:r>
      <w:r>
        <w:rPr>
          <w:rFonts w:hint="eastAsia" w:ascii="仿宋" w:hAnsi="仿宋" w:eastAsia="仿宋"/>
          <w:sz w:val="24"/>
          <w:szCs w:val="24"/>
          <w:lang w:bidi="ar"/>
        </w:rPr>
        <w:t>下达</w:t>
      </w:r>
      <w:r>
        <w:rPr>
          <w:rFonts w:ascii="仿宋" w:hAnsi="仿宋" w:eastAsia="仿宋"/>
          <w:sz w:val="24"/>
          <w:szCs w:val="24"/>
          <w:lang w:bidi="ar"/>
        </w:rPr>
        <w:t>项目资金额度</w:t>
      </w:r>
      <w:r>
        <w:rPr>
          <w:rFonts w:hint="eastAsia" w:ascii="仿宋" w:hAnsi="仿宋" w:eastAsia="仿宋"/>
          <w:sz w:val="24"/>
          <w:szCs w:val="24"/>
          <w:lang w:bidi="ar"/>
        </w:rPr>
        <w:t>7.01</w:t>
      </w:r>
      <w:r>
        <w:rPr>
          <w:rFonts w:ascii="仿宋" w:hAnsi="仿宋" w:eastAsia="仿宋"/>
          <w:sz w:val="24"/>
          <w:szCs w:val="24"/>
          <w:lang w:bidi="ar"/>
        </w:rPr>
        <w:t>万元，教育局统一通过政府采购平台公开招标，确定承保保险公司并公示； 第三步：名单核对与合同签订。校安部门收集各班级学生花名册，梳理新生、转学生信息，公示参保人员清单，无异议后与保险公司签订年度保险合同； 第四步：保费支付与保单生效。财务部门履行三级审批流程（经办人填报→财务审核→校长审批），通过对公账户统一支付保费，</w:t>
      </w:r>
      <w:r>
        <w:rPr>
          <w:rFonts w:hint="eastAsia" w:ascii="仿宋" w:hAnsi="仿宋" w:eastAsia="仿宋"/>
          <w:sz w:val="24"/>
          <w:szCs w:val="24"/>
          <w:lang w:bidi="ar"/>
        </w:rPr>
        <w:t>2025</w:t>
      </w:r>
      <w:r>
        <w:rPr>
          <w:rFonts w:ascii="仿宋" w:hAnsi="仿宋" w:eastAsia="仿宋"/>
          <w:sz w:val="24"/>
          <w:szCs w:val="24"/>
          <w:lang w:bidi="ar"/>
        </w:rPr>
        <w:t xml:space="preserve"> 年 9 月 1 日前完成全部投保，保单生效； 第五步：日常运维与理赔处置。全年常态化接收校园意外伤害报案，校安部门收集事故证明、医疗票据等材料，移交保险公司启动理赔流程； 第六步：年度台账归集与自评。年末汇总投保记录、理赔卷宗、满意度问卷，整理全套佐证资料，开展项目绩效自评。</w:t>
      </w:r>
    </w:p>
    <w:p w14:paraId="2251FE8D">
      <w:pPr>
        <w:pStyle w:val="2"/>
        <w:spacing w:beforeAutospacing="0" w:afterAutospacing="0"/>
        <w:ind w:left="280" w:right="280" w:firstLine="480"/>
        <w:rPr>
          <w:rFonts w:hint="default" w:ascii="仿宋" w:hAnsi="仿宋" w:eastAsia="仿宋"/>
          <w:b w:val="0"/>
        </w:rPr>
      </w:pPr>
      <w:r>
        <w:rPr>
          <w:rFonts w:ascii="仿宋" w:hAnsi="仿宋" w:eastAsia="仿宋"/>
          <w:b w:val="0"/>
        </w:rPr>
        <w:t>3. 流程实施评价</w:t>
      </w:r>
    </w:p>
    <w:p w14:paraId="7B979C2E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  <w:lang w:bidi="ar"/>
        </w:rPr>
        <w:t>整体实施流程闭环完整，各环节岗位职责清晰，严格遵循财政资金、政府采购管理要求，从预算申报、资金拨付、投保落地到理赔处置全流程留痕可追溯，保障项目规范落地。</w:t>
      </w:r>
    </w:p>
    <w:p w14:paraId="4A0696C3">
      <w:pPr>
        <w:pStyle w:val="2"/>
        <w:spacing w:beforeAutospacing="0" w:afterAutospacing="0"/>
        <w:ind w:left="280" w:right="280" w:firstLine="480"/>
        <w:rPr>
          <w:rFonts w:hint="default" w:ascii="仿宋" w:hAnsi="仿宋" w:eastAsia="仿宋"/>
          <w:b w:val="0"/>
        </w:rPr>
      </w:pPr>
      <w:r>
        <w:rPr>
          <w:rFonts w:ascii="仿宋" w:hAnsi="仿宋" w:eastAsia="仿宋"/>
          <w:b w:val="0"/>
        </w:rPr>
        <w:t>4. 流程现存问题说明</w:t>
      </w:r>
    </w:p>
    <w:p w14:paraId="2B4BDF43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  <w:lang w:bidi="ar"/>
        </w:rPr>
        <w:t>流程衔接存在短板：学籍系统与投保台账未实现数据互通，班级学生转入、转出信息更新存在滞后，新增转学生未能第一时间纳入参保名单，短期存在参保空档期；理赔环节缺少快速处置通道，小额案件材料收集、审核流转环节较多，拉长结案周期。</w:t>
      </w:r>
    </w:p>
    <w:p w14:paraId="62877F73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（二）</w:t>
      </w:r>
      <w:r>
        <w:rPr>
          <w:rFonts w:ascii="仿宋" w:hAnsi="仿宋" w:eastAsia="仿宋"/>
          <w:sz w:val="24"/>
          <w:szCs w:val="24"/>
        </w:rPr>
        <w:t>项目管理情况</w:t>
      </w:r>
    </w:p>
    <w:p w14:paraId="77B62C43">
      <w:pPr>
        <w:pStyle w:val="2"/>
        <w:spacing w:beforeAutospacing="0" w:afterAutospacing="0"/>
        <w:ind w:left="280" w:right="280" w:firstLine="480"/>
        <w:rPr>
          <w:rFonts w:hint="default" w:ascii="仿宋" w:hAnsi="仿宋" w:eastAsia="仿宋"/>
          <w:b w:val="0"/>
        </w:rPr>
      </w:pPr>
      <w:r>
        <w:rPr>
          <w:rFonts w:ascii="仿宋" w:hAnsi="仿宋" w:eastAsia="仿宋"/>
          <w:b w:val="0"/>
        </w:rPr>
        <w:t>1. 制度管理执行情况</w:t>
      </w:r>
    </w:p>
    <w:p w14:paraId="611148E4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  <w:lang w:bidi="ar"/>
        </w:rPr>
        <w:t>项目严格执行多重管理制度：一是落实《校园安全条例》《中小学公用经费管理办法》，保费资金专项用于责任险投保，实行专款专用、专账核算；二是遵守怀化市市直单位财务审批制度，保费支付、票据归档流程规范，杜绝现金支付、无依据支出；三是落实政府采购管理规定，承保机构全部通过公开招标确定，中标结果对外公示，采购程序合规；四是建立校内校方责任险工作台账制度，投保名单、出险记录、理赔凭证分类归档，做到一事一档。</w:t>
      </w:r>
    </w:p>
    <w:p w14:paraId="4773582E">
      <w:pPr>
        <w:pStyle w:val="2"/>
        <w:spacing w:beforeAutospacing="0" w:afterAutospacing="0"/>
        <w:ind w:left="280" w:right="280" w:firstLine="480"/>
        <w:rPr>
          <w:rFonts w:hint="default" w:ascii="仿宋" w:hAnsi="仿宋" w:eastAsia="仿宋"/>
          <w:b w:val="0"/>
        </w:rPr>
      </w:pPr>
      <w:r>
        <w:rPr>
          <w:rFonts w:ascii="仿宋" w:hAnsi="仿宋" w:eastAsia="仿宋"/>
          <w:b w:val="0"/>
        </w:rPr>
        <w:t>2. 资金管理评价</w:t>
      </w:r>
    </w:p>
    <w:p w14:paraId="23AD6152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  <w:lang w:bidi="ar"/>
        </w:rPr>
        <w:t>项目预算</w:t>
      </w:r>
      <w:bookmarkStart w:id="22" w:name="OLE_LINK11"/>
      <w:r>
        <w:rPr>
          <w:rFonts w:hint="eastAsia" w:ascii="仿宋" w:hAnsi="仿宋" w:eastAsia="仿宋"/>
          <w:sz w:val="24"/>
          <w:szCs w:val="24"/>
          <w:lang w:bidi="ar"/>
        </w:rPr>
        <w:t>7.01</w:t>
      </w:r>
      <w:bookmarkEnd w:id="22"/>
      <w:r>
        <w:rPr>
          <w:rFonts w:ascii="仿宋" w:hAnsi="仿宋" w:eastAsia="仿宋"/>
          <w:sz w:val="24"/>
          <w:szCs w:val="24"/>
          <w:lang w:bidi="ar"/>
        </w:rPr>
        <w:t>万元全额拨付到位，资金到位率 100%，全部用于保险保费支出，无截留、挤占、挪用资金情况，会计核算科目使用规范，收支凭证完整齐全，资金使用合规性达标。</w:t>
      </w:r>
    </w:p>
    <w:p w14:paraId="22E8DEF5">
      <w:pPr>
        <w:pStyle w:val="2"/>
        <w:spacing w:beforeAutospacing="0" w:afterAutospacing="0"/>
        <w:ind w:left="280" w:right="280" w:firstLine="480"/>
        <w:rPr>
          <w:rFonts w:hint="default" w:ascii="仿宋" w:hAnsi="仿宋" w:eastAsia="仿宋"/>
          <w:b w:val="0"/>
        </w:rPr>
      </w:pPr>
      <w:bookmarkStart w:id="23" w:name="OLE_LINK9"/>
      <w:r>
        <w:rPr>
          <w:rFonts w:ascii="仿宋" w:hAnsi="仿宋" w:eastAsia="仿宋"/>
          <w:b w:val="0"/>
        </w:rPr>
        <w:t>3. 全过程监管机制</w:t>
      </w:r>
    </w:p>
    <w:p w14:paraId="2A7F6C25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  <w:lang w:bidi="ar"/>
        </w:rPr>
        <w:t>建立 “上级季度督查 + 校内常态化自查” 双重监管模式：市教育局每季度开展专项稽核，核查参保名单真实性、理赔台账完整性；校安部门每月梳理学生人员变动情况，定期核对保单有效性；学校纪委同步监督保费支付、采购招标全流程，防控廉政风险。全年未发生安全责任事故、资金违规使用问题。</w:t>
      </w:r>
    </w:p>
    <w:bookmarkEnd w:id="23"/>
    <w:p w14:paraId="5C76430B">
      <w:pPr>
        <w:pStyle w:val="2"/>
        <w:spacing w:beforeAutospacing="0" w:afterAutospacing="0"/>
        <w:ind w:left="280" w:right="280" w:firstLine="480"/>
        <w:rPr>
          <w:rFonts w:hint="default" w:ascii="仿宋" w:hAnsi="仿宋" w:eastAsia="仿宋"/>
          <w:b w:val="0"/>
        </w:rPr>
      </w:pPr>
      <w:r>
        <w:rPr>
          <w:rFonts w:ascii="仿宋" w:hAnsi="仿宋" w:eastAsia="仿宋"/>
          <w:b w:val="0"/>
        </w:rPr>
        <w:t>4. 自评发现管理短板及原因分析</w:t>
      </w:r>
    </w:p>
    <w:p w14:paraId="7305F2DF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  <w:lang w:bidi="ar"/>
        </w:rPr>
        <w:t>（1）参保信息动态管理不到位 原因：校内学籍管理系统与保险投保台账相互独立，无数据自动同步接口，仅依靠班主任人工报送异动学生名单，信息传递存在时间差，转学生、插班生参保更新滞后。 （2）理赔服务效率未达最优标准 原因：未与保险公司协商设立小额快速理赔通道，所有案件统一执行完整审核流程；部分班主任、家长不熟悉理赔材料提交要求，材料反复补充，拉长理赔处理时长，实际平均理赔时效 6.2 个工作日，未达到≤5 个工作日的目标值。 （3）风险前置管理力度不足 日常工作重心集中在投保、事后理赔，常态化校园安全风险宣教频次不足，未能从源头降低校园意外伤害出险概率。</w:t>
      </w:r>
    </w:p>
    <w:p w14:paraId="70793B94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（三）</w:t>
      </w:r>
      <w:r>
        <w:rPr>
          <w:rFonts w:ascii="仿宋" w:hAnsi="仿宋" w:eastAsia="仿宋"/>
          <w:sz w:val="24"/>
          <w:szCs w:val="24"/>
        </w:rPr>
        <w:t>项目监管情况</w:t>
      </w:r>
    </w:p>
    <w:p w14:paraId="41DF815C">
      <w:pPr>
        <w:pStyle w:val="2"/>
        <w:spacing w:beforeAutospacing="0" w:afterAutospacing="0"/>
        <w:ind w:left="280" w:right="280" w:firstLine="480"/>
        <w:rPr>
          <w:rFonts w:hint="default" w:ascii="仿宋" w:hAnsi="仿宋" w:eastAsia="仿宋"/>
          <w:b w:val="0"/>
        </w:rPr>
      </w:pPr>
      <w:r>
        <w:rPr>
          <w:rFonts w:ascii="仿宋" w:hAnsi="仿宋" w:eastAsia="仿宋"/>
          <w:b w:val="0"/>
        </w:rPr>
        <w:t>全过程监管机制：</w:t>
      </w:r>
      <w:r>
        <w:rPr>
          <w:rFonts w:ascii="仿宋" w:hAnsi="仿宋" w:eastAsia="仿宋"/>
          <w:b w:val="0"/>
          <w:lang w:bidi="ar"/>
        </w:rPr>
        <w:t>建立 “上级季度督查 + 校内常态化自查” 双重监管模式：市教育局每季度开展专项稽核，核查参保名单真实性、理赔台账完整性；校安部门每月梳理学生人员变动情况，定期核对保单有效性；学校纪委同步监督保费支付、采购招标全流程，防控廉政风险。全年未发生安全责任事故、资金违规使用问题。</w:t>
      </w:r>
    </w:p>
    <w:p w14:paraId="48DF7E8A">
      <w:pPr>
        <w:pStyle w:val="12"/>
        <w:numPr>
          <w:ilvl w:val="0"/>
          <w:numId w:val="4"/>
        </w:numPr>
        <w:spacing w:line="240" w:lineRule="auto"/>
        <w:ind w:right="280"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项目绩效情况</w:t>
      </w:r>
    </w:p>
    <w:p w14:paraId="32253739">
      <w:pPr>
        <w:spacing w:line="240" w:lineRule="auto"/>
        <w:ind w:left="280" w:leftChars="100" w:right="280" w:rightChars="100"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（一）</w:t>
      </w:r>
      <w:r>
        <w:rPr>
          <w:rFonts w:ascii="仿宋" w:hAnsi="仿宋" w:eastAsia="仿宋"/>
          <w:sz w:val="24"/>
          <w:szCs w:val="24"/>
        </w:rPr>
        <w:t>项目完成情况</w:t>
      </w:r>
    </w:p>
    <w:p w14:paraId="5C2FA07C">
      <w:pPr>
        <w:spacing w:line="240" w:lineRule="auto"/>
        <w:ind w:left="618" w:right="278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数量指标完成情况：全校在册 4531 名学生全部完成投保，投保覆盖率 100%，学期中转学、插班学生均完成补保，全年无漏保、脱保学生，数量目标圆满完成。</w:t>
      </w:r>
    </w:p>
    <w:p w14:paraId="246FE492">
      <w:pPr>
        <w:pStyle w:val="12"/>
        <w:numPr>
          <w:ilvl w:val="0"/>
          <w:numId w:val="5"/>
        </w:numPr>
        <w:spacing w:line="240" w:lineRule="auto"/>
        <w:ind w:left="280" w:right="280" w:firstLine="200" w:firstLineChars="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质量指标完成情况：保险保障条款覆盖校园全场景人身伤害责任，无重大免责缺失；保费严格执行 19 元 / 生统一标准，资金使用合规率 100%；但理赔时效未达标，全年案件平均结案 6.2 个工作日，未完成 5 个工作日以内的既定目标。</w:t>
      </w:r>
    </w:p>
    <w:p w14:paraId="15C43FFA">
      <w:pPr>
        <w:pStyle w:val="12"/>
        <w:numPr>
          <w:ilvl w:val="0"/>
          <w:numId w:val="5"/>
        </w:numPr>
        <w:spacing w:line="240" w:lineRule="auto"/>
        <w:ind w:left="280" w:right="280" w:firstLine="200" w:firstLineChars="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时效指标完成情况：2025 年 8 月底完成全部投保手续，9 月 1 日保单准时生效；全年所有校园意外伤害事故均在 24 小时内完成报案登记，按期跟进理赔流程，时效总体达标，仅内部审核流转环节存在延时。</w:t>
      </w:r>
    </w:p>
    <w:p w14:paraId="208738E0">
      <w:pPr>
        <w:pStyle w:val="12"/>
        <w:numPr>
          <w:ilvl w:val="0"/>
          <w:numId w:val="5"/>
        </w:numPr>
        <w:spacing w:line="240" w:lineRule="auto"/>
        <w:ind w:left="280" w:right="280" w:firstLine="200" w:firstLineChars="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 xml:space="preserve">成本指标完成情况：项目预算 </w:t>
      </w:r>
      <w:r>
        <w:rPr>
          <w:rFonts w:hint="eastAsia" w:ascii="仿宋" w:hAnsi="仿宋" w:eastAsia="仿宋"/>
          <w:sz w:val="24"/>
          <w:szCs w:val="24"/>
          <w:shd w:val="clear" w:color="auto" w:fill="auto"/>
        </w:rPr>
        <w:t>7.01</w:t>
      </w:r>
      <w:r>
        <w:rPr>
          <w:rFonts w:ascii="仿宋" w:hAnsi="仿宋" w:eastAsia="仿宋"/>
          <w:sz w:val="24"/>
          <w:szCs w:val="24"/>
          <w:shd w:val="clear" w:color="auto" w:fill="auto"/>
        </w:rPr>
        <w:t xml:space="preserve"> 万元，实际支出 8.6089 万元，</w:t>
      </w:r>
      <w:r>
        <w:rPr>
          <w:rFonts w:hint="eastAsia" w:ascii="仿宋" w:hAnsi="仿宋" w:eastAsia="仿宋"/>
          <w:sz w:val="24"/>
          <w:szCs w:val="24"/>
          <w:lang w:bidi="ar"/>
        </w:rPr>
        <w:t>严格控制预算总额,但因预算做完后，保费标准由做预算时的15元/人/年上涨至19元/人/年，超出年初预算，支付时超出部分使用公用经费支出</w:t>
      </w:r>
      <w:r>
        <w:rPr>
          <w:rFonts w:ascii="仿宋" w:hAnsi="仿宋" w:eastAsia="仿宋"/>
          <w:sz w:val="24"/>
          <w:szCs w:val="24"/>
          <w:shd w:val="clear" w:color="auto" w:fill="auto"/>
        </w:rPr>
        <w:t>。</w:t>
      </w:r>
    </w:p>
    <w:p w14:paraId="30A93D60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综合对比年初绩效目标，项目数量、时效、成本指标</w:t>
      </w:r>
      <w:r>
        <w:rPr>
          <w:rFonts w:hint="eastAsia" w:ascii="仿宋" w:hAnsi="仿宋" w:eastAsia="仿宋"/>
          <w:sz w:val="24"/>
          <w:szCs w:val="24"/>
          <w:shd w:val="clear" w:color="auto" w:fill="auto"/>
        </w:rPr>
        <w:t>基本</w:t>
      </w:r>
      <w:r>
        <w:rPr>
          <w:rFonts w:ascii="仿宋" w:hAnsi="仿宋" w:eastAsia="仿宋"/>
          <w:sz w:val="24"/>
          <w:szCs w:val="24"/>
          <w:shd w:val="clear" w:color="auto" w:fill="auto"/>
        </w:rPr>
        <w:t>达成，仅理赔时效质量指标存在小幅偏差，整体任务完成度较高。</w:t>
      </w:r>
    </w:p>
    <w:p w14:paraId="4AAD4F84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（二）</w:t>
      </w:r>
      <w:r>
        <w:rPr>
          <w:rFonts w:ascii="仿宋" w:hAnsi="仿宋" w:eastAsia="仿宋"/>
          <w:sz w:val="24"/>
          <w:szCs w:val="24"/>
        </w:rPr>
        <w:t>项目效益情况</w:t>
      </w:r>
    </w:p>
    <w:p w14:paraId="5A6ABEC4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hint="eastAsia" w:ascii="仿宋" w:hAnsi="仿宋" w:eastAsia="仿宋"/>
          <w:sz w:val="24"/>
          <w:szCs w:val="24"/>
          <w:shd w:val="clear" w:color="auto" w:fill="auto"/>
        </w:rPr>
        <w:t>1、</w:t>
      </w:r>
      <w:r>
        <w:rPr>
          <w:rFonts w:ascii="仿宋" w:hAnsi="仿宋" w:eastAsia="仿宋" w:cs="Arial"/>
          <w:color w:val="000000"/>
          <w:sz w:val="24"/>
          <w:szCs w:val="24"/>
          <w:shd w:val="clear" w:color="auto" w:fill="auto"/>
        </w:rPr>
        <w:t>经济效益</w:t>
      </w:r>
      <w:r>
        <w:rPr>
          <w:rFonts w:ascii="仿宋" w:hAnsi="仿宋" w:eastAsia="仿宋"/>
          <w:sz w:val="24"/>
          <w:szCs w:val="24"/>
          <w:shd w:val="clear" w:color="auto" w:fill="auto"/>
        </w:rPr>
        <w:t xml:space="preserve">：通过财政专项资金统一投保校方责任险，无需向家长收取保险费用，减轻家庭教育支出；保险赔付机制有效分担学校大额人身伤害赔偿支出，避免学校公用经费额外赔付压力，降低办学经济风险。 </w:t>
      </w:r>
    </w:p>
    <w:p w14:paraId="2FEC8C34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hint="eastAsia" w:ascii="仿宋" w:hAnsi="仿宋" w:eastAsia="仿宋"/>
          <w:sz w:val="24"/>
          <w:szCs w:val="24"/>
          <w:shd w:val="clear" w:color="auto" w:fill="auto"/>
        </w:rPr>
        <w:t>2、</w:t>
      </w:r>
      <w:r>
        <w:rPr>
          <w:rFonts w:ascii="仿宋" w:hAnsi="仿宋" w:eastAsia="仿宋" w:cs="Arial"/>
          <w:color w:val="000000"/>
          <w:sz w:val="24"/>
          <w:szCs w:val="24"/>
          <w:shd w:val="clear" w:color="auto" w:fill="auto"/>
        </w:rPr>
        <w:t>社会效益</w:t>
      </w:r>
      <w:r>
        <w:rPr>
          <w:rFonts w:ascii="仿宋" w:hAnsi="仿宋" w:eastAsia="仿宋"/>
          <w:sz w:val="24"/>
          <w:szCs w:val="24"/>
          <w:shd w:val="clear" w:color="auto" w:fill="auto"/>
        </w:rPr>
        <w:t xml:space="preserve">：实现全校学生校园安全风险全覆盖保障，妥善处置多起学生课间、体育活动意外伤害理赔纠纷，化解家校矛盾；构建完整校园安全风险分担体系，筑牢校园安全底线，提升校园综合治理水平；配套开展安全宣教，增强师生安全防范意识。 </w:t>
      </w:r>
    </w:p>
    <w:p w14:paraId="34C4E731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hint="eastAsia" w:ascii="仿宋" w:hAnsi="仿宋" w:eastAsia="仿宋"/>
          <w:sz w:val="24"/>
          <w:szCs w:val="24"/>
          <w:shd w:val="clear" w:color="auto" w:fill="auto"/>
        </w:rPr>
        <w:t>3、</w:t>
      </w:r>
      <w:r>
        <w:rPr>
          <w:rFonts w:ascii="仿宋" w:hAnsi="仿宋" w:eastAsia="仿宋" w:cs="Arial"/>
          <w:color w:val="000000"/>
          <w:sz w:val="24"/>
          <w:szCs w:val="24"/>
          <w:shd w:val="clear" w:color="auto" w:fill="auto"/>
        </w:rPr>
        <w:t>可持续效益</w:t>
      </w:r>
      <w:r>
        <w:rPr>
          <w:rFonts w:ascii="仿宋" w:hAnsi="仿宋" w:eastAsia="仿宋"/>
          <w:sz w:val="24"/>
          <w:szCs w:val="24"/>
          <w:shd w:val="clear" w:color="auto" w:fill="auto"/>
        </w:rPr>
        <w:t xml:space="preserve">：校方责任险由市级财政常态化保障，每年统一招标、统一投保，形成稳定长效风险防控机制；学校可逐年完善参保动态管理、理赔处置、安全宣教配套制度，持续优化校园安全管理体系，具备长期可持续实施条件。 </w:t>
      </w:r>
    </w:p>
    <w:p w14:paraId="3D53F829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hint="eastAsia" w:ascii="仿宋" w:hAnsi="仿宋" w:eastAsia="仿宋"/>
          <w:sz w:val="24"/>
          <w:szCs w:val="24"/>
          <w:shd w:val="clear" w:color="auto" w:fill="auto"/>
        </w:rPr>
        <w:t>4、</w:t>
      </w:r>
      <w:r>
        <w:rPr>
          <w:rFonts w:ascii="仿宋" w:hAnsi="仿宋" w:eastAsia="仿宋" w:cs="Arial"/>
          <w:color w:val="000000"/>
          <w:sz w:val="24"/>
          <w:szCs w:val="24"/>
          <w:shd w:val="clear" w:color="auto" w:fill="auto"/>
        </w:rPr>
        <w:t>服务对象满意度</w:t>
      </w:r>
      <w:r>
        <w:rPr>
          <w:rFonts w:ascii="仿宋" w:hAnsi="仿宋" w:eastAsia="仿宋"/>
          <w:sz w:val="24"/>
          <w:szCs w:val="24"/>
          <w:shd w:val="clear" w:color="auto" w:fill="auto"/>
        </w:rPr>
        <w:t>：期末面向家长、班主任、校安工作人员发放调查问卷，综合满意度 92.3%，高于≥90% 的绩效目标，家长、教职工对校方责任险保障作用认可度较高。</w:t>
      </w:r>
    </w:p>
    <w:p w14:paraId="44E535C1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五、</w:t>
      </w:r>
      <w:r>
        <w:rPr>
          <w:rFonts w:ascii="仿宋" w:hAnsi="仿宋" w:eastAsia="仿宋"/>
          <w:sz w:val="24"/>
          <w:szCs w:val="24"/>
        </w:rPr>
        <w:t>评价结论及建议</w:t>
      </w:r>
    </w:p>
    <w:p w14:paraId="6F9C10F6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（一）</w:t>
      </w:r>
      <w:r>
        <w:rPr>
          <w:rFonts w:ascii="仿宋" w:hAnsi="仿宋" w:eastAsia="仿宋"/>
          <w:sz w:val="24"/>
          <w:szCs w:val="24"/>
        </w:rPr>
        <w:t>评价结论</w:t>
      </w:r>
    </w:p>
    <w:p w14:paraId="44859BC9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2025 年度校方责任险专项项目严格按照国家、省、市校园安全及财政专项资金管理政策实施，项目立项依据充分，绩效目标全部量化可核查，市级财政保障资金足额及时到位，资金执行率 100%，专款专用、财务核算规范，无截留、挤占、挪用等财务违规行为。</w:t>
      </w:r>
    </w:p>
    <w:p w14:paraId="17A3A32F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学校建立教育局统筹、校安办主抓、财务协同、纪检监督的多层级管理架构，构建预算申报 — 资金拨付 — 统一投保 — 事故理赔 — 年度复盘完整闭环实施流程，实现全校 4531 名在校生 100% 应保尽保，保单按期生效，有效转嫁校园人身伤害赔偿风险，顺利处置各类学生意外伤害理赔案件，化解家校安全纠纷；项目配套开展校园安全警示教育，切实筑牢校园安全防线，家长、教职工综合满意度达标，项目社会效益显著，财政资金投入产出效益良好。</w:t>
      </w:r>
    </w:p>
    <w:p w14:paraId="77876591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同时项目存在学籍与投保台账数据不互通、小额理赔流程繁琐、安全前置宣教频次不足、学生异动参保更新滞后等精细化管理短板，理赔时效未达到既定绩效标准。综合各项指标完成情况，本项目绩效自评等次为</w:t>
      </w:r>
      <w:r>
        <w:rPr>
          <w:rFonts w:ascii="仿宋" w:hAnsi="仿宋" w:eastAsia="仿宋" w:cs="Arial"/>
          <w:color w:val="000000"/>
          <w:sz w:val="24"/>
          <w:szCs w:val="24"/>
          <w:shd w:val="clear" w:color="auto" w:fill="auto"/>
        </w:rPr>
        <w:t>良好</w:t>
      </w:r>
      <w:r>
        <w:rPr>
          <w:rFonts w:ascii="仿宋" w:hAnsi="仿宋" w:eastAsia="仿宋"/>
          <w:sz w:val="24"/>
          <w:szCs w:val="24"/>
          <w:shd w:val="clear" w:color="auto" w:fill="auto"/>
        </w:rPr>
        <w:t>。</w:t>
      </w:r>
    </w:p>
    <w:p w14:paraId="62F23D34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（二）</w:t>
      </w:r>
      <w:r>
        <w:rPr>
          <w:rFonts w:ascii="仿宋" w:hAnsi="仿宋" w:eastAsia="仿宋"/>
          <w:sz w:val="24"/>
          <w:szCs w:val="24"/>
        </w:rPr>
        <w:t>存在的问题</w:t>
      </w:r>
    </w:p>
    <w:p w14:paraId="1C5E1074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结合本次绩效自评台账核查、理赔卷宗核对、问卷调查、日常工作记录等佐证资料，梳理项目现存问题并深度剖析根源：</w:t>
      </w:r>
    </w:p>
    <w:p w14:paraId="6A0DA0F5">
      <w:pPr>
        <w:pStyle w:val="12"/>
        <w:numPr>
          <w:ilvl w:val="0"/>
          <w:numId w:val="6"/>
        </w:numPr>
        <w:spacing w:line="240" w:lineRule="auto"/>
        <w:ind w:left="280" w:right="280" w:firstLine="200" w:firstLineChars="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学生参保信息动态更新滞后，台账数据未互通</w:t>
      </w:r>
    </w:p>
    <w:p w14:paraId="2FC406E8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问题：校内学籍系统与保险投保台账两套数据相互独立，无自动同步渠道，仅依靠班主任人工按月报送学生转学、插班信息，信息传递存在时差，新增学生无法第一时间完成补保，存在短期脱保隐患。</w:t>
      </w:r>
    </w:p>
    <w:p w14:paraId="307D6CD9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原因：未建立学籍、保险台账线上联动机制，未制定学生异动每日报送、即时补保工作制度，信息更新依赖人工线下传递，管理流程存在漏洞。</w:t>
      </w:r>
    </w:p>
    <w:p w14:paraId="5F3BED29">
      <w:pPr>
        <w:pStyle w:val="12"/>
        <w:numPr>
          <w:ilvl w:val="0"/>
          <w:numId w:val="6"/>
        </w:numPr>
        <w:spacing w:line="240" w:lineRule="auto"/>
        <w:ind w:left="280" w:right="280" w:firstLine="200" w:firstLineChars="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理赔处置流程繁琐，结案时效未达标</w:t>
      </w:r>
    </w:p>
    <w:p w14:paraId="35AC4D8C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问题：未与承保保险公司设立小额伤害快速理赔通道，所有案件统一执行全套多级审核流程；未统一向家长、班主任公示理赔材料清单，材料反复补充，全年平均结案 6.2 个工作日，超出 5 个工作日的绩效目标。</w:t>
      </w:r>
    </w:p>
    <w:p w14:paraId="73062BAB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原因：学校未主动对接保险公司优化理赔流程，缺少标准化理赔告知宣传材料，未简化小额案件审核环节，流程设计未兼顾效率。</w:t>
      </w:r>
    </w:p>
    <w:p w14:paraId="3E631004">
      <w:pPr>
        <w:pStyle w:val="12"/>
        <w:numPr>
          <w:ilvl w:val="0"/>
          <w:numId w:val="6"/>
        </w:numPr>
        <w:spacing w:line="240" w:lineRule="auto"/>
        <w:ind w:left="280" w:right="280" w:firstLine="200" w:firstLineChars="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校园安全前置风险宣教力度不足</w:t>
      </w:r>
    </w:p>
    <w:p w14:paraId="138FC0A2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问题：工作重心集中在投保、事后理赔处置，常态化安全宣讲、应急演练开展频次偏少，未建立月度固定宣教机制，风险预防工作薄弱，未能从源头减少校园意外事故发生。</w:t>
      </w:r>
    </w:p>
    <w:p w14:paraId="1CFF6EBC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  <w:shd w:val="clear" w:color="auto" w:fill="auto"/>
        </w:rPr>
      </w:pPr>
      <w:r>
        <w:rPr>
          <w:rFonts w:ascii="仿宋" w:hAnsi="仿宋" w:eastAsia="仿宋"/>
          <w:sz w:val="24"/>
          <w:szCs w:val="24"/>
          <w:shd w:val="clear" w:color="auto" w:fill="auto"/>
        </w:rPr>
        <w:t>原因：校安办年度工作安排未将安全宣教列为固定常态化任务，未制定季度、月度安全培训计划，重事后处置、轻事前预防。</w:t>
      </w:r>
    </w:p>
    <w:p w14:paraId="19B53163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（三）</w:t>
      </w:r>
      <w:r>
        <w:rPr>
          <w:rFonts w:ascii="仿宋" w:hAnsi="仿宋" w:eastAsia="仿宋"/>
          <w:sz w:val="24"/>
          <w:szCs w:val="24"/>
        </w:rPr>
        <w:t>相关建议</w:t>
      </w:r>
    </w:p>
    <w:p w14:paraId="2CB95A22">
      <w:pPr>
        <w:pStyle w:val="2"/>
        <w:spacing w:beforeAutospacing="0" w:afterAutospacing="0"/>
        <w:ind w:left="280" w:right="280" w:firstLine="480"/>
        <w:rPr>
          <w:rFonts w:hint="default" w:ascii="仿宋" w:hAnsi="仿宋" w:eastAsia="仿宋"/>
          <w:b w:val="0"/>
        </w:rPr>
      </w:pPr>
      <w:r>
        <w:rPr>
          <w:rFonts w:ascii="仿宋" w:hAnsi="仿宋" w:eastAsia="仿宋"/>
          <w:b w:val="0"/>
        </w:rPr>
        <w:t>一、校内即时整改措施（2026 年度全面落地）</w:t>
      </w:r>
    </w:p>
    <w:p w14:paraId="0C2623B0">
      <w:pPr>
        <w:pStyle w:val="12"/>
        <w:numPr>
          <w:ilvl w:val="0"/>
          <w:numId w:val="7"/>
        </w:numPr>
        <w:spacing w:line="240" w:lineRule="auto"/>
        <w:ind w:left="280" w:right="280" w:firstLine="200" w:firstLineChars="0"/>
        <w:rPr>
          <w:rFonts w:ascii="仿宋" w:hAnsi="仿宋" w:eastAsia="仿宋"/>
          <w:sz w:val="24"/>
          <w:szCs w:val="24"/>
        </w:rPr>
      </w:pPr>
      <w:r>
        <w:rPr>
          <w:rStyle w:val="8"/>
          <w:rFonts w:ascii="仿宋" w:hAnsi="仿宋" w:eastAsia="仿宋" w:cs="Arial"/>
          <w:b w:val="0"/>
          <w:bCs/>
          <w:color w:val="000000"/>
          <w:sz w:val="24"/>
          <w:szCs w:val="24"/>
        </w:rPr>
        <w:t>打通学籍与投保台账联动，建立学生异动即时补保机制</w:t>
      </w:r>
    </w:p>
    <w:p w14:paraId="29BFED5B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建立学籍管理员、校安办每日信息互通制度，学生转入、转出当日同步更新投保台账；对接保险公司搭建线上信息报送端口，实现新增学生当日登记、当月补保；统一制作电子投保台账，与学籍表按月比对，消除脱保空档期。</w:t>
      </w:r>
    </w:p>
    <w:p w14:paraId="5EE67191">
      <w:pPr>
        <w:pStyle w:val="12"/>
        <w:numPr>
          <w:ilvl w:val="0"/>
          <w:numId w:val="7"/>
        </w:numPr>
        <w:spacing w:line="240" w:lineRule="auto"/>
        <w:ind w:left="280" w:right="280" w:firstLine="200" w:firstLineChars="0"/>
        <w:rPr>
          <w:rFonts w:ascii="仿宋" w:hAnsi="仿宋" w:eastAsia="仿宋"/>
          <w:sz w:val="24"/>
          <w:szCs w:val="24"/>
        </w:rPr>
      </w:pPr>
      <w:r>
        <w:rPr>
          <w:rStyle w:val="8"/>
          <w:rFonts w:ascii="仿宋" w:hAnsi="仿宋" w:eastAsia="仿宋" w:cs="Arial"/>
          <w:b w:val="0"/>
          <w:bCs/>
          <w:color w:val="000000"/>
          <w:sz w:val="24"/>
          <w:szCs w:val="24"/>
        </w:rPr>
        <w:t>优化理赔流程，开通小额案件快速通道</w:t>
      </w:r>
    </w:p>
    <w:p w14:paraId="593187F9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主动对接中标保险公司签订小额快速理赔协议，明确轻微伤、小额医疗案件简化审核材料；印制《理赔材料一次性告知单》发放至各班班主任，线上同步推送家长；明确专人对接保险公司，提前预审材料，压缩审核流转时长，确保全年平均理赔时效控制在 5 个工作日以内。</w:t>
      </w:r>
    </w:p>
    <w:p w14:paraId="28429998">
      <w:pPr>
        <w:pStyle w:val="12"/>
        <w:numPr>
          <w:ilvl w:val="0"/>
          <w:numId w:val="7"/>
        </w:numPr>
        <w:spacing w:line="240" w:lineRule="auto"/>
        <w:ind w:left="280" w:right="280" w:firstLine="200" w:firstLineChars="0"/>
        <w:rPr>
          <w:rFonts w:ascii="仿宋" w:hAnsi="仿宋" w:eastAsia="仿宋"/>
          <w:sz w:val="24"/>
          <w:szCs w:val="24"/>
        </w:rPr>
      </w:pPr>
      <w:r>
        <w:rPr>
          <w:rStyle w:val="8"/>
          <w:rFonts w:ascii="仿宋" w:hAnsi="仿宋" w:eastAsia="仿宋" w:cs="Arial"/>
          <w:b w:val="0"/>
          <w:bCs/>
          <w:color w:val="000000"/>
          <w:sz w:val="24"/>
          <w:szCs w:val="24"/>
        </w:rPr>
        <w:t>常态化开展校园安全前置宣教，降低出险概率</w:t>
      </w:r>
    </w:p>
    <w:p w14:paraId="474402D5">
      <w:pPr>
        <w:spacing w:line="240" w:lineRule="auto"/>
        <w:ind w:left="280" w:right="280"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制定年度校园安全宣教工作计划，固定每月开展一次安全培训、每学期组织 2 次应急演练；围绕课间活动、体育课堂、劳动实践等高频风险场景开展专题教育，提升学生自我保护能力，从源头减少意外伤害案件。</w:t>
      </w:r>
    </w:p>
    <w:p w14:paraId="5E9B33ED">
      <w:pPr>
        <w:spacing w:line="240" w:lineRule="auto"/>
        <w:ind w:left="280" w:right="280" w:firstLine="480"/>
        <w:jc w:val="right"/>
        <w:rPr>
          <w:rFonts w:hint="eastAsia" w:ascii="仿宋" w:hAnsi="仿宋" w:eastAsia="仿宋"/>
          <w:sz w:val="24"/>
          <w:szCs w:val="24"/>
        </w:rPr>
      </w:pPr>
    </w:p>
    <w:p w14:paraId="3667AF8A">
      <w:pPr>
        <w:spacing w:line="240" w:lineRule="auto"/>
        <w:ind w:left="280" w:right="280" w:firstLine="480"/>
        <w:jc w:val="right"/>
        <w:rPr>
          <w:rFonts w:hint="eastAsia" w:ascii="仿宋" w:hAnsi="仿宋" w:eastAsia="仿宋"/>
          <w:sz w:val="24"/>
          <w:szCs w:val="24"/>
        </w:rPr>
      </w:pPr>
    </w:p>
    <w:p w14:paraId="451BFA62">
      <w:pPr>
        <w:spacing w:line="240" w:lineRule="auto"/>
        <w:ind w:left="280" w:right="280" w:firstLine="480"/>
        <w:jc w:val="right"/>
        <w:rPr>
          <w:rFonts w:hint="eastAsia" w:ascii="仿宋" w:hAnsi="仿宋" w:eastAsia="仿宋"/>
          <w:sz w:val="24"/>
          <w:szCs w:val="24"/>
        </w:rPr>
      </w:pPr>
    </w:p>
    <w:p w14:paraId="46C0A1D7">
      <w:pPr>
        <w:spacing w:line="240" w:lineRule="auto"/>
        <w:ind w:left="280" w:right="280" w:firstLine="480"/>
        <w:jc w:val="right"/>
        <w:rPr>
          <w:rFonts w:hint="eastAsia"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怀化市铁路第一小学</w:t>
      </w:r>
    </w:p>
    <w:p w14:paraId="7E65FF58">
      <w:pPr>
        <w:spacing w:line="240" w:lineRule="auto"/>
        <w:ind w:left="280" w:right="280" w:firstLine="480"/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2026年6月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Times New Roma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70B72">
    <w:pPr>
      <w:pStyle w:val="4"/>
      <w:ind w:left="280" w:right="28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41F26">
    <w:pPr>
      <w:pStyle w:val="4"/>
      <w:ind w:left="280" w:right="28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9897E">
    <w:pPr>
      <w:pStyle w:val="4"/>
      <w:ind w:left="280" w:right="28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21C5C">
    <w:pPr>
      <w:pStyle w:val="5"/>
      <w:ind w:left="280" w:right="28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B475B">
    <w:pPr>
      <w:pStyle w:val="5"/>
      <w:ind w:left="280" w:right="280"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95AAE">
    <w:pPr>
      <w:pStyle w:val="5"/>
      <w:ind w:left="280" w:right="28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45942"/>
    <w:multiLevelType w:val="multilevel"/>
    <w:tmpl w:val="13345942"/>
    <w:lvl w:ilvl="0" w:tentative="0">
      <w:start w:val="1"/>
      <w:numFmt w:val="japaneseCounting"/>
      <w:lvlText w:val="（%1）"/>
      <w:lvlJc w:val="left"/>
      <w:pPr>
        <w:ind w:left="9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abstractNum w:abstractNumId="1">
    <w:nsid w:val="18007826"/>
    <w:multiLevelType w:val="multilevel"/>
    <w:tmpl w:val="18007826"/>
    <w:lvl w:ilvl="0" w:tentative="0">
      <w:start w:val="1"/>
      <w:numFmt w:val="decimal"/>
      <w:lvlText w:val="%1、"/>
      <w:lvlJc w:val="left"/>
      <w:pPr>
        <w:ind w:left="4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00" w:hanging="420"/>
      </w:pPr>
    </w:lvl>
    <w:lvl w:ilvl="2" w:tentative="0">
      <w:start w:val="1"/>
      <w:numFmt w:val="lowerRoman"/>
      <w:lvlText w:val="%3."/>
      <w:lvlJc w:val="right"/>
      <w:pPr>
        <w:ind w:left="1320" w:hanging="420"/>
      </w:pPr>
    </w:lvl>
    <w:lvl w:ilvl="3" w:tentative="0">
      <w:start w:val="1"/>
      <w:numFmt w:val="decimal"/>
      <w:lvlText w:val="%4."/>
      <w:lvlJc w:val="left"/>
      <w:pPr>
        <w:ind w:left="1740" w:hanging="420"/>
      </w:pPr>
    </w:lvl>
    <w:lvl w:ilvl="4" w:tentative="0">
      <w:start w:val="1"/>
      <w:numFmt w:val="lowerLetter"/>
      <w:lvlText w:val="%5)"/>
      <w:lvlJc w:val="left"/>
      <w:pPr>
        <w:ind w:left="2160" w:hanging="420"/>
      </w:pPr>
    </w:lvl>
    <w:lvl w:ilvl="5" w:tentative="0">
      <w:start w:val="1"/>
      <w:numFmt w:val="lowerRoman"/>
      <w:lvlText w:val="%6."/>
      <w:lvlJc w:val="right"/>
      <w:pPr>
        <w:ind w:left="2580" w:hanging="420"/>
      </w:pPr>
    </w:lvl>
    <w:lvl w:ilvl="6" w:tentative="0">
      <w:start w:val="1"/>
      <w:numFmt w:val="decimal"/>
      <w:lvlText w:val="%7."/>
      <w:lvlJc w:val="left"/>
      <w:pPr>
        <w:ind w:left="3000" w:hanging="420"/>
      </w:pPr>
    </w:lvl>
    <w:lvl w:ilvl="7" w:tentative="0">
      <w:start w:val="1"/>
      <w:numFmt w:val="lowerLetter"/>
      <w:lvlText w:val="%8)"/>
      <w:lvlJc w:val="left"/>
      <w:pPr>
        <w:ind w:left="3420" w:hanging="420"/>
      </w:pPr>
    </w:lvl>
    <w:lvl w:ilvl="8" w:tentative="0">
      <w:start w:val="1"/>
      <w:numFmt w:val="lowerRoman"/>
      <w:lvlText w:val="%9."/>
      <w:lvlJc w:val="right"/>
      <w:pPr>
        <w:ind w:left="3840" w:hanging="420"/>
      </w:pPr>
    </w:lvl>
  </w:abstractNum>
  <w:abstractNum w:abstractNumId="2">
    <w:nsid w:val="46527E24"/>
    <w:multiLevelType w:val="multilevel"/>
    <w:tmpl w:val="46527E2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5C9211B1"/>
    <w:multiLevelType w:val="multilevel"/>
    <w:tmpl w:val="5C9211B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69971472"/>
    <w:multiLevelType w:val="multilevel"/>
    <w:tmpl w:val="69971472"/>
    <w:lvl w:ilvl="0" w:tentative="0">
      <w:start w:val="4"/>
      <w:numFmt w:val="lowerLetter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6EE92BBB"/>
    <w:multiLevelType w:val="multilevel"/>
    <w:tmpl w:val="6EE92BBB"/>
    <w:lvl w:ilvl="0" w:tentative="0">
      <w:start w:val="1"/>
      <w:numFmt w:val="decimal"/>
      <w:lvlText w:val="%1."/>
      <w:lvlJc w:val="left"/>
      <w:pPr>
        <w:tabs>
          <w:tab w:val="left" w:pos="480"/>
        </w:tabs>
        <w:ind w:left="480" w:hanging="360"/>
      </w:pPr>
    </w:lvl>
    <w:lvl w:ilvl="1" w:tentative="0">
      <w:start w:val="1"/>
      <w:numFmt w:val="decimal"/>
      <w:lvlText w:val="%2."/>
      <w:lvlJc w:val="left"/>
      <w:pPr>
        <w:tabs>
          <w:tab w:val="left" w:pos="1200"/>
        </w:tabs>
        <w:ind w:left="1200" w:hanging="360"/>
      </w:pPr>
    </w:lvl>
    <w:lvl w:ilvl="2" w:tentative="0">
      <w:start w:val="1"/>
      <w:numFmt w:val="decimal"/>
      <w:lvlText w:val="%3."/>
      <w:lvlJc w:val="left"/>
      <w:pPr>
        <w:tabs>
          <w:tab w:val="left" w:pos="1920"/>
        </w:tabs>
        <w:ind w:left="1920" w:hanging="360"/>
      </w:pPr>
    </w:lvl>
    <w:lvl w:ilvl="3" w:tentative="0">
      <w:start w:val="1"/>
      <w:numFmt w:val="decimal"/>
      <w:lvlText w:val="%4."/>
      <w:lvlJc w:val="left"/>
      <w:pPr>
        <w:tabs>
          <w:tab w:val="left" w:pos="2640"/>
        </w:tabs>
        <w:ind w:left="2640" w:hanging="360"/>
      </w:pPr>
    </w:lvl>
    <w:lvl w:ilvl="4" w:tentative="0">
      <w:start w:val="1"/>
      <w:numFmt w:val="decimal"/>
      <w:lvlText w:val="%5."/>
      <w:lvlJc w:val="left"/>
      <w:pPr>
        <w:tabs>
          <w:tab w:val="left" w:pos="3360"/>
        </w:tabs>
        <w:ind w:left="3360" w:hanging="360"/>
      </w:pPr>
    </w:lvl>
    <w:lvl w:ilvl="5" w:tentative="0">
      <w:start w:val="1"/>
      <w:numFmt w:val="decimal"/>
      <w:lvlText w:val="%6."/>
      <w:lvlJc w:val="left"/>
      <w:pPr>
        <w:tabs>
          <w:tab w:val="left" w:pos="4080"/>
        </w:tabs>
        <w:ind w:left="4080" w:hanging="360"/>
      </w:pPr>
    </w:lvl>
    <w:lvl w:ilvl="6" w:tentative="0">
      <w:start w:val="1"/>
      <w:numFmt w:val="decimal"/>
      <w:lvlText w:val="%7."/>
      <w:lvlJc w:val="left"/>
      <w:pPr>
        <w:tabs>
          <w:tab w:val="left" w:pos="4800"/>
        </w:tabs>
        <w:ind w:left="4800" w:hanging="360"/>
      </w:pPr>
    </w:lvl>
    <w:lvl w:ilvl="7" w:tentative="0">
      <w:start w:val="1"/>
      <w:numFmt w:val="decimal"/>
      <w:lvlText w:val="%8."/>
      <w:lvlJc w:val="left"/>
      <w:pPr>
        <w:tabs>
          <w:tab w:val="left" w:pos="5520"/>
        </w:tabs>
        <w:ind w:left="5520" w:hanging="360"/>
      </w:pPr>
    </w:lvl>
    <w:lvl w:ilvl="8" w:tentative="0">
      <w:start w:val="1"/>
      <w:numFmt w:val="decimal"/>
      <w:lvlText w:val="%9."/>
      <w:lvlJc w:val="left"/>
      <w:pPr>
        <w:tabs>
          <w:tab w:val="left" w:pos="6240"/>
        </w:tabs>
        <w:ind w:left="6240" w:hanging="360"/>
      </w:pPr>
    </w:lvl>
  </w:abstractNum>
  <w:abstractNum w:abstractNumId="6">
    <w:nsid w:val="76561AA4"/>
    <w:multiLevelType w:val="multilevel"/>
    <w:tmpl w:val="76561AA4"/>
    <w:lvl w:ilvl="0" w:tentative="0">
      <w:start w:val="4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6E1"/>
    <w:rsid w:val="00020185"/>
    <w:rsid w:val="002E2D23"/>
    <w:rsid w:val="00351424"/>
    <w:rsid w:val="00527088"/>
    <w:rsid w:val="00544E2B"/>
    <w:rsid w:val="005C0586"/>
    <w:rsid w:val="005E55DB"/>
    <w:rsid w:val="006136D7"/>
    <w:rsid w:val="006C65DF"/>
    <w:rsid w:val="007F3CD8"/>
    <w:rsid w:val="00A320B2"/>
    <w:rsid w:val="00A84E20"/>
    <w:rsid w:val="00AA3A40"/>
    <w:rsid w:val="00B46079"/>
    <w:rsid w:val="00D767FD"/>
    <w:rsid w:val="00D96178"/>
    <w:rsid w:val="00DF3C5C"/>
    <w:rsid w:val="00E12591"/>
    <w:rsid w:val="00EC3366"/>
    <w:rsid w:val="00F306E1"/>
    <w:rsid w:val="3FF4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60" w:lineRule="atLeast"/>
      <w:ind w:firstLine="560" w:firstLineChars="200"/>
    </w:pPr>
    <w:rPr>
      <w:rFonts w:ascii="楷体" w:hAnsi="楷体" w:eastAsia="楷体" w:cs="宋体"/>
      <w:bCs/>
      <w:color w:val="3D3D3D"/>
      <w:kern w:val="0"/>
      <w:sz w:val="28"/>
      <w:szCs w:val="28"/>
      <w:shd w:val="clear" w:color="auto" w:fill="FFFFFF"/>
      <w:lang w:val="en-US" w:eastAsia="zh-CN" w:bidi="ar-SA"/>
    </w:rPr>
  </w:style>
  <w:style w:type="paragraph" w:styleId="2">
    <w:name w:val="heading 4"/>
    <w:basedOn w:val="1"/>
    <w:next w:val="1"/>
    <w:link w:val="11"/>
    <w:unhideWhenUsed/>
    <w:qFormat/>
    <w:uiPriority w:val="0"/>
    <w:pPr>
      <w:spacing w:beforeAutospacing="1" w:afterAutospacing="1" w:line="240" w:lineRule="auto"/>
      <w:outlineLvl w:val="3"/>
    </w:pPr>
    <w:rPr>
      <w:rFonts w:hint="eastAsia" w:ascii="宋体" w:hAnsi="宋体" w:eastAsia="宋体" w:cs="Times New Roman"/>
      <w:b/>
      <w:color w:val="auto"/>
      <w:sz w:val="24"/>
      <w:szCs w:val="24"/>
      <w:shd w:val="clear" w:color="auto" w:fill="auto"/>
    </w:rPr>
  </w:style>
  <w:style w:type="paragraph" w:styleId="3">
    <w:name w:val="heading 5"/>
    <w:basedOn w:val="1"/>
    <w:next w:val="1"/>
    <w:link w:val="13"/>
    <w:semiHidden/>
    <w:unhideWhenUsed/>
    <w:qFormat/>
    <w:uiPriority w:val="9"/>
    <w:pPr>
      <w:keepNext/>
      <w:keepLines/>
      <w:spacing w:before="280" w:after="290" w:line="376" w:lineRule="atLeast"/>
      <w:outlineLvl w:val="4"/>
    </w:pPr>
    <w:rPr>
      <w:b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5"/>
    <w:qFormat/>
    <w:uiPriority w:val="99"/>
    <w:rPr>
      <w:rFonts w:ascii="楷体" w:hAnsi="楷体" w:eastAsia="楷体" w:cs="宋体"/>
      <w:bCs/>
      <w:color w:val="3D3D3D"/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rFonts w:ascii="楷体" w:hAnsi="楷体" w:eastAsia="楷体" w:cs="宋体"/>
      <w:bCs/>
      <w:color w:val="3D3D3D"/>
      <w:sz w:val="18"/>
      <w:szCs w:val="18"/>
    </w:rPr>
  </w:style>
  <w:style w:type="character" w:customStyle="1" w:styleId="11">
    <w:name w:val="标题 4 Char"/>
    <w:basedOn w:val="7"/>
    <w:link w:val="2"/>
    <w:qFormat/>
    <w:uiPriority w:val="0"/>
    <w:rPr>
      <w:rFonts w:ascii="宋体" w:hAnsi="宋体" w:eastAsia="宋体" w:cs="Times New Roman"/>
      <w:b/>
      <w:bCs/>
      <w:kern w:val="0"/>
      <w:sz w:val="24"/>
      <w:szCs w:val="24"/>
    </w:rPr>
  </w:style>
  <w:style w:type="paragraph" w:styleId="12">
    <w:name w:val="List Paragraph"/>
    <w:basedOn w:val="1"/>
    <w:qFormat/>
    <w:uiPriority w:val="34"/>
    <w:pPr>
      <w:ind w:firstLine="420"/>
    </w:pPr>
  </w:style>
  <w:style w:type="character" w:customStyle="1" w:styleId="13">
    <w:name w:val="标题 5 Char"/>
    <w:basedOn w:val="7"/>
    <w:link w:val="3"/>
    <w:semiHidden/>
    <w:qFormat/>
    <w:uiPriority w:val="9"/>
    <w:rPr>
      <w:rFonts w:ascii="楷体" w:hAnsi="楷体" w:eastAsia="楷体" w:cs="宋体"/>
      <w:b/>
      <w:bCs/>
      <w:color w:val="3D3D3D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1231</Words>
  <Characters>7023</Characters>
  <Lines>58</Lines>
  <Paragraphs>16</Paragraphs>
  <TotalTime>51</TotalTime>
  <ScaleCrop>false</ScaleCrop>
  <LinksUpToDate>false</LinksUpToDate>
  <CharactersWithSpaces>8238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2026-07-22T12:09:00Z</dcterms:created>
  <dc:creator>lenvo</dc:creator>
  <cp:lastModifiedBy>A梦</cp:lastModifiedBy>
  <cp:lastPrinted>2026-08-03T11:36:00Z</cp:lastPrinted>
  <dcterms:modified xsi:type="dcterms:W3CDTF">2026-10-12T16:14:16Z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BA4D8E6F457692E9D896CC6AC83A0071_42</vt:lpwstr>
  </property>
</Properties>
</file>