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96AEA">
      <w:pPr>
        <w:pStyle w:val="15"/>
        <w:keepNext w:val="0"/>
        <w:keepLines w:val="0"/>
        <w:pageBreakBefore w:val="0"/>
        <w:widowControl w:val="0"/>
        <w:kinsoku/>
        <w:wordWrap/>
        <w:overflowPunct/>
        <w:topLinePunct w:val="0"/>
        <w:autoSpaceDE/>
        <w:autoSpaceDN/>
        <w:bidi w:val="0"/>
        <w:adjustRightInd/>
        <w:snapToGrid/>
        <w:textAlignment w:val="auto"/>
        <w:rPr>
          <w:color w:val="auto"/>
        </w:rPr>
      </w:pPr>
      <mc:AlternateContent>
        <mc:Choice Requires="wpsCustomData">
          <wpsCustomData:docfieldStart id="0" docfieldname="标题_1" hidden="0" print="1" readonly="0" index="1"/>
        </mc:Choice>
      </mc:AlternateContent>
      <w:r>
        <w:rPr>
          <w:color w:val="auto"/>
        </w:rPr>
        <w:t>怀化市第三中学</w:t>
      </w:r>
    </w:p>
    <w:p w14:paraId="6D430F7A">
      <w:pPr>
        <w:pStyle w:val="15"/>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2025年度整体支出绩效自评报告</w:t>
      </w:r>
      <mc:AlternateContent>
        <mc:Choice Requires="wpsCustomData">
          <wpsCustomData:docfieldEnd id="0"/>
        </mc:Choice>
      </mc:AlternateContent>
    </w:p>
    <w:p w14:paraId="1126F6C8">
      <w:pPr>
        <w:pStyle w:val="11"/>
        <w:keepNext w:val="0"/>
        <w:keepLines w:val="0"/>
        <w:pageBreakBefore w:val="0"/>
        <w:widowControl w:val="0"/>
        <w:kinsoku/>
        <w:wordWrap/>
        <w:overflowPunct/>
        <w:topLinePunct w:val="0"/>
        <w:autoSpaceDE/>
        <w:autoSpaceDN/>
        <w:bidi w:val="0"/>
        <w:adjustRightInd/>
        <w:snapToGrid/>
        <w:spacing w:beforeAutospacing="0" w:afterAutospacing="0" w:line="300" w:lineRule="exact"/>
        <w:textAlignment w:val="auto"/>
        <w:rPr>
          <w:rFonts w:hint="eastAsia"/>
          <w:color w:val="auto"/>
          <w:lang w:eastAsia="zh-CN"/>
        </w:rPr>
      </w:pPr>
      <w:bookmarkStart w:id="0" w:name="heading_0"/>
    </w:p>
    <w:p w14:paraId="351184BB">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一、</w:t>
      </w:r>
      <w:r>
        <w:rPr>
          <w:color w:val="auto"/>
          <w:sz w:val="29"/>
          <w:szCs w:val="29"/>
        </w:rPr>
        <w:t>部门概况</w:t>
      </w:r>
      <w:bookmarkEnd w:id="0"/>
    </w:p>
    <w:p w14:paraId="79D25132">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 w:name="heading_1"/>
      <w:r>
        <w:rPr>
          <w:rFonts w:hint="eastAsia"/>
          <w:color w:val="auto"/>
          <w:sz w:val="29"/>
          <w:szCs w:val="29"/>
          <w:lang w:eastAsia="zh-CN"/>
        </w:rPr>
        <w:t>（一）</w:t>
      </w:r>
      <w:r>
        <w:rPr>
          <w:color w:val="auto"/>
          <w:sz w:val="29"/>
          <w:szCs w:val="29"/>
        </w:rPr>
        <w:t>部门基本情况</w:t>
      </w:r>
      <w:bookmarkEnd w:id="1"/>
    </w:p>
    <w:p w14:paraId="76CDA4F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怀化市第三中学为市级公益一类事业单位，经费保障方式为全额拨款，属于一级预算单位，执行政府会计准则制度，单位统一社会信用代码为12431200448205522U，注册地址位于怀化市鹤城区迎丰中路227号。学校独立编制机构数1个，独立核算机构数1个，主要职责为贯彻落实党的教育方针，坚守立德树人根本任务，实施高中学历教育，统筹开展教育教学改革、师资队伍建设、学生德育智育体育美育劳育全面发展、校园安全管理、后勤服务保障、国有资产管理等各项工作，为区域内学生提供优质高中教育服务，完成上级教育主管部门交办的各项工作任务。</w:t>
      </w:r>
    </w:p>
    <w:p w14:paraId="447E2B8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人员编制与队伍方面，学校财政供养人员编制数为289人，2025年实际在职人数为271人，人员控制率为93.77％。其中编制内实有人员253人，包含事业管理人员和专业技术人员245人、机关和事业工人8人；另有其他人员18人。2025年退休人员较多，新招人员未及时入编，编制内实有人数较上年减少14人，下降幅度为5.2％。年末在校学生人数为3370人，较上年增加92人，增长2.8％，主要原因为2025年高一新生扩招100人。</w:t>
      </w:r>
    </w:p>
    <w:p w14:paraId="090A6E35">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 w:name="heading_2"/>
      <w:r>
        <w:rPr>
          <w:rFonts w:hint="eastAsia"/>
          <w:color w:val="auto"/>
          <w:sz w:val="29"/>
          <w:szCs w:val="29"/>
          <w:lang w:eastAsia="zh-CN"/>
        </w:rPr>
        <w:t>（二）</w:t>
      </w:r>
      <w:r>
        <w:rPr>
          <w:color w:val="auto"/>
          <w:sz w:val="29"/>
          <w:szCs w:val="29"/>
        </w:rPr>
        <w:t>部门整体支出规模、使用方向和主要内容</w:t>
      </w:r>
      <w:bookmarkEnd w:id="2"/>
    </w:p>
    <w:p w14:paraId="32BE5C0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本年收入合计6523.09万元，本年支出合计6523.09万元，年末结转和结余为0，收支平衡。收入构成方面，一般公共预算财政拨款收入5785.44万元，占总收入的88.69％；政府性基金预算财政拨款收入12.98万元，占总收入的0.20％；事业收入724.68万元，占总收入的11.11％，全部为教育收费类非税专户管理资金，无上级补助收入、经营收入、附属单位上缴收入及其他收入。</w:t>
      </w:r>
    </w:p>
    <w:p w14:paraId="249074C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支出按功能分类覆盖多个领域，其中教育支出5689.54万元，占总支出的87.22％，主要用于保障日常教育教学运转、师资队伍建设、学生培养、校园建设改造等核心办学需求；社会保障和就业支出385.06万元，占总支出的5.90％，全部为机关事业单位基本养老保险缴费支出，保障教职工养老待遇；卫生健康支出188.89万元，占总支出的2.90％，用于教职工基本医疗保险缴费，保障教职工医疗权益；住房保障支出33.63万元，占总支出的0.52％，用于教职工住房公积金缴存；一般公共服务支出207.40万元，占总支出的3.18％，用于保障学校行政运行相关事务；科学技术支出5.60万元，占总支出的0.09％，用于相关科技教育类事务；其他支出12.98万元，占总支出的0.20％，为体育事业彩票公益金对应支出。</w:t>
      </w:r>
    </w:p>
    <w:p w14:paraId="50DCD95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支出按性质划分，基本支出6289.49万元，占总支出的96.42％，其中人员经费5559.33万元，公用经费730.16万元，主要用于保障机构正常运转、完成日常教育教学工作任务，包括教职工工资福利发放、日常办公运转、教学业务开展、后勤维护等；项目支出233.61万元，占总支出的3.58％，全部为特定目标类与运转类项目，用于校园基础设施建设改造、设施设备升级、安全保障、考务服务、教育帮扶等专项工作，涵盖校园西门建设、食堂改造升级、教学设备更新、安保服务、高考考点保障、基础教育扩优提质帮扶等多个专项领域。</w:t>
      </w:r>
    </w:p>
    <w:p w14:paraId="3B1833FA">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3" w:name="heading_3"/>
      <w:r>
        <w:rPr>
          <w:rFonts w:hint="eastAsia"/>
          <w:color w:val="auto"/>
          <w:sz w:val="29"/>
          <w:szCs w:val="29"/>
          <w:lang w:eastAsia="zh-CN"/>
        </w:rPr>
        <w:t>二、</w:t>
      </w:r>
      <w:r>
        <w:rPr>
          <w:color w:val="auto"/>
          <w:sz w:val="29"/>
          <w:szCs w:val="29"/>
        </w:rPr>
        <w:t>一般公共预算支出情况</w:t>
      </w:r>
      <w:bookmarkEnd w:id="3"/>
    </w:p>
    <w:p w14:paraId="20C27E62">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4" w:name="heading_4"/>
      <w:r>
        <w:rPr>
          <w:rFonts w:hint="eastAsia"/>
          <w:color w:val="auto"/>
          <w:sz w:val="29"/>
          <w:szCs w:val="29"/>
          <w:lang w:eastAsia="zh-CN"/>
        </w:rPr>
        <w:t>（一）</w:t>
      </w:r>
      <w:r>
        <w:rPr>
          <w:color w:val="auto"/>
          <w:sz w:val="29"/>
          <w:szCs w:val="29"/>
        </w:rPr>
        <w:t>基本支出</w:t>
      </w:r>
      <w:bookmarkEnd w:id="4"/>
    </w:p>
    <w:p w14:paraId="3273C4C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2025年度一般公共预算财政拨款安排的基本支出共计5564.81万元，其中人员经费4961.53万元，公用经费603.28万元，资金严格按照预算规定用途使用，管理规范有序。</w:t>
      </w:r>
    </w:p>
    <w:p w14:paraId="560AB65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人员经费主要用于保障教职工工资福利及对个人和家庭的补助支出，严格按照国家和地方工资、社保、公积金等政策标准执行，足额按时发放。具体包含基本工资1767.36万元、津贴补贴8.29万元、奖金1015.80万元、绩效工资825.86万元、机关事业单位基本养老保险缴费385.06万元、职工基本医疗保险缴费188.89万元、其他社会保障缴费14.79万元、住房公积金336.29万元、其他工资福利支出17.54万元，以及对个人和家庭的补助324.37万元，其中包含抚恤金、生活补助、助学金、奖励金等项目，全面保障教职工合法权益与学生相关补助政策落实。</w:t>
      </w:r>
    </w:p>
    <w:p w14:paraId="4BE94F2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公用经费用于保障学校日常办公、教育教学运转、后勤服务等公用类开支，严格执行厉行节约相关规定，从严控制支出。具体包含办公费24.51万元、印刷费14.97万元、水费43.75万元、电费44.99万元、邮电费3.82万元、物业管理费76.64万元、差旅费19.74万元、维修（护）费83.16万元、租赁费2.92万元、培训费51.97万元、专用材料费18.83万元、劳务费45.85万元、委托业务费98.67万元、工会经费98.67万元、福利费16.07万元、公务用车运行维护费1.61万元、其他商品和服务支出3.97万元，以及少量资本性支出，涵盖办公设备购置等小额资产配置。</w:t>
      </w:r>
    </w:p>
    <w:p w14:paraId="0F1CB36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三公”经费管理方面，2025年一般公共预算财政拨款安排的“三公”经费年初预算为1.70万元，全年预算数为1.61万元，最终决算数为1.61万元，全部为公务用车运行维护费，无因公出国（境）费用、公务接待费用及公务用车购置费用。年末公务用车保有量为1辆，全部为其他用途车辆。“三公”经费决算数较上年</w:t>
      </w:r>
      <w:r>
        <w:rPr>
          <w:rFonts w:hint="eastAsia" w:cs="仿宋_GB2312"/>
          <w:color w:val="auto"/>
          <w:sz w:val="29"/>
          <w:szCs w:val="29"/>
          <w:lang w:val="en-US" w:eastAsia="zh-CN"/>
        </w:rPr>
        <w:t>持平</w:t>
      </w:r>
      <w:r>
        <w:rPr>
          <w:rFonts w:ascii="Times New Roman" w:hAnsi="Times New Roman" w:eastAsia="仿宋_GB2312" w:cs="仿宋_GB2312"/>
          <w:color w:val="auto"/>
          <w:sz w:val="29"/>
          <w:szCs w:val="29"/>
        </w:rPr>
        <w:t>，始终严格控制在预算范围内，有效落实了中央八项规定精神和过紧日子要求，通过规范车辆使用管理、优化运维保障方式，持续压减“三公”经费支出。</w:t>
      </w:r>
    </w:p>
    <w:p w14:paraId="584FE442">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5" w:name="heading_5"/>
      <w:r>
        <w:rPr>
          <w:rFonts w:hint="eastAsia"/>
          <w:color w:val="auto"/>
          <w:sz w:val="29"/>
          <w:szCs w:val="29"/>
          <w:lang w:eastAsia="zh-CN"/>
        </w:rPr>
        <w:t>（二）</w:t>
      </w:r>
      <w:r>
        <w:rPr>
          <w:color w:val="auto"/>
          <w:sz w:val="29"/>
          <w:szCs w:val="29"/>
        </w:rPr>
        <w:t>项目支出</w:t>
      </w:r>
      <w:bookmarkEnd w:id="5"/>
    </w:p>
    <w:p w14:paraId="4CE9C459">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项目资金安排落实情况</w:t>
      </w:r>
    </w:p>
    <w:p w14:paraId="6C23B0B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一般公共预算财政拨款项目支出全年预算数为220.63万元，全部为当年财政拨款资金，无上年结转资金，资金到位率100％。项目涵盖基础设施建设、后勤服务保障、教育教学提升、安全保障、考务服务等多个类别，具体包括西门建设项目50万元、高中本部食堂整体改造11.80万元、食堂设备专项资金6万元、高考考点经费5万元、安保服务费36.22万元、校方责任险4.91万元、食堂维修及教室设备设施升级42.55万元、大湘西基础教育扩优提质帮扶资金64.14万元。所有项目资金均按预算级次和国库集中支付管理要求及时拨付到位，为项目顺利实施提供了坚实资金保障。</w:t>
      </w:r>
    </w:p>
    <w:p w14:paraId="0BC82C81">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项目资金实际使用情况</w:t>
      </w:r>
    </w:p>
    <w:p w14:paraId="7C9BAB7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西门建设项目资金50万元，专项用于校园西大门通道道路工程建设，通过重新规划校园交通动线，划分独立人行道与机动车道、非机动车道，配套设置交通标识牌、减速带、隔离护栏等设施，落实人车分流管理规则，彻底解决校园内人车混行的安全隐患。项目资金全部按工程进度支付，专项用于道路施工、设施购置安装等环节。</w:t>
      </w:r>
    </w:p>
    <w:p w14:paraId="5E360EC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高中本部食堂整体改造项目资金11.80万元，用于食堂就餐区域、加工区域的环境改造与布局优化，更新相关配套设施，改善食品加工储存条件，提升就餐环境舒适度，保障食品安全操作流程规范落地。</w:t>
      </w:r>
    </w:p>
    <w:p w14:paraId="24BFB9A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食堂设备专项资金6万元，用于购置更新食堂专用加工、储存、消毒类设备，补齐食堂硬件配置短板，提升食品加工效率与安全保障能力，支撑食堂规范化运营。</w:t>
      </w:r>
    </w:p>
    <w:p w14:paraId="52EDE31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高考考点经费5万元，用于高考标准化考场设施维护、考务物资购置、考务人员保障等支出，支撑高考、学业水平考试等各类教育考试组考工作，保障考试安全平稳有序实施。</w:t>
      </w:r>
    </w:p>
    <w:p w14:paraId="2735109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安保服务费36.22万元，用于购买专业安保服务，配备专职安保人员负责校园出入口值守、日常巡逻、秩序维护、人车分流疏导、隐患排查、应急处置等工作，筑牢校园安全第一道防线。</w:t>
      </w:r>
    </w:p>
    <w:p w14:paraId="0B7BDC4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校方责任险4.91万元，用于为在校学生投保校方责任保险，转嫁校园意外风险，保障学生合法权益，完善校园风险保障体系。</w:t>
      </w:r>
    </w:p>
    <w:p w14:paraId="2330C73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食堂维修及教室设备设施升级项目资金42.55万元，其中部分资金用于食堂设施维修改造，其余资金用于更换45台希沃智能教学一体机，升级教室多媒体教学设备，提升智慧教学硬件支撑能力。</w:t>
      </w:r>
    </w:p>
    <w:p w14:paraId="252BEBE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大湘西基础教育扩优提质帮扶资金64.14万元，其中工资福利支出33.40万元，商品和服务支出30.74万元，专项用于深化教育教学改革、开展教师培训研修、推进课题研究、组织学科竞赛辅导、开展五育融合活动等，助力学校提升办学质量，推动基础教育扩优提质。</w:t>
      </w:r>
    </w:p>
    <w:p w14:paraId="37D74200">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项目资金管理情况</w:t>
      </w:r>
    </w:p>
    <w:p w14:paraId="6F177ED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建立健全专项资金管理制度，严格遵循专款专用原则，所有项目资金均按规定用途使用，不存在截留、挤占、挪用、套取专项资金的情况。资金支付严格执行国库集中支付制度，履行项目进度审核、业务部门确认、财务部门复核、分管领导审批的完整支付流程，确保资金支付与项目实施进度匹配。财务部门定期对项目资金使用情况进行核查，跟踪资金流向，规范会计核算，确保项目资金使用合规、账目清晰。同时严格落实预算绩效管理要求，每个项目均设定明确的绩效目标，对项目实施全过程进行绩效监控，确保资金发挥预期效益。</w:t>
      </w:r>
    </w:p>
    <w:p w14:paraId="659D114C">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6" w:name="heading_6"/>
      <w:r>
        <w:rPr>
          <w:rFonts w:hint="eastAsia"/>
          <w:color w:val="auto"/>
          <w:sz w:val="29"/>
          <w:szCs w:val="29"/>
          <w:lang w:eastAsia="zh-CN"/>
        </w:rPr>
        <w:t>三、</w:t>
      </w:r>
      <w:r>
        <w:rPr>
          <w:color w:val="auto"/>
          <w:sz w:val="29"/>
          <w:szCs w:val="29"/>
        </w:rPr>
        <w:t>项目组织实施情况</w:t>
      </w:r>
      <w:bookmarkEnd w:id="6"/>
    </w:p>
    <w:p w14:paraId="5F77B0D6">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7" w:name="heading_7"/>
      <w:r>
        <w:rPr>
          <w:rFonts w:hint="eastAsia"/>
          <w:color w:val="auto"/>
          <w:sz w:val="29"/>
          <w:szCs w:val="29"/>
          <w:lang w:eastAsia="zh-CN"/>
        </w:rPr>
        <w:t>（一）</w:t>
      </w:r>
      <w:r>
        <w:rPr>
          <w:color w:val="auto"/>
          <w:sz w:val="29"/>
          <w:szCs w:val="29"/>
        </w:rPr>
        <w:t>项目组织情况</w:t>
      </w:r>
      <w:bookmarkEnd w:id="7"/>
    </w:p>
    <w:p w14:paraId="57D09E4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严格按照政府采购、工程建设相关法律法规组织项目实施，所有达到采购限额标准的工程、货物、服务类项目，均依法依规履行政府采购程序，规范开展招投标、竞争性谈判、询价等采购活动。2025年度政府采购支出合计142.44万元，其中政府采购工程支出70万元，政府采购服务支出72.44万元；政府采购授予中小企业合同金额92.44万元，全部授予小微企业，严格落实支持中小企业发展相关政策。</w:t>
      </w:r>
    </w:p>
    <w:p w14:paraId="3356632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项目实施前，各业务处室牵头制定详细的项目实施方案，明确项目建设内容、实施周期、责任分工、质量标准、验收要求等内容，报学校审批后启动实施。实施过程中，安排专人负责项目现场管理，对施工质量、材料品质、施工安全进行全程监督，定期调度项目进度，及时协调解决实施过程中出现的问题。项目完工后，由业务处室、财务部门、纪检人员及相关技术人员组成验收小组，按照合同约定和相关标准开展竣工验收，验收合格后方可办理最终结算与资产交付使用手续。2025年实施的西门建设、食堂改造、设备采购、跑道建设等项目均按规定流程完成全环节管理，项目调整均严格履行报批程序，无擅自变更项目内容、调整投资规模的情况。</w:t>
      </w:r>
    </w:p>
    <w:p w14:paraId="10733C1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8" w:name="heading_8"/>
      <w:r>
        <w:rPr>
          <w:rFonts w:hint="eastAsia"/>
          <w:color w:val="auto"/>
          <w:sz w:val="29"/>
          <w:szCs w:val="29"/>
          <w:lang w:eastAsia="zh-CN"/>
        </w:rPr>
        <w:t>（二）</w:t>
      </w:r>
      <w:r>
        <w:rPr>
          <w:color w:val="auto"/>
          <w:sz w:val="29"/>
          <w:szCs w:val="29"/>
        </w:rPr>
        <w:t>项目管理情况</w:t>
      </w:r>
      <w:bookmarkEnd w:id="8"/>
    </w:p>
    <w:p w14:paraId="675459E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建立完善的项目管理体系，实行“谁主管、谁负责”的项目管理责任制，明确每个项目的责任处室与责任人，对项目进度、质量、安全、资金负总责。建立项目动态跟踪机制，定期召开项目推进会，通报项目进展，梳理存在的问题，研究推进措施，确保项目按计划完成。</w:t>
      </w:r>
    </w:p>
    <w:p w14:paraId="551C11A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针对不同类型项目实行分类管理：工程类项目严格执行工程建设管理规范，落实质量监督、安全管理、工期管控要求；设备采购类项目严格执行验收程序，对设备参数、性能、质量进行逐一核验，确保符合采购要求；服务类项目建立定期考核评价机制，对安保服务、物业服等服务质量进行月度、季度考核，考核结果与服务费用支付挂钩，督促服务提供方提升服务质量；教育教学类项目结合学校年度教学教研工作计划，细化资金使用方向，将资金精准投入课堂改革、教师成长、学生发展等关键环节，确保资金效能最大化。</w:t>
      </w:r>
    </w:p>
    <w:p w14:paraId="7C21D17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同时规范项目档案管理，对每个项目的立项文件、采购资料、合同文本、施工记录、验收报告、资金支付凭证等资料进行整理归档，确保项目全过程可追溯、可核查。</w:t>
      </w:r>
    </w:p>
    <w:p w14:paraId="098CA159">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9" w:name="heading_9"/>
      <w:r>
        <w:rPr>
          <w:rFonts w:hint="eastAsia"/>
          <w:color w:val="auto"/>
          <w:sz w:val="29"/>
          <w:szCs w:val="29"/>
          <w:lang w:eastAsia="zh-CN"/>
        </w:rPr>
        <w:t>四、</w:t>
      </w:r>
      <w:r>
        <w:rPr>
          <w:color w:val="auto"/>
          <w:sz w:val="29"/>
          <w:szCs w:val="29"/>
        </w:rPr>
        <w:t>资产管理情况</w:t>
      </w:r>
      <w:bookmarkEnd w:id="9"/>
    </w:p>
    <w:p w14:paraId="5F9F8217">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0" w:name="heading_10"/>
      <w:r>
        <w:rPr>
          <w:rFonts w:hint="eastAsia"/>
          <w:color w:val="auto"/>
          <w:sz w:val="29"/>
          <w:szCs w:val="29"/>
          <w:lang w:eastAsia="zh-CN"/>
        </w:rPr>
        <w:t>（一）</w:t>
      </w:r>
      <w:r>
        <w:rPr>
          <w:color w:val="auto"/>
          <w:sz w:val="29"/>
          <w:szCs w:val="29"/>
        </w:rPr>
        <w:t>制度建设</w:t>
      </w:r>
      <w:bookmarkEnd w:id="10"/>
    </w:p>
    <w:p w14:paraId="765F2BD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高度重视资产管理工作，建立健全《固定资产管理制度》《资产处置管理办法》等一系列资产管理制度，覆盖资产配置、使用、处置、清查全流程。明确财务部门为资产综合管理部门，负责资产总账核算、制度制定、清查组织、处置报批等工作；各处室为资产使用部门，负责本部门资产的日常保管、使用、维护、盘点等工作，形成“统一领导、归口管理、分级负责、责任到人”的资产管理体系，确保资产管理责任层层落实。</w:t>
      </w:r>
    </w:p>
    <w:p w14:paraId="272807B2">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1" w:name="heading_11"/>
      <w:r>
        <w:rPr>
          <w:rFonts w:hint="eastAsia"/>
          <w:color w:val="auto"/>
          <w:sz w:val="29"/>
          <w:szCs w:val="29"/>
          <w:lang w:eastAsia="zh-CN"/>
        </w:rPr>
        <w:t>（二）</w:t>
      </w:r>
      <w:r>
        <w:rPr>
          <w:color w:val="auto"/>
          <w:sz w:val="29"/>
          <w:szCs w:val="29"/>
        </w:rPr>
        <w:t>管理措施</w:t>
      </w:r>
      <w:bookmarkEnd w:id="11"/>
    </w:p>
    <w:p w14:paraId="46352B1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资产配置方面，严格遵循行政事业单位资产配置标准，结合学校办学实际需求与预算安排，科学合理配置资产。优先保障教育教学一线需求，从严控制非教学类资产配置，杜绝超标准、超预算配置资产。2025年通过各类项目资金配置的智能教学一体机、食堂专用设备、体育场地设施等资产，均与学校办学需求高度匹配，有效提升了办学硬件水平。</w:t>
      </w:r>
    </w:p>
    <w:p w14:paraId="536F001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资产日常管理方面，实行分类登记、台账管理，对房屋建筑物、通用设备、专用设备、交通运输设备等各类固定资产建立详细的固定资产台账，准确登记资产名称、规格型号、购置日期、原值、使用部门、存放地点、使用状态等信息。落实资产日常维护保养制度，定期对教学设备、水电设施、房屋建筑进行巡检与常规维修，及时排除故障，延长资产使用寿命。规范资产领用、调拨、归还流程，履行相应审批手续，提高资产使用效率，避免资产闲置浪费。</w:t>
      </w:r>
    </w:p>
    <w:p w14:paraId="18600E5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资产处置方面，严格执行行政事业单位国有资产处置管理规定，资产处置需履行内部审批、评估备案、公开处置等程序，按规定权限报主管部门、财政部门审批，严禁擅自处置国有资产。资产处置收入按规定及时足额上缴财政，杜绝国有资产流失。</w:t>
      </w:r>
    </w:p>
    <w:p w14:paraId="78BCE0F0">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2" w:name="heading_12"/>
      <w:r>
        <w:rPr>
          <w:rFonts w:hint="eastAsia"/>
          <w:color w:val="auto"/>
          <w:sz w:val="29"/>
          <w:szCs w:val="29"/>
          <w:lang w:eastAsia="zh-CN"/>
        </w:rPr>
        <w:t>（三）</w:t>
      </w:r>
      <w:r>
        <w:rPr>
          <w:color w:val="auto"/>
          <w:sz w:val="29"/>
          <w:szCs w:val="29"/>
        </w:rPr>
        <w:t>资产总体情况</w:t>
      </w:r>
      <w:bookmarkEnd w:id="12"/>
    </w:p>
    <w:p w14:paraId="2153B25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截至2025年末，学校房屋建筑面积为55922.96平方米，账面原值为6654.23万元，较上年小幅增长；公务用车保有量1辆，账面原值21.28万元，与上年持平，无新增与处置；银行存款余额为55.69万元。2025年度学校按规定开展年度资产清查工作，对全部资产进行逐一核对，资产账实相符、账账相符，资产管理规范有序。</w:t>
      </w:r>
    </w:p>
    <w:p w14:paraId="552F9C75">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3" w:name="heading_13"/>
      <w:r>
        <w:rPr>
          <w:rFonts w:hint="eastAsia"/>
          <w:color w:val="auto"/>
          <w:sz w:val="29"/>
          <w:szCs w:val="29"/>
          <w:lang w:eastAsia="zh-CN"/>
        </w:rPr>
        <w:t>五、</w:t>
      </w:r>
      <w:r>
        <w:rPr>
          <w:color w:val="auto"/>
          <w:sz w:val="29"/>
          <w:szCs w:val="29"/>
        </w:rPr>
        <w:t>政府性基金预算支出情况</w:t>
      </w:r>
      <w:bookmarkEnd w:id="13"/>
    </w:p>
    <w:p w14:paraId="2AEE66B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2025年度学校政府性基金预算财政拨款收入为12.98万元，全部为用于体育事业的彩票公益金收入，对应项目为电子显示屏及环形沥青跑道建设，无上年结转资金。</w:t>
      </w:r>
    </w:p>
    <w:p w14:paraId="389BCBB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该项目全年预算数为12.98万元，实际支出12.98万元，预算执行率为100％，年末结转结余为0。资金专项用于高三运动场环形沥青跑道改造与校园宣传电子显示屏建设，严格按照彩票公益金管理相关规定使用，专款专用，资金拨付流程规范，全程接受监管。</w:t>
      </w:r>
    </w:p>
    <w:p w14:paraId="75C2A63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项目按计划于2025年内建设完成，改造后的环形沥青跑道符合体育教学场地标准，有效满足日常体育教学、运动会、阳光体育活动等使用需求；电子显示屏投入使用后，成为校园重要的宣传阵地，支撑校园信息发布、通知公告、文化宣传等工作，切实改善了校园文体设施与宣传阵地条件，充分发挥了彩票公益金的社会效益与使用效益。</w:t>
      </w:r>
    </w:p>
    <w:p w14:paraId="323AB639">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4" w:name="heading_14"/>
      <w:r>
        <w:rPr>
          <w:rFonts w:hint="eastAsia"/>
          <w:color w:val="auto"/>
          <w:sz w:val="29"/>
          <w:szCs w:val="29"/>
          <w:lang w:eastAsia="zh-CN"/>
        </w:rPr>
        <w:t>六、</w:t>
      </w:r>
      <w:r>
        <w:rPr>
          <w:color w:val="auto"/>
          <w:sz w:val="29"/>
          <w:szCs w:val="29"/>
        </w:rPr>
        <w:t>国有资本经营预算支出情况</w:t>
      </w:r>
      <w:bookmarkEnd w:id="14"/>
    </w:p>
    <w:p w14:paraId="4CBE0D5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2025年度学校无国有资本经营预算财政拨款收入，也未安排国有资本经营预算支出，相关收支规模均为0，不涉及国有资本经营预算管理相关事务。</w:t>
      </w:r>
    </w:p>
    <w:p w14:paraId="07B529C7">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5" w:name="heading_15"/>
      <w:r>
        <w:rPr>
          <w:rFonts w:hint="eastAsia"/>
          <w:color w:val="auto"/>
          <w:sz w:val="29"/>
          <w:szCs w:val="29"/>
          <w:lang w:eastAsia="zh-CN"/>
        </w:rPr>
        <w:t>七、</w:t>
      </w:r>
      <w:r>
        <w:rPr>
          <w:color w:val="auto"/>
          <w:sz w:val="29"/>
          <w:szCs w:val="29"/>
        </w:rPr>
        <w:t>社会保险基金预算支出情况</w:t>
      </w:r>
      <w:bookmarkEnd w:id="15"/>
    </w:p>
    <w:p w14:paraId="638D3D7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2025年度学校无社会保险基金预算收支安排，不承担社会保险基金经办相关职能，不涉及社会保险基金预算支出相关事项。教职工各项社会保险缴费通过一般公共预算及对应支出科目核算管理。</w:t>
      </w:r>
    </w:p>
    <w:p w14:paraId="45F6A1B4">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6" w:name="heading_16"/>
      <w:r>
        <w:rPr>
          <w:rFonts w:hint="eastAsia"/>
          <w:color w:val="auto"/>
          <w:sz w:val="29"/>
          <w:szCs w:val="29"/>
          <w:lang w:eastAsia="zh-CN"/>
        </w:rPr>
        <w:t>八、</w:t>
      </w:r>
      <w:r>
        <w:rPr>
          <w:color w:val="auto"/>
          <w:sz w:val="29"/>
          <w:szCs w:val="29"/>
        </w:rPr>
        <w:t>部门整体支出绩效情况</w:t>
      </w:r>
      <w:bookmarkEnd w:id="16"/>
    </w:p>
    <w:p w14:paraId="2F2A944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2025年，学校紧紧围绕立德树人根本任务，聚焦教育教学质量核心，以预算资金为保障，稳步推进各项工作，年度绩效目标全面完成。经量化评价，部门决算量化评价得分为82分，部门整体支出绩效自评得分为</w:t>
      </w:r>
      <w:r>
        <w:rPr>
          <w:rFonts w:hint="eastAsia" w:cs="仿宋_GB2312"/>
          <w:color w:val="auto"/>
          <w:sz w:val="29"/>
          <w:szCs w:val="29"/>
          <w:lang w:val="en-US" w:eastAsia="zh-CN"/>
        </w:rPr>
        <w:t>95</w:t>
      </w:r>
      <w:r>
        <w:rPr>
          <w:rFonts w:ascii="Times New Roman" w:hAnsi="Times New Roman" w:eastAsia="仿宋_GB2312" w:cs="仿宋_GB2312"/>
          <w:color w:val="auto"/>
          <w:sz w:val="29"/>
          <w:szCs w:val="29"/>
        </w:rPr>
        <w:t>分，资金使用效益显著，办学质量、管理效能、保障能力持续提升，具体绩效情况如下：</w:t>
      </w:r>
    </w:p>
    <w:p w14:paraId="0A188770">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7" w:name="heading_17"/>
      <w:r>
        <w:rPr>
          <w:rFonts w:hint="eastAsia"/>
          <w:color w:val="auto"/>
          <w:sz w:val="29"/>
          <w:szCs w:val="29"/>
          <w:lang w:eastAsia="zh-CN"/>
        </w:rPr>
        <w:t>（一）</w:t>
      </w:r>
      <w:r>
        <w:rPr>
          <w:color w:val="auto"/>
          <w:sz w:val="29"/>
          <w:szCs w:val="29"/>
        </w:rPr>
        <w:t>运行成本管控有效</w:t>
      </w:r>
      <w:bookmarkEnd w:id="17"/>
    </w:p>
    <w:p w14:paraId="03D2786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全年总支出控制在全年预算规模以内，整体资金执行情况良好。成本指标方面，年度总支出成本控制在预期范围内，经济成本、社会成本、生态成本均符合管控要求。“三公”经费</w:t>
      </w:r>
      <w:r>
        <w:rPr>
          <w:rFonts w:hint="eastAsia" w:cs="仿宋_GB2312"/>
          <w:color w:val="auto"/>
          <w:sz w:val="29"/>
          <w:szCs w:val="29"/>
          <w:lang w:val="en-US" w:eastAsia="zh-CN"/>
        </w:rPr>
        <w:t>从业控制</w:t>
      </w:r>
      <w:r>
        <w:rPr>
          <w:rFonts w:ascii="Times New Roman" w:hAnsi="Times New Roman" w:eastAsia="仿宋_GB2312" w:cs="仿宋_GB2312"/>
          <w:color w:val="auto"/>
          <w:sz w:val="29"/>
          <w:szCs w:val="29"/>
        </w:rPr>
        <w:t>，较上年</w:t>
      </w:r>
      <w:r>
        <w:rPr>
          <w:rFonts w:hint="eastAsia" w:cs="仿宋_GB2312"/>
          <w:color w:val="auto"/>
          <w:sz w:val="29"/>
          <w:szCs w:val="29"/>
          <w:lang w:val="en-US" w:eastAsia="zh-CN"/>
        </w:rPr>
        <w:t>持平</w:t>
      </w:r>
      <w:r>
        <w:rPr>
          <w:rFonts w:ascii="Times New Roman" w:hAnsi="Times New Roman" w:eastAsia="仿宋_GB2312" w:cs="仿宋_GB2312"/>
          <w:color w:val="auto"/>
          <w:sz w:val="29"/>
          <w:szCs w:val="29"/>
        </w:rPr>
        <w:t>，始终保持低位运行。严格落实厉行节约各项措施，制定财务管理制度与财政业务内部控制制度，从严控制各类预算支出，抓实日常办公节约；严格差旅审批，压缩出差频次、天数和人数，严禁无明确公务目的的差旅活动；开展节水节电宣传与检查，推进节约型校园建设，有效降低运行成本。人员经费严格按政策标准执行，无超标准、超范围发放情况；公用经费优先保障教学运转需求，压缩非必要行政开支，资金使用效益不断提升。</w:t>
      </w:r>
    </w:p>
    <w:p w14:paraId="11CD0634">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8" w:name="heading_18"/>
      <w:r>
        <w:rPr>
          <w:rFonts w:hint="eastAsia"/>
          <w:color w:val="auto"/>
          <w:sz w:val="29"/>
          <w:szCs w:val="29"/>
          <w:lang w:eastAsia="zh-CN"/>
        </w:rPr>
        <w:t>（二）</w:t>
      </w:r>
      <w:r>
        <w:rPr>
          <w:color w:val="auto"/>
          <w:sz w:val="29"/>
          <w:szCs w:val="29"/>
        </w:rPr>
        <w:t>管理效率持续提升</w:t>
      </w:r>
      <w:bookmarkEnd w:id="18"/>
    </w:p>
    <w:p w14:paraId="1C8178D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预算管理方面，预算执行刚性不断增强，财政拨款结转和结余率为0，资金统筹使用效率处于较高水平；预算调整均按规定程序履行报批手续，预算管理规范性持续提升。财务管理方面，内控制度健全，会计核算规范，资金审批流程严谨，财务监督作用有效发挥，全年未发生财务违规问题。</w:t>
      </w:r>
    </w:p>
    <w:p w14:paraId="73758F6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教学管理方面，依托电子巡课与推门听课制度实现教学过程常态化监管，全年发布巡课简报35期，每月汇总通报课堂教学情况，及时纠正教学不规范行为，教学管理精细化水平显著提升。建立“日通报、周反馈、月总结”的教学管理机制，教学常规检查、作业检查均实现常态化、制度化，管理效率大幅提高。</w:t>
      </w:r>
    </w:p>
    <w:p w14:paraId="7A9E2E0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安全管理方面，建立每日巡查、每周排查、每月全面检查的三级安全巡查制度，全年开展安全隐患专项排查25余次，发现并整改安全隐患6处，整改率达100％；建立矛盾纠纷排查化解机制，全年排查化解矛盾纠纷13起，化解率100％，管理闭环全面形成。</w:t>
      </w:r>
    </w:p>
    <w:p w14:paraId="116CCED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资产管理方面，资产台账清晰，日常维护到位，使用效率稳步提升，资产清查常态化开展，账实相符率保持100％，资产管理规范化水平持续提升。</w:t>
      </w:r>
    </w:p>
    <w:p w14:paraId="1FFD66E4">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9" w:name="heading_19"/>
      <w:r>
        <w:rPr>
          <w:rFonts w:hint="eastAsia"/>
          <w:color w:val="auto"/>
          <w:sz w:val="29"/>
          <w:szCs w:val="29"/>
          <w:lang w:eastAsia="zh-CN"/>
        </w:rPr>
        <w:t>（三）</w:t>
      </w:r>
      <w:r>
        <w:rPr>
          <w:color w:val="auto"/>
          <w:sz w:val="29"/>
          <w:szCs w:val="29"/>
        </w:rPr>
        <w:t>履职效能全面彰显</w:t>
      </w:r>
      <w:bookmarkEnd w:id="19"/>
    </w:p>
    <w:p w14:paraId="2B7FEEE5">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党建与师德建设扎实推进</w:t>
      </w:r>
    </w:p>
    <w:p w14:paraId="6C88532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常态化组织全体教职工参与政治理论学习及“一片一课一实践”主题党日活动，深入学习贯彻党的二十届</w:t>
      </w:r>
      <w:r>
        <w:rPr>
          <w:rFonts w:hint="eastAsia" w:cs="仿宋_GB2312"/>
          <w:color w:val="auto"/>
          <w:sz w:val="29"/>
          <w:szCs w:val="29"/>
          <w:lang w:eastAsia="zh-CN"/>
        </w:rPr>
        <w:t>三中</w:t>
      </w:r>
      <w:r>
        <w:rPr>
          <w:rFonts w:ascii="Times New Roman" w:hAnsi="Times New Roman" w:eastAsia="仿宋_GB2312" w:cs="仿宋_GB2312"/>
          <w:color w:val="auto"/>
          <w:sz w:val="29"/>
          <w:szCs w:val="29"/>
        </w:rPr>
        <w:t>全会精神和党的教育方针，确保办学方向正确。持续强化师德师风建设，修订《教师手册》，开展警示教育、“铸师魂，修师德，振师风，树师表——我的教育故事”演讲活动，选树先进典型，筑牢师德底线，基层党建基础持续夯实，教师思想政治素质与职业道德水平稳步提升。</w:t>
      </w:r>
    </w:p>
    <w:p w14:paraId="3CFDA394">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教育教学质量稳步提高</w:t>
      </w:r>
    </w:p>
    <w:p w14:paraId="7C8D446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课堂改革持续深化，发挥教育集团辐射功能，全校各学科共推出校级示范课、研究课近200节，情景式、启发式教学成为课堂常态。教学常规管理精细严格，全年开展三次教学常规检查，累计评出优秀教案125人次，在教学开放周期间展示优秀教案与听课本，搭建教师交流平台。建立常态化作业检查机制，每月至少开展一次全校作业检查，覆盖61个班级，检查人次超300次，及时纠正批改不规范问题，检查结果纳入教师考核。</w:t>
      </w:r>
    </w:p>
    <w:p w14:paraId="647EF1E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课程与考务管理规范有序，严格落实课程计划，规范学籍管理，及时开展学籍核查清理上报，确保学籍信息准确。圆满完成2026年全国硕士研究生招生考试、高一年级分班考试、高三年级学考机考等各类考试组织工作，顺利推进高考报名、审核、体检、招飞初检等相关工作，各项考试工作零差错、高效率完成。完成高一年级两次模拟选科与正式选科确认，为新高考教学组织奠定基础。严格落实物化生实验教学要求，演示实验与学生操作实验开足开齐，实验教学质量得到保障。教材教辅征订严格按省市文件执行，无违规征订行为。</w:t>
      </w:r>
    </w:p>
    <w:p w14:paraId="0FFF3D9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业成果成效显著，高2024级1079人参加学业水平考试，全科合格率达99.91％，其中地理、化学、生物三科合格率为100％；高2023级1080人参加学业水平考试，全科合格率达100％。2025年高考参考人数1049人，600分以上93人，其中历史类22人、物理类71人；本科上线893人，其中历史类169人、物理类694人、专业生30人，教育教学质量保持高位稳定。</w:t>
      </w:r>
    </w:p>
    <w:p w14:paraId="675BADB3">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师资队伍建设成果丰硕</w:t>
      </w:r>
    </w:p>
    <w:p w14:paraId="1B000CD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教师专业发展成效突出，在省级竞赛中，2名教师分获湖南省中小学青年教师教学竞赛二、三等奖；5个备课团队在湖南省在线集体备课大赛中获奖；5个备课组获市级一等奖。教研支撑有力，全年成功立项省级课题3项，教师获市级以上论文及教改成果奖共计20余项。分层分类开展教师培训，针对35岁以下青年教师加强线上学习督促，组织各类教研培训活动，全年教师培训人次约350人次，培训合格率达100％，师资专业素养持续提升。</w:t>
      </w:r>
    </w:p>
    <w:p w14:paraId="6CE46799">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4.</w:t>
      </w:r>
      <w:r>
        <w:rPr>
          <w:rFonts w:hint="eastAsia" w:ascii="仿宋" w:hAnsi="仿宋" w:eastAsia="仿宋" w:cs="仿宋"/>
          <w:color w:val="auto"/>
          <w:sz w:val="29"/>
          <w:szCs w:val="29"/>
          <w:lang w:eastAsia="zh-CN"/>
        </w:rPr>
        <w:t xml:space="preserve"> </w:t>
      </w:r>
      <w:r>
        <w:rPr>
          <w:color w:val="auto"/>
          <w:sz w:val="29"/>
          <w:szCs w:val="29"/>
        </w:rPr>
        <w:t>五育融合育人成效显著</w:t>
      </w:r>
    </w:p>
    <w:p w14:paraId="60F8922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德育工作扎实深入。构建立体化思政课程体系，严格落实思政课程标准，新增社会主义核心价值观进阶</w:t>
      </w:r>
      <w:bookmarkStart w:id="41" w:name="_GoBack"/>
      <w:bookmarkEnd w:id="41"/>
      <w:r>
        <w:rPr>
          <w:rFonts w:ascii="Times New Roman" w:hAnsi="Times New Roman" w:eastAsia="仿宋_GB2312" w:cs="仿宋_GB2312"/>
          <w:color w:val="auto"/>
          <w:sz w:val="29"/>
          <w:szCs w:val="29"/>
        </w:rPr>
        <w:t>教育、网络文明素养、人工智能伦理等教学模块，推动学科育德全覆盖。打造“大思政”课程矩阵，开设思政大讲堂5场，邀请行业模范进校园开展讲座5场，覆盖全校3300余名师生。创新思政实践形式，组织“行走的思政课”红色研学3次，走访老党员、抗战老兵16人次，举办主题辩论赛、模拟法庭等活动。规范升国旗、入团、成人礼等仪式教育，结合重要节点开展主题活动，厚植学生爱国情怀。实施“扣好人生第一粒扣子”主题教育，开展诚信教育月活动，组建校园文明督导队与社区志愿服务队；修订学生行为规范细则，针对仪容仪表、手机使用等问题开展专项治理，学生违规率同比下降40％。</w:t>
      </w:r>
    </w:p>
    <w:p w14:paraId="686FF98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心理健康教育体系不断完善，升级“心灵港湾”心理辅导中心，增设音乐放松室、沙盘游戏区，配备5名专职心理教师，建立三级预警机制。开展心理健康主题周活动，举办专题讲座5场，提供个体心理辅导300余人次，完成全校学生心理健康普测并建立个性化档案，测评覆盖率达100％，有效缓解学生学业压力与成长焦虑。</w:t>
      </w:r>
    </w:p>
    <w:p w14:paraId="2C198BD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体育美育劳育全面推进。落实每天一小时体育活动要求，开设特色体育项目，举办秋季田径运动会、各类校园体育联赛，1200余名学生参与竞赛；学校足球队获怀化市青少年校园足球高中组联赛冠军，女子篮球队获市级三人制篮球赛青年女子组冠军。学生体质健康达标率较上学期提升5个百分点。深化戏曲进校园、非遗进校园活动，开设各类美育社团，覆盖学生1000余人；举办校园文化艺术节，学校舞蹈队受邀参加怀化市2025年春节团拜会文艺演出。构建校内外结合的劳动教育体系，组织高二年级开展劳动实践、高三年级开展励志远足，常态化开展社区志愿服务；开展节约粮食主题教育，强化学生勤俭节约意识。</w:t>
      </w:r>
    </w:p>
    <w:p w14:paraId="5851F0D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书香校园建设持续深化，筹措社会资金建成校园“桐林书屋”和“桐林陆港书屋”，开展“悦读阅美”校园读书节、“每月共读一本书”活动，评选“阅读之星”50名、“书香班级”15个，校园阅读氛围日益浓厚。</w:t>
      </w:r>
    </w:p>
    <w:p w14:paraId="39CFD7A3">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5.</w:t>
      </w:r>
      <w:r>
        <w:rPr>
          <w:rFonts w:hint="eastAsia" w:ascii="仿宋" w:hAnsi="仿宋" w:eastAsia="仿宋" w:cs="仿宋"/>
          <w:color w:val="auto"/>
          <w:sz w:val="29"/>
          <w:szCs w:val="29"/>
          <w:lang w:eastAsia="zh-CN"/>
        </w:rPr>
        <w:t xml:space="preserve"> </w:t>
      </w:r>
      <w:r>
        <w:rPr>
          <w:color w:val="auto"/>
          <w:sz w:val="29"/>
          <w:szCs w:val="29"/>
        </w:rPr>
        <w:t>校园安全保障坚实有力</w:t>
      </w:r>
    </w:p>
    <w:p w14:paraId="4F3ABC2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安全教育全面覆盖，围绕防溺水、防性侵、防欺凌、交通安全、禁毒教育、防电信诈骗等主题，通过专家讲座、观看教育片、主题班会、发放告知书等形式开展专题教育4次，实现全体学生全覆盖。充分利用校园广播、宣传栏、公众号、班级群等线上线下渠道开展日常安全宣传，形成家校社协同共育的安全氛围。</w:t>
      </w:r>
    </w:p>
    <w:p w14:paraId="6FFC72D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隐患排查常态化开展，对教室、宿舍、食堂、实验室等重点场所进行全方位无死角检查，全年整改安全隐患6处，整改率100％。重点时段联合公安、市场监管、城管等部门开展校园周边环境整治，清理流动摊点，规范经营秩序，筑牢校外安全防线。</w:t>
      </w:r>
    </w:p>
    <w:p w14:paraId="17019D1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应急演练实战化开展，聚焦地震、火灾、防溺水等场景，全年开展各类应急演练8次，参与师生达6000人次，每次演练均制定详细方案，演练后及时总结评估，部分演练邀请专业部门现场指导，师生应急避险能力显著提升。</w:t>
      </w:r>
    </w:p>
    <w:p w14:paraId="5340196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人车分流全面落地，12月起全面落实人车分流管理措施，重新规划校园交通动线，设置交通设施，明确车辆通行停放规则，高峰时段禁止机动车进入教学区，安排专人疏导交通，校园交通秩序显著规范，未发生校园内交通安全事故。</w:t>
      </w:r>
    </w:p>
    <w:p w14:paraId="65CC121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市委巡察整改扎实推进，配合市委巡察组开展校园安全专项巡查，针对反馈问题成立整改专班，制定“一问题一方案”整改措施，累计完成整改事项8项，所有反馈问题全部整改到位，并建立长效机制，推动安全工作从被动整改向主动防范转变。全年未发生重大安全责任事故，校园安全稳定局面持续巩固。</w:t>
      </w:r>
    </w:p>
    <w:p w14:paraId="21E0FE1A">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6.</w:t>
      </w:r>
      <w:r>
        <w:rPr>
          <w:rFonts w:hint="eastAsia" w:ascii="仿宋" w:hAnsi="仿宋" w:eastAsia="仿宋" w:cs="仿宋"/>
          <w:color w:val="auto"/>
          <w:sz w:val="29"/>
          <w:szCs w:val="29"/>
          <w:lang w:eastAsia="zh-CN"/>
        </w:rPr>
        <w:t xml:space="preserve"> </w:t>
      </w:r>
      <w:r>
        <w:rPr>
          <w:color w:val="auto"/>
          <w:sz w:val="29"/>
          <w:szCs w:val="29"/>
        </w:rPr>
        <w:t>后勤服务保障持续优化</w:t>
      </w:r>
    </w:p>
    <w:p w14:paraId="357AA80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校园环境与设施维护不断加强，持续开展校园净化美化工作，加强绿化养护，保障校园环境整洁有序。建立日常巡检与报修快速响应机制，全年共处理各类水电、门窗、课桌椅、教学设备等维修项目500余项，及时排除安全隐患，保障设施正常运行。</w:t>
      </w:r>
    </w:p>
    <w:p w14:paraId="39DE0E5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物资采购与资产管理规范有序，严格执行政府采购及物资管理制度，规范采购流程，完成年度教学用品、办公用品、清洁用品等常规物资采购与分发。完成年度资产清查核对工作，提高资产使用效益。水电能源管理持续加强，定期检查配电房、水泵房等重点部位，开展节水节电宣传，建设节约型校园。</w:t>
      </w:r>
    </w:p>
    <w:p w14:paraId="7D0896F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食堂与宿舍服务持续升级，始终将食品安全放在首位，严格执行食品采购、储存、加工、留样等制度，加强从业人员培训与健康管理。针对师生反馈优化菜品花样、口味与营养搭配，平稳维持饭菜价格稳定，师生满意度稳步提升。加强学生宿舍日常管理、安全巡查与设施维护，改善宿舍照明、热水供应条件，开展文明宿舍评比，营造良好住宿环境。</w:t>
      </w:r>
    </w:p>
    <w:p w14:paraId="33378BF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基建维修项目稳步推进，全年保质保量完成西大门通道道路建设、高三运动场跑道改造、篮球场改停车场等10余项基建与维修改造工程，进一步改善了办学条件。智慧校园建设持续升级，更换希沃智能教学一体机45台，完成高考AI智能巡考系统部署，教学与考务保障能力显著提升。</w:t>
      </w:r>
    </w:p>
    <w:p w14:paraId="0BAAB15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0" w:name="heading_20"/>
      <w:r>
        <w:rPr>
          <w:rFonts w:hint="eastAsia"/>
          <w:color w:val="auto"/>
          <w:sz w:val="29"/>
          <w:szCs w:val="29"/>
          <w:lang w:eastAsia="zh-CN"/>
        </w:rPr>
        <w:t>（四）</w:t>
      </w:r>
      <w:r>
        <w:rPr>
          <w:color w:val="auto"/>
          <w:sz w:val="29"/>
          <w:szCs w:val="29"/>
        </w:rPr>
        <w:t>社会效应持续显现</w:t>
      </w:r>
      <w:bookmarkEnd w:id="20"/>
    </w:p>
    <w:p w14:paraId="31CAFEF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办学质量持续提升，高考、学考成绩保持区域领先，得到社会各界和广大家长的广泛认可，优质教育资源的辐射带动作用持续发挥，为区域基础教育质量提升作出积极贡献。五育融合育人体系不断完善，学生综合素质全面提升，为社会培养德智体美劳全面发展的新时代后备人才。校园安全稳定局面持续巩固，为区域教育系统安全稳定大局提供了有力支撑。家校社协同育人机制不断完善，建成家校社教联体工作站，家长对德育工作满意度达92％，社区对学生志愿服务好评率超96％，形成了良好的育人生态。校园周边环境整治成效明显，带动周边交通与经营秩序优化，获得周边居民好评。学校办学美誉度与社会影响力持续提升。</w:t>
      </w:r>
    </w:p>
    <w:p w14:paraId="34D8DAA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1" w:name="heading_21"/>
      <w:r>
        <w:rPr>
          <w:rFonts w:hint="eastAsia"/>
          <w:color w:val="auto"/>
          <w:sz w:val="29"/>
          <w:szCs w:val="29"/>
          <w:lang w:eastAsia="zh-CN"/>
        </w:rPr>
        <w:t>（五）</w:t>
      </w:r>
      <w:r>
        <w:rPr>
          <w:color w:val="auto"/>
          <w:sz w:val="29"/>
          <w:szCs w:val="29"/>
        </w:rPr>
        <w:t>可持续发展能力不断增强</w:t>
      </w:r>
      <w:bookmarkEnd w:id="21"/>
    </w:p>
    <w:p w14:paraId="03B6FB2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师资队伍培养长效机制逐步完善，青蓝工程、分层培训、竞赛历练、课题研究等成长平台持续发挥作用，教师专业成长路径清晰，队伍整体素质稳步提升。智慧校园建设持续推进，电子巡课系统、AI智能巡考系统、智能教学终端等数字化设施不断完善，教育数字化转型稳步推进，为教育教学改革提供技术支撑。校园基础设施分步升级，西通道建设、场馆改造、设备更新等项目陆续实施，办学条件持续改善，为学校长远发展夯实硬件基础。</w:t>
      </w:r>
    </w:p>
    <w:p w14:paraId="219A721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教育教学改革不断深化，依托长郡帮扶、组团校框架，在初高中衔接、优生培养方面开展机制化探索，分层教学、拔尖创新人才培养、学困生帮扶等工作持续推进，学校发展内生动力不断增强。管理制度体系持续健全，党建、教学、财务、资产、安全等各方面制度不断完善，治理能力现代化水平逐步提升。各项长效机制的建立与完善，为学校持续健康发展提供了坚实保障。</w:t>
      </w:r>
    </w:p>
    <w:p w14:paraId="11879C3B">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2" w:name="heading_22"/>
      <w:r>
        <w:rPr>
          <w:rFonts w:hint="eastAsia"/>
          <w:color w:val="auto"/>
          <w:sz w:val="29"/>
          <w:szCs w:val="29"/>
          <w:lang w:eastAsia="zh-CN"/>
        </w:rPr>
        <w:t>（六）</w:t>
      </w:r>
      <w:r>
        <w:rPr>
          <w:color w:val="auto"/>
          <w:sz w:val="29"/>
          <w:szCs w:val="29"/>
        </w:rPr>
        <w:t>服务对象满意度较高</w:t>
      </w:r>
      <w:bookmarkEnd w:id="22"/>
    </w:p>
    <w:p w14:paraId="0C18623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通过问卷调查、意见征集、座谈访谈等多种方式，对师生、家长等服务对象开展满意度调查，结果显示，社会公众及师生对学校整体工作的满意度达92％以上，超过年度预期目标。其中，师生对食堂改造升级、教学设备更新、校园安全保障等项目满意度均超过90％；西门建设项目师生满意度达96.1％；高考考点工作考生及家长满意度达96.2％；食堂服务、后勤维修、德育活动等工作均获得较高评价，服务对象整体满意度处于较高水平。</w:t>
      </w:r>
    </w:p>
    <w:p w14:paraId="58432CA6">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23" w:name="heading_23"/>
      <w:r>
        <w:rPr>
          <w:rFonts w:hint="eastAsia"/>
          <w:color w:val="auto"/>
          <w:sz w:val="29"/>
          <w:szCs w:val="29"/>
          <w:lang w:eastAsia="zh-CN"/>
        </w:rPr>
        <w:t>九、</w:t>
      </w:r>
      <w:r>
        <w:rPr>
          <w:color w:val="auto"/>
          <w:sz w:val="29"/>
          <w:szCs w:val="29"/>
        </w:rPr>
        <w:t>存在的问题及原因分析</w:t>
      </w:r>
      <w:bookmarkEnd w:id="23"/>
    </w:p>
    <w:p w14:paraId="3477FC8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4" w:name="heading_24"/>
      <w:r>
        <w:rPr>
          <w:rFonts w:hint="eastAsia"/>
          <w:color w:val="auto"/>
          <w:sz w:val="29"/>
          <w:szCs w:val="29"/>
          <w:lang w:eastAsia="zh-CN"/>
        </w:rPr>
        <w:t>（一）</w:t>
      </w:r>
      <w:r>
        <w:rPr>
          <w:color w:val="auto"/>
          <w:sz w:val="29"/>
          <w:szCs w:val="29"/>
        </w:rPr>
        <w:t>预算编制精准性有待提升</w:t>
      </w:r>
      <w:bookmarkEnd w:id="24"/>
    </w:p>
    <w:p w14:paraId="44870BF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事业收入预决算差异较大，决算数较年初预算下降幅度较高，主要原因是事业收入主要为非税专户教育收费，受收费政策调整、学生缴费进度等因素影响较大，年初预算难以精准预判收入规模，导致收入预算与实际执行存在偏差。公用经费预决算差异率较高，主要由于年初预算公用经费编制基数较小，年中根据办学实际需求对公用经费预算进行了调整，同时部分非税收入统筹用于公用支出，导致公用经费决算数较年初预算增幅较大，预算编制的精准度仍需提升。</w:t>
      </w:r>
    </w:p>
    <w:p w14:paraId="47B9B135">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5" w:name="heading_25"/>
      <w:r>
        <w:rPr>
          <w:rFonts w:hint="eastAsia"/>
          <w:color w:val="auto"/>
          <w:sz w:val="29"/>
          <w:szCs w:val="29"/>
          <w:lang w:eastAsia="zh-CN"/>
        </w:rPr>
        <w:t>（二）</w:t>
      </w:r>
      <w:r>
        <w:rPr>
          <w:color w:val="auto"/>
          <w:sz w:val="29"/>
          <w:szCs w:val="29"/>
        </w:rPr>
        <w:t>师资队伍建设存在现实压力</w:t>
      </w:r>
      <w:bookmarkEnd w:id="25"/>
    </w:p>
    <w:p w14:paraId="4E03502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近年学校教师退休进入高峰期，2025年退休12人，2026年预计退休10人，而教师招聘补充相对滞后，导致创新班、桐林班、竞赛辅导等领域数学、物理等学科的专业师资存在缺口，一定程度上制约了拔尖创新人才培养工作的深入推进，也对部分学科教学质量的持续提升造成影响。</w:t>
      </w:r>
    </w:p>
    <w:p w14:paraId="49CAECB8">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6" w:name="heading_26"/>
      <w:r>
        <w:rPr>
          <w:rFonts w:hint="eastAsia"/>
          <w:color w:val="auto"/>
          <w:sz w:val="29"/>
          <w:szCs w:val="29"/>
          <w:lang w:eastAsia="zh-CN"/>
        </w:rPr>
        <w:t>（三）</w:t>
      </w:r>
      <w:r>
        <w:rPr>
          <w:color w:val="auto"/>
          <w:sz w:val="29"/>
          <w:szCs w:val="29"/>
        </w:rPr>
        <w:t>基础设施仍存在短板</w:t>
      </w:r>
      <w:bookmarkEnd w:id="26"/>
    </w:p>
    <w:p w14:paraId="666D97A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部分体育艺术场馆设施建设年代较早，设施陈旧功能不足，制约了大型文体活动的高质量开展。校内早期建设的教职工住宅区居住人员构成复杂，进出管理难度大，给校园安全管理带来额外压力。智慧校园与安全管理的信息化水平有待提升，现有安全管理系统功能不够完善，智能预警能力不足，与精细化管理要求存在差距。</w:t>
      </w:r>
    </w:p>
    <w:p w14:paraId="401F81AA">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7" w:name="heading_27"/>
      <w:r>
        <w:rPr>
          <w:rFonts w:hint="eastAsia"/>
          <w:color w:val="auto"/>
          <w:sz w:val="29"/>
          <w:szCs w:val="29"/>
          <w:lang w:eastAsia="zh-CN"/>
        </w:rPr>
        <w:t>（四）</w:t>
      </w:r>
      <w:r>
        <w:rPr>
          <w:color w:val="auto"/>
          <w:sz w:val="29"/>
          <w:szCs w:val="29"/>
        </w:rPr>
        <w:t>教育教学内涵发展需持续深化</w:t>
      </w:r>
      <w:bookmarkEnd w:id="27"/>
    </w:p>
    <w:p w14:paraId="66A80DF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党建与教育教学融合的创新载体有待进一步挖掘，党建引领业务发展的作用需更充分发挥。双休背景下，提升教育教学质量的路径方法仍需进一步探索，课堂教学效率仍有提升空间。分层教学、拔尖创新人才培养的系统性规划不足，学困生转化帮扶的精准性有待加强。五育融合深度不够，个别学科仍存在重智育轻其他育的现象，五育之间的有机融合机制不够完善，协同育人效应有待强化。</w:t>
      </w:r>
    </w:p>
    <w:p w14:paraId="55707331">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8" w:name="heading_28"/>
      <w:r>
        <w:rPr>
          <w:rFonts w:hint="eastAsia"/>
          <w:color w:val="auto"/>
          <w:sz w:val="29"/>
          <w:szCs w:val="29"/>
          <w:lang w:eastAsia="zh-CN"/>
        </w:rPr>
        <w:t>（五）</w:t>
      </w:r>
      <w:r>
        <w:rPr>
          <w:color w:val="auto"/>
          <w:sz w:val="29"/>
          <w:szCs w:val="29"/>
        </w:rPr>
        <w:t>项目支出管理规范性需加强</w:t>
      </w:r>
      <w:bookmarkEnd w:id="28"/>
    </w:p>
    <w:p w14:paraId="1BDAFAD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财政拨款项目支出中开支在职人员及离退休经费的比重为14.30％，不符合项目支出管理规范，主要是部分帮扶类项目中包含人员性支出，在核算时纳入项目支出范畴，项目支出与基本支出的核算边界需进一步</w:t>
      </w:r>
      <w:r>
        <w:rPr>
          <w:rFonts w:hint="eastAsia" w:cs="仿宋_GB2312"/>
          <w:color w:val="auto"/>
          <w:sz w:val="29"/>
          <w:szCs w:val="29"/>
          <w:lang w:val="en-US" w:eastAsia="zh-CN"/>
        </w:rPr>
        <w:t>理</w:t>
      </w:r>
      <w:r>
        <w:rPr>
          <w:rFonts w:ascii="Times New Roman" w:hAnsi="Times New Roman" w:eastAsia="仿宋_GB2312" w:cs="仿宋_GB2312"/>
          <w:color w:val="auto"/>
          <w:sz w:val="29"/>
          <w:szCs w:val="29"/>
        </w:rPr>
        <w:t>清，项目支出列支范围需进一步规范。</w:t>
      </w:r>
    </w:p>
    <w:p w14:paraId="2D5E6E05">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9" w:name="heading_29"/>
      <w:r>
        <w:rPr>
          <w:rFonts w:hint="eastAsia"/>
          <w:color w:val="auto"/>
          <w:sz w:val="29"/>
          <w:szCs w:val="29"/>
          <w:lang w:eastAsia="zh-CN"/>
        </w:rPr>
        <w:t>（六）</w:t>
      </w:r>
      <w:r>
        <w:rPr>
          <w:color w:val="auto"/>
          <w:sz w:val="29"/>
          <w:szCs w:val="29"/>
        </w:rPr>
        <w:t>家校社协同育人实效性有待提高</w:t>
      </w:r>
      <w:bookmarkEnd w:id="29"/>
    </w:p>
    <w:p w14:paraId="2ACDD72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家校沟通的形式仍较为传统，家长学校的内容针对性不足，对不同年龄段学生家长的差异化指导不够。校外德育实践基地数量有限，学生社会实践的广度和深度有待拓展。家校社三方协同的长效机制仍需健全，育人合力尚未充分发挥。</w:t>
      </w:r>
    </w:p>
    <w:p w14:paraId="60EF2432">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30" w:name="heading_30"/>
      <w:r>
        <w:rPr>
          <w:rFonts w:hint="eastAsia"/>
          <w:color w:val="auto"/>
          <w:sz w:val="29"/>
          <w:szCs w:val="29"/>
          <w:lang w:eastAsia="zh-CN"/>
        </w:rPr>
        <w:t>十、</w:t>
      </w:r>
      <w:r>
        <w:rPr>
          <w:color w:val="auto"/>
          <w:sz w:val="29"/>
          <w:szCs w:val="29"/>
        </w:rPr>
        <w:t>下一步改进措施</w:t>
      </w:r>
      <w:bookmarkEnd w:id="30"/>
    </w:p>
    <w:p w14:paraId="36E682C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1" w:name="heading_31"/>
      <w:r>
        <w:rPr>
          <w:rFonts w:hint="eastAsia"/>
          <w:color w:val="auto"/>
          <w:sz w:val="29"/>
          <w:szCs w:val="29"/>
          <w:lang w:eastAsia="zh-CN"/>
        </w:rPr>
        <w:t>（一）</w:t>
      </w:r>
      <w:r>
        <w:rPr>
          <w:color w:val="auto"/>
          <w:sz w:val="29"/>
          <w:szCs w:val="29"/>
        </w:rPr>
        <w:t>提高预算编制精准度</w:t>
      </w:r>
      <w:bookmarkEnd w:id="31"/>
    </w:p>
    <w:p w14:paraId="03990F6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加强收入研判，提前摸排非税收入征缴情况，结合政策变化、学生规模等因素科学测算事业收入规模，提高收入预算准确性。细化公用经费预算编制，结合学校年度工作任务、历史支出数据和实际办学需求，逐项测算公用经费需求，压缩预决算偏差。加强预算执行动态监控，定期分析预算执行进度与偏差，及时调整优化支出结构，强化预算刚性约束，不断提升预算管理精细化水平。</w:t>
      </w:r>
    </w:p>
    <w:p w14:paraId="51C993D3">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2" w:name="heading_32"/>
      <w:r>
        <w:rPr>
          <w:rFonts w:hint="eastAsia"/>
          <w:color w:val="auto"/>
          <w:sz w:val="29"/>
          <w:szCs w:val="29"/>
          <w:lang w:eastAsia="zh-CN"/>
        </w:rPr>
        <w:t>（二）</w:t>
      </w:r>
      <w:r>
        <w:rPr>
          <w:color w:val="auto"/>
          <w:sz w:val="29"/>
          <w:szCs w:val="29"/>
        </w:rPr>
        <w:t>强化师资队伍建设</w:t>
      </w:r>
      <w:bookmarkEnd w:id="32"/>
    </w:p>
    <w:p w14:paraId="1061910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积极争取上级主管部门支持，抢抓招聘窗口期，及时补充紧缺学科教师，优化师资学科结构与年龄结构。深化校本培训体系，常态化举办教学比武、解题讲题比赛、教研沙龙等活动，加大青年教师培养力度，发挥骨干教师传帮带作用，通过青蓝工程加快青年教师成长。完善激励机制，对承担竞赛辅导、课题研究的教师给予政策倾斜，鼓励教师深耕专业，提升业务能力。全年计划培养市级以上骨干教师不少于10人，逐步缓解师资缺口压力，打造高素质专业化教师队伍。</w:t>
      </w:r>
    </w:p>
    <w:p w14:paraId="325DC2C7">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3" w:name="heading_33"/>
      <w:r>
        <w:rPr>
          <w:rFonts w:hint="eastAsia"/>
          <w:color w:val="auto"/>
          <w:sz w:val="29"/>
          <w:szCs w:val="29"/>
          <w:lang w:eastAsia="zh-CN"/>
        </w:rPr>
        <w:t>（三）</w:t>
      </w:r>
      <w:r>
        <w:rPr>
          <w:color w:val="auto"/>
          <w:sz w:val="29"/>
          <w:szCs w:val="29"/>
        </w:rPr>
        <w:t>持续改善办学条件</w:t>
      </w:r>
      <w:bookmarkEnd w:id="33"/>
    </w:p>
    <w:p w14:paraId="3590A63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积极向上申报老旧场馆设施更新改造和西大门建设项目，争取专项资金支持，分步推进体育艺术场馆功能升级，逐步补齐设施短板。配合相关部门积极探索校内老旧住宅区管理的有效路径，推动住宅区社会化管理，减轻校园安全管理压力。推进智慧校园升级建设，新建AI学习室，为各班配备电子班牌，升级校园智能安防系统，拓展信息化管理功能，提升管理智能化、精细化水平。</w:t>
      </w:r>
    </w:p>
    <w:p w14:paraId="2EBE8491">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4" w:name="heading_34"/>
      <w:r>
        <w:rPr>
          <w:rFonts w:hint="eastAsia"/>
          <w:color w:val="auto"/>
          <w:sz w:val="29"/>
          <w:szCs w:val="29"/>
          <w:lang w:eastAsia="zh-CN"/>
        </w:rPr>
        <w:t>（四）</w:t>
      </w:r>
      <w:r>
        <w:rPr>
          <w:color w:val="auto"/>
          <w:sz w:val="29"/>
          <w:szCs w:val="29"/>
        </w:rPr>
        <w:t>深化教育教学内涵发展</w:t>
      </w:r>
      <w:bookmarkEnd w:id="34"/>
    </w:p>
    <w:p w14:paraId="03D55AB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创新党建与业务融合载体，打造具有学科特色的党建项目，推动党建工作与教育教学深度融合，以高质量党建引领高质量办学。深入研究双休背景下教学提质路径，深化课堂教学改革，推广项目式、探究式教学，提高课堂教学效率，全年计划举办高质量校级公开课、研讨课不少于100节。系统规划拔尖创新人才培养方案，完善早期识别与贯通培养机制；大力实施后进生促进计划，建立个性化帮扶档案，提升分层教学精准度。出台五育并举实施细则，推动各学科深度融入德育、美育、劳育元素，设计更多跨学科融合活动，促进学生全面发展。</w:t>
      </w:r>
    </w:p>
    <w:p w14:paraId="1A21CF44">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5" w:name="heading_35"/>
      <w:r>
        <w:rPr>
          <w:rFonts w:hint="eastAsia"/>
          <w:color w:val="auto"/>
          <w:sz w:val="29"/>
          <w:szCs w:val="29"/>
          <w:lang w:eastAsia="zh-CN"/>
        </w:rPr>
        <w:t>（五）</w:t>
      </w:r>
      <w:r>
        <w:rPr>
          <w:color w:val="auto"/>
          <w:sz w:val="29"/>
          <w:szCs w:val="29"/>
        </w:rPr>
        <w:t>规范项目支出管理</w:t>
      </w:r>
      <w:bookmarkEnd w:id="35"/>
    </w:p>
    <w:p w14:paraId="1AE662D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进一步明确基本支出与项目支出的核算边界，梳理项目支出列支范围，清理规范项目支出中的人员经费列支事项，确保项目资金专项用于特定工作任务。加强项目立项审核，严格界定项目支出内容，杜绝超范围、超标准列支，不断提高项目资金使用的规范性与精准性。</w:t>
      </w:r>
    </w:p>
    <w:p w14:paraId="38EBD34B">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6" w:name="heading_36"/>
      <w:r>
        <w:rPr>
          <w:rFonts w:hint="eastAsia"/>
          <w:color w:val="auto"/>
          <w:sz w:val="29"/>
          <w:szCs w:val="29"/>
          <w:lang w:eastAsia="zh-CN"/>
        </w:rPr>
        <w:t>（六）</w:t>
      </w:r>
      <w:r>
        <w:rPr>
          <w:color w:val="auto"/>
          <w:sz w:val="29"/>
          <w:szCs w:val="29"/>
        </w:rPr>
        <w:t>完善家校社协同育人机制</w:t>
      </w:r>
      <w:bookmarkEnd w:id="36"/>
    </w:p>
    <w:p w14:paraId="003ACB1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创新家长学校办学模式，针对不同年级学生特点设计差异化家庭教育课程，提供更具针对性的家庭教育指导，丰富家校沟通形式，提升家校沟通实效。拓展校外实践基地，年内力争新增1至2个稳定的社会实践合作点，丰富学生实践载体。深化与社区、政法、文旅等部门的协作，整合各类育人资源，建立常态化协同机制，凝聚育人合力，构建更加完善的家校社协同育人生态。</w:t>
      </w:r>
    </w:p>
    <w:p w14:paraId="0DE2E2D1">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37" w:name="heading_37"/>
      <w:r>
        <w:rPr>
          <w:rFonts w:hint="eastAsia"/>
          <w:color w:val="auto"/>
          <w:sz w:val="29"/>
          <w:szCs w:val="29"/>
          <w:lang w:eastAsia="zh-CN"/>
        </w:rPr>
        <w:t>十一、</w:t>
      </w:r>
      <w:r>
        <w:rPr>
          <w:color w:val="auto"/>
          <w:sz w:val="29"/>
          <w:szCs w:val="29"/>
        </w:rPr>
        <w:t>绩效自评结果拟应用和公开情况</w:t>
      </w:r>
      <w:bookmarkEnd w:id="37"/>
    </w:p>
    <w:p w14:paraId="798CC72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8" w:name="heading_38"/>
      <w:r>
        <w:rPr>
          <w:rFonts w:hint="eastAsia"/>
          <w:color w:val="auto"/>
          <w:sz w:val="29"/>
          <w:szCs w:val="29"/>
          <w:lang w:eastAsia="zh-CN"/>
        </w:rPr>
        <w:t>（一）</w:t>
      </w:r>
      <w:r>
        <w:rPr>
          <w:color w:val="auto"/>
          <w:sz w:val="29"/>
          <w:szCs w:val="29"/>
        </w:rPr>
        <w:t>绩效自评结果拟应用情况</w:t>
      </w:r>
      <w:bookmarkEnd w:id="38"/>
    </w:p>
    <w:p w14:paraId="543148E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将本次整体支出绩效自评结果作为下一年度预算编制、资金分配、项目安排的重要依据，针对自评中发现的问题与短板，优化支出结构，优先保障教育教学、师资建设、安全保障、民生服务等重点领域和关键环节的资金需求。将绩效目标完成情况纳入学校内部处室考核体系，压实各业务处室绩效管理责任，推动绩效管理与业务工作深度融合，形成“花钱必问效、无效必问责”的管理机制。对绩效优良、成效显著的项目在下一年度优先保障资金；对执行偏差较大、绩效不佳的项目，缩减资金规模或调整优化项目内容，不断提升财政资金使用效益。</w:t>
      </w:r>
    </w:p>
    <w:p w14:paraId="79B0DD60">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9" w:name="heading_39"/>
      <w:r>
        <w:rPr>
          <w:rFonts w:hint="eastAsia"/>
          <w:color w:val="auto"/>
          <w:sz w:val="29"/>
          <w:szCs w:val="29"/>
          <w:lang w:eastAsia="zh-CN"/>
        </w:rPr>
        <w:t>（二）</w:t>
      </w:r>
      <w:r>
        <w:rPr>
          <w:color w:val="auto"/>
          <w:sz w:val="29"/>
          <w:szCs w:val="29"/>
        </w:rPr>
        <w:t>绩效自评结果公开情况</w:t>
      </w:r>
      <w:bookmarkEnd w:id="39"/>
    </w:p>
    <w:p w14:paraId="525D63A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按照财政部门关于预决算信息公开的统一工作部署与要求，将本部门整体支出绩效自评报告随同2025年度部门决算一并在规定公开平台向社会公开，主动接受社会监督，确保预算管理与资金使用公开透明，不断提升部门财务管理规范化水平。</w:t>
      </w:r>
    </w:p>
    <w:p w14:paraId="727875F5">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40" w:name="heading_40"/>
      <w:r>
        <w:rPr>
          <w:rFonts w:hint="eastAsia"/>
          <w:color w:val="auto"/>
          <w:sz w:val="29"/>
          <w:szCs w:val="29"/>
          <w:lang w:eastAsia="zh-CN"/>
        </w:rPr>
        <w:t>十二、</w:t>
      </w:r>
      <w:r>
        <w:rPr>
          <w:color w:val="auto"/>
          <w:sz w:val="29"/>
          <w:szCs w:val="29"/>
        </w:rPr>
        <w:t>其他需要说明的情况</w:t>
      </w:r>
      <w:bookmarkEnd w:id="40"/>
    </w:p>
    <w:p w14:paraId="68DBFA8F">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rPr>
      </w:pPr>
      <w:r>
        <w:rPr>
          <w:rFonts w:ascii="Times New Roman" w:hAnsi="Times New Roman" w:eastAsia="仿宋_GB2312" w:cs="仿宋_GB2312"/>
          <w:color w:val="auto"/>
          <w:sz w:val="29"/>
          <w:szCs w:val="29"/>
        </w:rPr>
        <w:t>2025年度学校无因公出国（境）支出、公务接待支出、公务用车购置支出，“三公”经费仅包含公务用车运行维护费，支出规模小、管控严格。</w:t>
      </w:r>
    </w:p>
    <w:sectPr>
      <w:headerReference r:id="rId3" w:type="default"/>
      <w:footerReference r:id="rId5" w:type="default"/>
      <w:headerReference r:id="rId4" w:type="even"/>
      <w:footerReference r:id="rId6" w:type="even"/>
      <w:pgSz w:w="11905" w:h="16840"/>
      <w:pgMar w:top="2098" w:right="1474" w:bottom="1984" w:left="1587" w:header="851" w:footer="1417" w:gutter="0"/>
      <w:pgNumType w:fmt="decimal"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D40DB">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2046A2CD">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EvjmXRAAAA&#10;BgEAAA8AAAAAAAAAAQAgAAAAIgAAAGRycy9kb3ducmV2LnhtbFBLAQIUABQAAAAIAIdO4kCNsDni&#10;6wEAANEDAAAOAAAAAAAAAAEAIAAAACABAABkcnMvZTJvRG9jLnhtbFBLBQYAAAAABgAGAFkBAAB9&#10;BQAAAAA=&#10;">
              <v:fill on="f" focussize="0,0"/>
              <v:stroke on="f"/>
              <v:imagedata o:title=""/>
              <o:lock v:ext="edit" aspectratio="f"/>
              <v:textbox inset="16pt,0mm,16pt,0mm" style="mso-fit-shape-to-text:t;">
                <w:txbxContent>
                  <w:p w14:paraId="2046A2CD">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6EB54">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5812721E">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xL45l0QAA&#10;AAYBAAAPAAAAAAAAAAEAIAAAACIAAABkcnMvZG93bnJldi54bWxQSwECFAAUAAAACACHTuJA+0dY&#10;1+wBAADRAwAADgAAAAAAAAABACAAAAAgAQAAZHJzL2Uyb0RvYy54bWxQSwUGAAAAAAYABgBZAQAA&#10;fgUAAAAA&#10;">
              <v:fill on="f" focussize="0,0"/>
              <v:stroke on="f"/>
              <v:imagedata o:title=""/>
              <o:lock v:ext="edit" aspectratio="f"/>
              <v:textbox inset="16pt,0mm,16pt,0mm" style="mso-fit-shape-to-text:t;">
                <w:txbxContent>
                  <w:p w14:paraId="5812721E">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E7444">
    <w:pPr>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EE817">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evenAndOddHeaders w:val="1"/>
  <w:drawingGridHorizontalSpacing w:val="158"/>
  <w:drawingGridVerticalSpacing w:val="290"/>
  <w:displayHorizontalDrawingGridEvery w:val="2"/>
  <w:displayVerticalDrawingGridEvery w:val="2"/>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817E99"/>
    <w:rsid w:val="3498562E"/>
    <w:rsid w:val="462C765D"/>
    <w:rsid w:val="4954425A"/>
    <w:rsid w:val="4D086512"/>
    <w:rsid w:val="68814472"/>
    <w:rsid w:val="DF7F41D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officialmode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12654</Words>
  <Characters>13270</Characters>
  <TotalTime>39</TotalTime>
  <ScaleCrop>false</ScaleCrop>
  <LinksUpToDate>false</LinksUpToDate>
  <CharactersWithSpaces>13281</CharactersWithSpaces>
  <Application>WPS Office_12.1.2.23578_F1E327BC-269C-435d-A152-05C5408002CA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2026-07-01T00:09:00Z</dcterms:created>
  <dc:creator>Apache POI</dc:creator>
  <cp:lastModifiedBy>A梦</cp:lastModifiedBy>
  <dcterms:modified xsi:type="dcterms:W3CDTF">2026-10-12T16:26:15Z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{"Label":"1","ContentProducer":"001191110102MACQD9K64010000","ProduceID":"7657221226972269540","ReservedCode1":"","ContentPropagator":"","PropagateID":"","ReservedCode2":""}</vt:lpwstr>
  </property>
  <property fmtid="{D5CDD505-2E9C-101B-9397-08002B2CF9AE}" pid="3" name="KSOTemplateDocerSaveRecord">
    <vt:lpwstr>eyJoZGlkIjoiMTczOTJhY2U1ZmQ1YTU1YzBmN2E2YzM1MjRlM2ZhOTkiLCJ1c2VySWQiOiI1NTY5MjczOTIifQ==</vt:lpwstr>
  </property>
  <property fmtid="{D5CDD505-2E9C-101B-9397-08002B2CF9AE}" pid="4" name="KSOProductBuildVer">
    <vt:lpwstr>2052-12.1.2.23578</vt:lpwstr>
  </property>
  <property fmtid="{D5CDD505-2E9C-101B-9397-08002B2CF9AE}" pid="5" name="ICV">
    <vt:lpwstr>625437C121584358A8E3C5BEFF74EE68_13</vt:lpwstr>
  </property>
</Properties>
</file>