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F08D7">
      <w:pPr>
        <w:pStyle w:val="14"/>
        <w:jc w:val="both"/>
        <w:rPr>
          <w:rFonts w:hint="eastAsia" w:hAnsi="黑体" w:eastAsia="黑体"/>
          <w:sz w:val="36"/>
          <w:szCs w:val="36"/>
          <w:lang w:eastAsia="zh-CN"/>
        </w:rPr>
      </w:pPr>
      <w:r>
        <w:rPr>
          <w:rFonts w:hint="eastAsia" w:hAnsi="黑体"/>
          <w:sz w:val="36"/>
          <w:szCs w:val="36"/>
        </w:rPr>
        <w:t>附件</w:t>
      </w:r>
      <w:r>
        <w:rPr>
          <w:rFonts w:hint="eastAsia" w:hAnsi="黑体"/>
          <w:sz w:val="36"/>
          <w:szCs w:val="36"/>
          <w:lang w:val="en-US" w:eastAsia="zh-CN"/>
        </w:rPr>
        <w:t>2</w:t>
      </w:r>
    </w:p>
    <w:p w14:paraId="3C2E8B15">
      <w:pPr>
        <w:pStyle w:val="14"/>
        <w:jc w:val="center"/>
        <w:rPr>
          <w:rFonts w:ascii="Times New Roman" w:hAnsi="Times New Roman" w:cs="Times New Roman"/>
          <w:sz w:val="56"/>
          <w:szCs w:val="56"/>
        </w:rPr>
      </w:pPr>
    </w:p>
    <w:p w14:paraId="2F4AF945">
      <w:pPr>
        <w:pStyle w:val="14"/>
        <w:jc w:val="center"/>
        <w:rPr>
          <w:rFonts w:ascii="Times New Roman" w:hAnsi="Times New Roman" w:cs="Times New Roman"/>
          <w:sz w:val="84"/>
          <w:szCs w:val="84"/>
        </w:rPr>
      </w:pPr>
    </w:p>
    <w:p w14:paraId="3EFD8045">
      <w:pPr>
        <w:pStyle w:val="14"/>
        <w:jc w:val="center"/>
        <w:rPr>
          <w:rFonts w:ascii="Times New Roman" w:hAnsi="Times New Roman" w:cs="Times New Roman"/>
          <w:sz w:val="84"/>
          <w:szCs w:val="84"/>
        </w:rPr>
      </w:pPr>
    </w:p>
    <w:p w14:paraId="0C4BB701">
      <w:pPr>
        <w:pStyle w:val="14"/>
        <w:jc w:val="center"/>
        <w:rPr>
          <w:rFonts w:ascii="Times New Roman" w:hAnsi="Times New Roman" w:eastAsia="方正小标宋简体" w:cs="Times New Roman"/>
          <w:sz w:val="52"/>
          <w:szCs w:val="52"/>
        </w:rPr>
      </w:pPr>
      <w:r>
        <w:rPr>
          <w:rFonts w:ascii="Times New Roman" w:hAnsi="Times New Roman" w:eastAsia="方正小标宋简体" w:cs="Times New Roman"/>
          <w:sz w:val="52"/>
          <w:szCs w:val="52"/>
        </w:rPr>
        <w:t>202</w:t>
      </w:r>
      <w:r>
        <w:rPr>
          <w:rFonts w:hint="eastAsia" w:ascii="Times New Roman" w:hAnsi="Times New Roman" w:eastAsia="方正小标宋简体" w:cs="Times New Roman"/>
          <w:sz w:val="52"/>
          <w:szCs w:val="52"/>
          <w:lang w:val="en-US" w:eastAsia="zh-CN"/>
        </w:rPr>
        <w:t>5</w:t>
      </w:r>
      <w:r>
        <w:rPr>
          <w:rFonts w:ascii="Times New Roman" w:hAnsi="Times New Roman" w:eastAsia="方正小标宋简体" w:cs="Times New Roman"/>
          <w:sz w:val="52"/>
          <w:szCs w:val="52"/>
        </w:rPr>
        <w:t>年度</w:t>
      </w:r>
    </w:p>
    <w:p w14:paraId="06A61BDD">
      <w:pPr>
        <w:pStyle w:val="14"/>
        <w:jc w:val="center"/>
        <w:rPr>
          <w:rFonts w:ascii="Times New Roman" w:hAnsi="Times New Roman" w:eastAsia="方正小标宋简体" w:cs="Times New Roman"/>
          <w:sz w:val="72"/>
          <w:szCs w:val="72"/>
        </w:rPr>
      </w:pPr>
      <w:r>
        <w:rPr>
          <w:rFonts w:hint="eastAsia" w:ascii="Times New Roman" w:hAnsi="Times New Roman" w:eastAsia="方正小标宋简体" w:cs="Times New Roman"/>
          <w:sz w:val="52"/>
          <w:szCs w:val="52"/>
          <w:lang w:eastAsia="zh-CN"/>
        </w:rPr>
        <w:t>怀化市第三中学</w:t>
      </w:r>
      <w:r>
        <w:rPr>
          <w:rFonts w:ascii="Times New Roman" w:hAnsi="Times New Roman" w:eastAsia="方正小标宋简体" w:cs="Times New Roman"/>
          <w:sz w:val="52"/>
          <w:szCs w:val="52"/>
        </w:rPr>
        <w:t>部门决算</w:t>
      </w:r>
    </w:p>
    <w:p w14:paraId="7E93E38F">
      <w:pPr>
        <w:pStyle w:val="14"/>
        <w:spacing w:line="600" w:lineRule="exact"/>
        <w:jc w:val="both"/>
        <w:rPr>
          <w:rFonts w:ascii="Times New Roman" w:hAnsi="Times New Roman" w:cs="Times New Roman"/>
          <w:b/>
          <w:sz w:val="36"/>
          <w:szCs w:val="28"/>
        </w:rPr>
      </w:pPr>
    </w:p>
    <w:p w14:paraId="1BD90442">
      <w:pPr>
        <w:pStyle w:val="14"/>
        <w:spacing w:line="600" w:lineRule="exact"/>
        <w:jc w:val="both"/>
        <w:rPr>
          <w:rFonts w:ascii="Times New Roman" w:hAnsi="Times New Roman" w:cs="Times New Roman"/>
          <w:b/>
          <w:sz w:val="36"/>
          <w:szCs w:val="28"/>
        </w:rPr>
      </w:pPr>
    </w:p>
    <w:p w14:paraId="17858BB2">
      <w:pPr>
        <w:pStyle w:val="14"/>
        <w:spacing w:line="600" w:lineRule="exact"/>
        <w:jc w:val="both"/>
        <w:rPr>
          <w:rFonts w:ascii="Times New Roman" w:hAnsi="Times New Roman" w:cs="Times New Roman"/>
          <w:b/>
          <w:sz w:val="36"/>
          <w:szCs w:val="28"/>
        </w:rPr>
      </w:pPr>
    </w:p>
    <w:p w14:paraId="4CA168B2">
      <w:pPr>
        <w:pStyle w:val="14"/>
        <w:spacing w:line="600" w:lineRule="exact"/>
        <w:jc w:val="both"/>
        <w:rPr>
          <w:rFonts w:ascii="Times New Roman" w:hAnsi="Times New Roman" w:cs="Times New Roman"/>
          <w:b/>
          <w:sz w:val="36"/>
          <w:szCs w:val="28"/>
        </w:rPr>
      </w:pPr>
    </w:p>
    <w:p w14:paraId="7053110F">
      <w:pPr>
        <w:pStyle w:val="14"/>
        <w:spacing w:line="600" w:lineRule="exact"/>
        <w:jc w:val="both"/>
        <w:rPr>
          <w:rFonts w:ascii="Times New Roman" w:hAnsi="Times New Roman" w:cs="Times New Roman"/>
          <w:b/>
          <w:sz w:val="36"/>
          <w:szCs w:val="28"/>
        </w:rPr>
      </w:pPr>
    </w:p>
    <w:p w14:paraId="1CEB3C1D">
      <w:pPr>
        <w:pStyle w:val="14"/>
        <w:spacing w:line="600" w:lineRule="exact"/>
        <w:jc w:val="both"/>
        <w:rPr>
          <w:rFonts w:ascii="Times New Roman" w:hAnsi="Times New Roman" w:cs="Times New Roman"/>
          <w:b/>
          <w:sz w:val="36"/>
          <w:szCs w:val="28"/>
        </w:rPr>
      </w:pPr>
    </w:p>
    <w:p w14:paraId="3D39C805">
      <w:pPr>
        <w:pStyle w:val="14"/>
        <w:spacing w:line="600" w:lineRule="exact"/>
        <w:jc w:val="both"/>
        <w:rPr>
          <w:rFonts w:ascii="Times New Roman" w:hAnsi="Times New Roman" w:cs="Times New Roman"/>
          <w:b/>
          <w:sz w:val="36"/>
          <w:szCs w:val="28"/>
        </w:rPr>
      </w:pPr>
    </w:p>
    <w:p w14:paraId="1DBAA537">
      <w:pPr>
        <w:pStyle w:val="14"/>
        <w:spacing w:line="600" w:lineRule="exact"/>
        <w:jc w:val="both"/>
        <w:rPr>
          <w:rFonts w:ascii="Times New Roman" w:hAnsi="Times New Roman" w:cs="Times New Roman"/>
          <w:b/>
          <w:sz w:val="36"/>
          <w:szCs w:val="28"/>
        </w:rPr>
      </w:pPr>
    </w:p>
    <w:p w14:paraId="7000B26C">
      <w:pPr>
        <w:pStyle w:val="14"/>
        <w:spacing w:line="600" w:lineRule="exact"/>
        <w:jc w:val="both"/>
        <w:rPr>
          <w:rFonts w:ascii="Times New Roman" w:hAnsi="Times New Roman" w:cs="Times New Roman"/>
          <w:b/>
          <w:sz w:val="36"/>
          <w:szCs w:val="28"/>
        </w:rPr>
      </w:pPr>
    </w:p>
    <w:p w14:paraId="0EAD88CA">
      <w:pPr>
        <w:pStyle w:val="14"/>
        <w:spacing w:line="600" w:lineRule="exact"/>
        <w:jc w:val="both"/>
        <w:rPr>
          <w:rFonts w:ascii="Times New Roman" w:hAnsi="Times New Roman" w:cs="Times New Roman"/>
          <w:b/>
          <w:sz w:val="36"/>
          <w:szCs w:val="28"/>
        </w:rPr>
      </w:pPr>
    </w:p>
    <w:p w14:paraId="4B60939B">
      <w:pPr>
        <w:pStyle w:val="14"/>
        <w:spacing w:line="600" w:lineRule="exact"/>
        <w:jc w:val="both"/>
        <w:rPr>
          <w:rFonts w:ascii="Times New Roman" w:hAnsi="Times New Roman" w:cs="Times New Roman"/>
          <w:b/>
          <w:sz w:val="36"/>
          <w:szCs w:val="28"/>
        </w:rPr>
      </w:pPr>
    </w:p>
    <w:p w14:paraId="60610088">
      <w:pPr>
        <w:pStyle w:val="14"/>
        <w:spacing w:line="600" w:lineRule="exact"/>
        <w:jc w:val="both"/>
        <w:rPr>
          <w:rFonts w:ascii="Times New Roman" w:hAnsi="Times New Roman" w:cs="Times New Roman"/>
          <w:b/>
          <w:sz w:val="36"/>
          <w:szCs w:val="28"/>
        </w:rPr>
      </w:pPr>
    </w:p>
    <w:p w14:paraId="3E66DBBE">
      <w:pPr>
        <w:pStyle w:val="14"/>
        <w:spacing w:line="600" w:lineRule="exact"/>
        <w:jc w:val="center"/>
        <w:rPr>
          <w:rFonts w:ascii="Times New Roman" w:hAnsi="Times New Roman" w:cs="Times New Roman"/>
          <w:bCs/>
          <w:sz w:val="36"/>
          <w:szCs w:val="28"/>
        </w:rPr>
      </w:pPr>
    </w:p>
    <w:p w14:paraId="6E294C94">
      <w:pPr>
        <w:pStyle w:val="14"/>
        <w:spacing w:line="600" w:lineRule="exact"/>
        <w:jc w:val="center"/>
        <w:rPr>
          <w:rFonts w:ascii="Times New Roman" w:hAnsi="Times New Roman" w:cs="Times New Roman"/>
          <w:bCs/>
          <w:sz w:val="36"/>
          <w:szCs w:val="28"/>
        </w:rPr>
      </w:pPr>
      <w:r>
        <w:rPr>
          <w:rFonts w:ascii="Times New Roman" w:hAnsi="Times New Roman" w:cs="Times New Roman"/>
          <w:bCs/>
          <w:sz w:val="36"/>
          <w:szCs w:val="28"/>
        </w:rPr>
        <w:t>目  录</w:t>
      </w:r>
    </w:p>
    <w:p w14:paraId="7F0DA82E">
      <w:pPr>
        <w:pStyle w:val="14"/>
        <w:spacing w:line="600" w:lineRule="exact"/>
        <w:jc w:val="center"/>
        <w:rPr>
          <w:rFonts w:ascii="Times New Roman" w:hAnsi="Times New Roman" w:cs="Times New Roman"/>
          <w:b/>
          <w:sz w:val="36"/>
          <w:szCs w:val="28"/>
        </w:rPr>
      </w:pPr>
    </w:p>
    <w:p w14:paraId="5C8CE52D">
      <w:pPr>
        <w:pStyle w:val="14"/>
        <w:spacing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第一部分 </w:t>
      </w:r>
      <w:r>
        <w:rPr>
          <w:rFonts w:hint="eastAsia" w:ascii="Times New Roman" w:hAnsi="Times New Roman" w:cs="Times New Roman"/>
          <w:bCs/>
          <w:sz w:val="32"/>
          <w:szCs w:val="32"/>
          <w:lang w:eastAsia="zh-CN"/>
        </w:rPr>
        <w:t>怀化市第三中学</w:t>
      </w:r>
      <w:r>
        <w:rPr>
          <w:rFonts w:ascii="Times New Roman" w:hAnsi="Times New Roman" w:cs="Times New Roman"/>
          <w:bCs/>
          <w:sz w:val="32"/>
          <w:szCs w:val="32"/>
        </w:rPr>
        <w:t>概况</w:t>
      </w:r>
    </w:p>
    <w:p w14:paraId="7D0BFE3D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一、部门职责</w:t>
      </w:r>
    </w:p>
    <w:p w14:paraId="47B5CD31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二、机构设置及决算单位构成</w:t>
      </w:r>
    </w:p>
    <w:p w14:paraId="4B5DFC48">
      <w:pPr>
        <w:pStyle w:val="14"/>
        <w:spacing w:before="156" w:beforeLines="50"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第二部分 部门决算表</w:t>
      </w:r>
    </w:p>
    <w:p w14:paraId="647E67E1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一、收入支出决算总表</w:t>
      </w:r>
    </w:p>
    <w:p w14:paraId="5F40B538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二、收入决算表</w:t>
      </w:r>
    </w:p>
    <w:p w14:paraId="5365505D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三、支出决算表</w:t>
      </w:r>
    </w:p>
    <w:p w14:paraId="0D31F3C1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四、财政拨款收入支出决算总表</w:t>
      </w:r>
    </w:p>
    <w:p w14:paraId="639425F5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五、一般公共预算财政拨款支出决算表</w:t>
      </w:r>
    </w:p>
    <w:p w14:paraId="32F31065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六、一般公共预算财政拨款基本支出决算明细表</w:t>
      </w:r>
    </w:p>
    <w:p w14:paraId="3F800D4E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七、政府性基金预算财政拨款收入支出决算表</w:t>
      </w:r>
    </w:p>
    <w:p w14:paraId="792E5AF7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八、国有资本经营预算财政拨款支出决算表</w:t>
      </w:r>
    </w:p>
    <w:p w14:paraId="18FCA4AF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九、财政拨款“三公”经费支出决算表</w:t>
      </w:r>
    </w:p>
    <w:p w14:paraId="3B14D815">
      <w:pPr>
        <w:pStyle w:val="14"/>
        <w:spacing w:before="156" w:beforeLines="50"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第三部分 部门决算情况说明</w:t>
      </w:r>
    </w:p>
    <w:p w14:paraId="25332169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一、收入支出决算总体情况说明</w:t>
      </w:r>
    </w:p>
    <w:p w14:paraId="3E12F176">
      <w:pPr>
        <w:spacing w:line="60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二、收入决算情况说明</w:t>
      </w:r>
    </w:p>
    <w:p w14:paraId="3FD99170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三、支出决算情况说明</w:t>
      </w:r>
    </w:p>
    <w:p w14:paraId="6390E89B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四、财政拨款收入支出决算总体情况说明</w:t>
      </w:r>
    </w:p>
    <w:p w14:paraId="6DE8C3DA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五、一般公共预算财政拨款支出决算情况说明</w:t>
      </w:r>
    </w:p>
    <w:p w14:paraId="77E0BE28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sectPr>
          <w:footerReference r:id="rId3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0D9BD36A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六、一般公共预算财政拨款基本支出决算情况说明</w:t>
      </w:r>
    </w:p>
    <w:p w14:paraId="35CEFE94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七、财政拨款“三公”经费支出决算情况说明</w:t>
      </w:r>
    </w:p>
    <w:p w14:paraId="3D10A5FF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八、政府性基金预算收入支出决算情况</w:t>
      </w:r>
    </w:p>
    <w:p w14:paraId="6443008A">
      <w:pPr>
        <w:pStyle w:val="14"/>
        <w:spacing w:line="600" w:lineRule="exact"/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九</w:t>
      </w:r>
      <w:r>
        <w:rPr>
          <w:rFonts w:ascii="Times New Roman" w:hAnsi="Times New Roman" w:eastAsia="仿宋_GB2312" w:cs="Times New Roman"/>
          <w:sz w:val="32"/>
          <w:szCs w:val="32"/>
        </w:rPr>
        <w:t>、国有资本经营预算财政拨款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收入</w:t>
      </w:r>
      <w:r>
        <w:rPr>
          <w:rFonts w:ascii="Times New Roman" w:hAnsi="Times New Roman" w:eastAsia="仿宋_GB2312" w:cs="Times New Roman"/>
          <w:sz w:val="32"/>
          <w:szCs w:val="32"/>
        </w:rPr>
        <w:t>支出决算表</w:t>
      </w:r>
    </w:p>
    <w:p w14:paraId="6547D24A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十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、关于机关运行经费支出说明</w:t>
      </w:r>
    </w:p>
    <w:p w14:paraId="5FD9E9EF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一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、一般性支出情况说明</w:t>
      </w:r>
    </w:p>
    <w:p w14:paraId="7CA02266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二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、关于政府采购支出说明</w:t>
      </w:r>
    </w:p>
    <w:p w14:paraId="3C32C26B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</w:t>
      </w:r>
      <w:r>
        <w:rPr>
          <w:rFonts w:ascii="Times New Roman" w:hAnsi="Times New Roman" w:eastAsia="仿宋_GB2312" w:cs="Times New Roman"/>
          <w:sz w:val="32"/>
          <w:szCs w:val="32"/>
        </w:rPr>
        <w:t>、关于国有资产占用情况说明</w:t>
      </w:r>
    </w:p>
    <w:p w14:paraId="2569BC2A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四</w:t>
      </w:r>
      <w:r>
        <w:rPr>
          <w:rFonts w:ascii="Times New Roman" w:hAnsi="Times New Roman" w:eastAsia="仿宋_GB2312" w:cs="Times New Roman"/>
          <w:sz w:val="32"/>
          <w:szCs w:val="32"/>
        </w:rPr>
        <w:t>、关于202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年度预算绩效管理情况的说明</w:t>
      </w:r>
    </w:p>
    <w:p w14:paraId="461C5CD5">
      <w:pPr>
        <w:pStyle w:val="14"/>
        <w:spacing w:before="156" w:beforeLines="50"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第四部分 名词解释</w:t>
      </w:r>
    </w:p>
    <w:p w14:paraId="77D79730">
      <w:pPr>
        <w:pStyle w:val="14"/>
        <w:spacing w:before="156" w:beforeLines="50"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第五部分 附件</w:t>
      </w:r>
    </w:p>
    <w:p w14:paraId="7C3D4E4C">
      <w:pPr>
        <w:pStyle w:val="14"/>
        <w:spacing w:line="600" w:lineRule="exact"/>
        <w:rPr>
          <w:rFonts w:ascii="Times New Roman" w:hAnsi="Times New Roman" w:cs="Times New Roman"/>
          <w:bCs/>
          <w:sz w:val="28"/>
          <w:szCs w:val="28"/>
        </w:rPr>
      </w:pPr>
    </w:p>
    <w:p w14:paraId="16C69791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6989E8BE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12B1E903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47462417">
      <w:pPr>
        <w:pStyle w:val="8"/>
        <w:rPr>
          <w:rFonts w:ascii="Times New Roman" w:hAnsi="Times New Roman" w:cs="Times New Roman"/>
        </w:rPr>
        <w:sectPr>
          <w:footerReference r:id="rId4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6CB5C106">
      <w:pPr>
        <w:rPr>
          <w:rFonts w:ascii="Times New Roman" w:hAnsi="Times New Roman" w:eastAsia="方正小标宋_GBK" w:cs="Times New Roman"/>
          <w:sz w:val="72"/>
          <w:szCs w:val="72"/>
        </w:rPr>
      </w:pPr>
    </w:p>
    <w:p w14:paraId="5F5DB797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第一部分</w:t>
      </w:r>
    </w:p>
    <w:p w14:paraId="4DFB4295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怀化市第三中学</w:t>
      </w:r>
      <w:r>
        <w:rPr>
          <w:rFonts w:ascii="Times New Roman" w:hAnsi="Times New Roman" w:eastAsia="方正小标宋_GBK" w:cs="Times New Roman"/>
          <w:sz w:val="44"/>
          <w:szCs w:val="44"/>
        </w:rPr>
        <w:t>概况</w:t>
      </w:r>
    </w:p>
    <w:p w14:paraId="154F6F27">
      <w:pPr>
        <w:pStyle w:val="4"/>
        <w:ind w:left="0" w:leftChars="0" w:firstLine="0" w:firstLineChars="0"/>
        <w:rPr>
          <w:rFonts w:ascii="Times New Roman" w:hAnsi="Times New Roman" w:cs="Times New Roman"/>
        </w:rPr>
      </w:pPr>
    </w:p>
    <w:p w14:paraId="367A5E5F">
      <w:pPr>
        <w:pStyle w:val="15"/>
        <w:spacing w:line="600" w:lineRule="exact"/>
        <w:ind w:firstLine="0" w:firstLineChars="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一、</w:t>
      </w:r>
      <w:r>
        <w:rPr>
          <w:rFonts w:ascii="Times New Roman" w:hAnsi="Times New Roman" w:eastAsia="黑体" w:cs="Times New Roman"/>
          <w:sz w:val="32"/>
          <w:szCs w:val="32"/>
        </w:rPr>
        <w:t>部门职责</w:t>
      </w:r>
    </w:p>
    <w:p w14:paraId="329E40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⑴</w:t>
      </w:r>
      <w:r>
        <w:rPr>
          <w:rFonts w:hint="eastAsia" w:eastAsia="仿宋_GB2312"/>
          <w:sz w:val="32"/>
          <w:szCs w:val="32"/>
          <w:lang w:val="en-US" w:eastAsia="zh-CN"/>
        </w:rPr>
        <w:t>宣传贯彻执行党和国家教育方针、政策和法律法规，配合省市有关教育工作的部署和规划，坚持依法治教、依法治学。</w:t>
      </w:r>
    </w:p>
    <w:p w14:paraId="11E5E70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240" w:lineRule="auto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⑵</w:t>
      </w:r>
      <w:r>
        <w:rPr>
          <w:rFonts w:hint="eastAsia" w:eastAsia="仿宋_GB2312"/>
          <w:sz w:val="32"/>
          <w:szCs w:val="32"/>
          <w:lang w:val="en-US" w:eastAsia="zh-CN"/>
        </w:rPr>
        <w:t>实施高中学历教育，促进基础教育发展；以学生的发展为本，为学生的终身发展奠定基础，培养德智体美劳全面发展的社会主义事业的建设者和接班人。</w:t>
      </w:r>
    </w:p>
    <w:p w14:paraId="6F08A5A4">
      <w:pPr>
        <w:widowControl/>
        <w:spacing w:line="600" w:lineRule="exact"/>
        <w:rPr>
          <w:rFonts w:ascii="Times New Roman" w:hAnsi="Times New Roman" w:eastAsia="黑体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bCs/>
          <w:kern w:val="0"/>
          <w:sz w:val="32"/>
          <w:szCs w:val="32"/>
        </w:rPr>
        <w:t>二、机构设置及决算单位构成</w:t>
      </w:r>
    </w:p>
    <w:p w14:paraId="05AFA1C1">
      <w:pPr>
        <w:widowControl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(一)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内设机构设置。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怀化市第三中学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内设机构包括：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办公室、教务室、德育室、总务室、校园安全室、教研室、现代教育技术室。</w:t>
      </w:r>
    </w:p>
    <w:p w14:paraId="56989E50">
      <w:pPr>
        <w:widowControl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(二)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决算单位构成。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eastAsia="zh-CN"/>
        </w:rPr>
        <w:t>怀化市第三中学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年部门决算汇总公开单位构成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只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包括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eastAsia="zh-CN"/>
        </w:rPr>
        <w:t>怀化市第三中学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本级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eastAsia="zh-CN"/>
        </w:rPr>
        <w:t>。</w:t>
      </w:r>
    </w:p>
    <w:p w14:paraId="6A327C17">
      <w:pPr>
        <w:widowControl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eastAsia="zh-CN"/>
        </w:rPr>
      </w:pPr>
    </w:p>
    <w:p w14:paraId="679B38C7">
      <w:pPr>
        <w:widowControl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eastAsia="zh-CN"/>
        </w:rPr>
      </w:pPr>
    </w:p>
    <w:p w14:paraId="3D337162">
      <w:pPr>
        <w:pStyle w:val="14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第二部分   部门决算表</w:t>
      </w:r>
    </w:p>
    <w:p w14:paraId="0E5D959C">
      <w:pPr>
        <w:pStyle w:val="14"/>
        <w:jc w:val="center"/>
        <w:rPr>
          <w:rFonts w:hint="default" w:ascii="Times New Roman" w:hAnsi="Times New Roman" w:eastAsia="方正小标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小标宋_GBK" w:cs="Times New Roman"/>
          <w:sz w:val="32"/>
          <w:szCs w:val="32"/>
          <w:lang w:val="en-US" w:eastAsia="zh-CN"/>
        </w:rPr>
        <w:t>见附件:怀化市第三中学2025年决算公开表）</w:t>
      </w:r>
    </w:p>
    <w:p w14:paraId="56019656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44854B3F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6C62D203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第三部分</w:t>
      </w:r>
    </w:p>
    <w:p w14:paraId="08CFA171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5</w:t>
      </w:r>
      <w:r>
        <w:rPr>
          <w:rFonts w:ascii="Times New Roman" w:hAnsi="Times New Roman" w:eastAsia="方正小标宋_GBK" w:cs="Times New Roman"/>
          <w:sz w:val="44"/>
          <w:szCs w:val="44"/>
        </w:rPr>
        <w:t>年度部门决算情况说明</w:t>
      </w:r>
    </w:p>
    <w:p w14:paraId="205FEA5F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48"/>
          <w:szCs w:val="48"/>
        </w:rPr>
      </w:pPr>
    </w:p>
    <w:p w14:paraId="4C368D76">
      <w:pPr>
        <w:widowControl/>
        <w:jc w:val="lef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一、收入支出决算总体情况说明</w:t>
      </w:r>
    </w:p>
    <w:p w14:paraId="608832EE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年度收、支总计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6523.09</w:t>
      </w:r>
      <w:r>
        <w:rPr>
          <w:rFonts w:ascii="Times New Roman" w:hAnsi="Times New Roman" w:eastAsia="仿宋_GB2312" w:cs="Times New Roman"/>
          <w:sz w:val="32"/>
          <w:szCs w:val="32"/>
        </w:rPr>
        <w:t>万元。与上年相比，减少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1261.73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16.21</w:t>
      </w:r>
      <w:r>
        <w:rPr>
          <w:rFonts w:ascii="Times New Roman" w:hAnsi="Times New Roman" w:eastAsia="仿宋_GB2312" w:cs="Times New Roman"/>
          <w:sz w:val="32"/>
          <w:szCs w:val="32"/>
        </w:rPr>
        <w:t>%，主要是因为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事业收入减少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0A7B2131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贯彻落实党政机关习惯过紧日子有关要求，厉行节约办一切事业，严控一般性支出，进一步优化支出结构，持续压降“三公”经费、办公经费、会议培训等行政开支。同时坚持有保有压，优化支出结构，提高资金使用效率，合理保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教师基本工资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学生资助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学校基本运转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等重点支出，体现在有关支出科目中。</w:t>
      </w:r>
    </w:p>
    <w:p w14:paraId="1442D9B6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二、收入决算情况说明</w:t>
      </w:r>
    </w:p>
    <w:p w14:paraId="7FBEB93B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年度收入合计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6523.09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万元，其中：财政拨款收入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5798.42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88.89</w:t>
      </w:r>
      <w:r>
        <w:rPr>
          <w:rFonts w:ascii="Times New Roman" w:hAnsi="Times New Roman" w:eastAsia="仿宋_GB2312" w:cs="Times New Roman"/>
          <w:sz w:val="32"/>
          <w:szCs w:val="32"/>
        </w:rPr>
        <w:t>%；上级补助收入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%；事业收入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724.68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11.11</w:t>
      </w:r>
      <w:r>
        <w:rPr>
          <w:rFonts w:ascii="Times New Roman" w:hAnsi="Times New Roman" w:eastAsia="仿宋_GB2312" w:cs="Times New Roman"/>
          <w:sz w:val="32"/>
          <w:szCs w:val="32"/>
        </w:rPr>
        <w:t>%；经营收入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%；附属单位上缴收入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%；其他收入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</w:p>
    <w:p w14:paraId="12925CC9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三、支出决算情况说明</w:t>
      </w:r>
    </w:p>
    <w:p w14:paraId="15C7E0FC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年度支出合计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6523.09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万元，其中：基本支出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6289.49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96.42</w:t>
      </w:r>
      <w:r>
        <w:rPr>
          <w:rFonts w:ascii="Times New Roman" w:hAnsi="Times New Roman" w:eastAsia="仿宋_GB2312" w:cs="Times New Roman"/>
          <w:sz w:val="32"/>
          <w:szCs w:val="32"/>
        </w:rPr>
        <w:t>%；项目支出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233.61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3.58</w:t>
      </w:r>
      <w:r>
        <w:rPr>
          <w:rFonts w:ascii="Times New Roman" w:hAnsi="Times New Roman" w:eastAsia="仿宋_GB2312" w:cs="Times New Roman"/>
          <w:sz w:val="32"/>
          <w:szCs w:val="32"/>
        </w:rPr>
        <w:t>%；上缴上级支出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%；经营支出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%；对附属单位补助支出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</w:p>
    <w:p w14:paraId="1CAFAD3C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四、财政拨款收入支出决算总体情况说明</w:t>
      </w:r>
    </w:p>
    <w:p w14:paraId="757A8CA1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年度财政拨款收、支总计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5798.42</w:t>
      </w:r>
      <w:r>
        <w:rPr>
          <w:rFonts w:ascii="Times New Roman" w:hAnsi="Times New Roman" w:eastAsia="仿宋_GB2312" w:cs="Times New Roman"/>
          <w:sz w:val="32"/>
          <w:szCs w:val="32"/>
        </w:rPr>
        <w:t>万元，与上年相比，增加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130.45</w:t>
      </w:r>
      <w:r>
        <w:rPr>
          <w:rFonts w:ascii="Times New Roman" w:hAnsi="Times New Roman" w:eastAsia="仿宋_GB2312" w:cs="Times New Roman"/>
          <w:sz w:val="32"/>
          <w:szCs w:val="32"/>
        </w:rPr>
        <w:t>万元,增长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2.30</w:t>
      </w:r>
      <w:r>
        <w:rPr>
          <w:rFonts w:ascii="Times New Roman" w:hAnsi="Times New Roman" w:eastAsia="仿宋_GB2312" w:cs="Times New Roman"/>
          <w:sz w:val="32"/>
          <w:szCs w:val="32"/>
        </w:rPr>
        <w:t>%，主要是因为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一般公共预算拨款增加。</w:t>
      </w:r>
    </w:p>
    <w:p w14:paraId="56126BFB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五、一般公共预算财政拨款支出决算情况说明</w:t>
      </w:r>
    </w:p>
    <w:p w14:paraId="0D403DB7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（一）一般公共预算财政拨款支出决算总体情况</w:t>
      </w:r>
    </w:p>
    <w:p w14:paraId="0693E038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5785.44</w:t>
      </w:r>
      <w:r>
        <w:rPr>
          <w:rFonts w:ascii="Times New Roman" w:hAnsi="Times New Roman" w:eastAsia="仿宋_GB2312" w:cs="Times New Roman"/>
          <w:sz w:val="32"/>
          <w:szCs w:val="32"/>
        </w:rPr>
        <w:t>万元，占本年支出合计的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88.69</w:t>
      </w:r>
      <w:r>
        <w:rPr>
          <w:rFonts w:ascii="Times New Roman" w:hAnsi="Times New Roman" w:eastAsia="仿宋_GB2312" w:cs="Times New Roman"/>
          <w:sz w:val="32"/>
          <w:szCs w:val="32"/>
        </w:rPr>
        <w:t>%，与上年相比，财政拨款支出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增加149.85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增长2.66</w:t>
      </w:r>
      <w:r>
        <w:rPr>
          <w:rFonts w:ascii="Times New Roman" w:hAnsi="Times New Roman" w:eastAsia="仿宋_GB2312" w:cs="Times New Roman"/>
          <w:sz w:val="32"/>
          <w:szCs w:val="32"/>
        </w:rPr>
        <w:t>%，主要是因为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教育支出有所增加。</w:t>
      </w:r>
    </w:p>
    <w:p w14:paraId="230F4937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（二）一般公共预算财政拨款支出决算结构情况</w:t>
      </w:r>
    </w:p>
    <w:p w14:paraId="1802667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度财政拨款支出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5785.44</w:t>
      </w:r>
      <w:r>
        <w:rPr>
          <w:rFonts w:ascii="Times New Roman" w:hAnsi="Times New Roman" w:eastAsia="仿宋_GB2312" w:cs="Times New Roman"/>
          <w:sz w:val="32"/>
          <w:szCs w:val="32"/>
        </w:rPr>
        <w:t>万元，主要用于以下方面：一般公共服务（类）支出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207.40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3.58</w:t>
      </w:r>
      <w:r>
        <w:rPr>
          <w:rFonts w:ascii="Times New Roman" w:hAnsi="Times New Roman" w:eastAsia="仿宋_GB2312" w:cs="Times New Roman"/>
          <w:sz w:val="32"/>
          <w:szCs w:val="32"/>
        </w:rPr>
        <w:t>%；教育（类）支出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4964.86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85.82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科学技术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支出5.60万元，占0.10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社会保障和就业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支出385.06万元，占6.66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卫生健康</w:t>
      </w:r>
      <w:r>
        <w:rPr>
          <w:rFonts w:hint="eastAsia" w:ascii="Times New Roman" w:hAnsi="Times New Roman" w:eastAsia="仿宋_GB2312"/>
          <w:sz w:val="32"/>
          <w:szCs w:val="32"/>
        </w:rPr>
        <w:t>（类）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支出188.89万元，占3.26%；住房保障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支出33.63万元，占0.58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</w:p>
    <w:p w14:paraId="125C106A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（三）一般公共预算财政拨款支出决算具体情况</w:t>
      </w:r>
    </w:p>
    <w:p w14:paraId="5CE954FE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年度财政拨款支出年初预算数为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4742.99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万元，支出决算数为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5785.44</w:t>
      </w:r>
      <w:r>
        <w:rPr>
          <w:rFonts w:ascii="Times New Roman" w:hAnsi="Times New Roman" w:eastAsia="仿宋_GB2312" w:cs="Times New Roman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121.98</w:t>
      </w:r>
      <w:r>
        <w:rPr>
          <w:rFonts w:ascii="Times New Roman" w:hAnsi="Times New Roman" w:eastAsia="仿宋_GB2312" w:cs="Times New Roman"/>
          <w:sz w:val="32"/>
          <w:szCs w:val="32"/>
        </w:rPr>
        <w:t>%，其中：</w:t>
      </w:r>
    </w:p>
    <w:p w14:paraId="751DF45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1、一般公共服务（类）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政府办公厅及相关机构事务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（款）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事业运行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（项）。</w:t>
      </w:r>
    </w:p>
    <w:p w14:paraId="2CB778F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年初预算为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万元，决算数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大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于年初预算数的主要原因是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年中追加了资产管理工作经费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。</w:t>
      </w:r>
    </w:p>
    <w:p w14:paraId="236C49C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2、一般公共服务（类）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其他一般公共服务</w:t>
      </w:r>
      <w:r>
        <w:rPr>
          <w:rFonts w:hint="eastAsia" w:ascii="Times New Roman" w:hAnsi="Times New Roman" w:eastAsia="仿宋_GB2312"/>
          <w:sz w:val="32"/>
          <w:szCs w:val="32"/>
        </w:rPr>
        <w:t>（款）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其他一般公共服务</w:t>
      </w:r>
      <w:r>
        <w:rPr>
          <w:rFonts w:hint="eastAsia" w:ascii="Times New Roman" w:hAnsi="Times New Roman" w:eastAsia="仿宋_GB2312"/>
          <w:sz w:val="32"/>
          <w:szCs w:val="32"/>
        </w:rPr>
        <w:t>（项）。</w:t>
      </w:r>
    </w:p>
    <w:p w14:paraId="2C4E498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202.40</w:t>
      </w:r>
      <w:r>
        <w:rPr>
          <w:rFonts w:hint="eastAsia" w:ascii="Times New Roman" w:hAnsi="Times New Roman" w:eastAsia="仿宋_GB2312"/>
          <w:sz w:val="32"/>
          <w:szCs w:val="32"/>
        </w:rPr>
        <w:t>万元，决算数大于年初预算数的主要原因是：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年中追加了人员支出。</w:t>
      </w:r>
    </w:p>
    <w:p w14:paraId="294BEB2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3、教育</w:t>
      </w:r>
      <w:r>
        <w:rPr>
          <w:rFonts w:hint="eastAsia" w:ascii="Times New Roman" w:hAnsi="Times New Roman" w:eastAsia="仿宋_GB2312"/>
          <w:sz w:val="32"/>
          <w:szCs w:val="32"/>
        </w:rPr>
        <w:t>（类）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普通教育</w:t>
      </w:r>
      <w:r>
        <w:rPr>
          <w:rFonts w:hint="eastAsia" w:ascii="Times New Roman" w:hAnsi="Times New Roman" w:eastAsia="仿宋_GB2312"/>
          <w:sz w:val="32"/>
          <w:szCs w:val="32"/>
        </w:rPr>
        <w:t>（款）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高中教育</w:t>
      </w:r>
      <w:r>
        <w:rPr>
          <w:rFonts w:hint="eastAsia" w:ascii="Times New Roman" w:hAnsi="Times New Roman" w:eastAsia="仿宋_GB2312"/>
          <w:sz w:val="32"/>
          <w:szCs w:val="32"/>
        </w:rPr>
        <w:t>（项）。</w:t>
      </w:r>
    </w:p>
    <w:p w14:paraId="273E692F">
      <w:pPr>
        <w:pStyle w:val="14"/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4105.16</w:t>
      </w:r>
      <w:r>
        <w:rPr>
          <w:rFonts w:hint="eastAsia" w:ascii="Times New Roman" w:hAnsi="Times New Roman" w:eastAsia="仿宋_GB2312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4898.72</w:t>
      </w:r>
      <w:r>
        <w:rPr>
          <w:rFonts w:hint="eastAsia" w:ascii="Times New Roman" w:hAnsi="Times New Roman" w:eastAsia="仿宋_GB2312"/>
          <w:sz w:val="32"/>
          <w:szCs w:val="32"/>
        </w:rPr>
        <w:t>万元，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完成年初预算的119.33%，</w:t>
      </w:r>
      <w:r>
        <w:rPr>
          <w:rFonts w:hint="eastAsia" w:ascii="Times New Roman" w:hAnsi="Times New Roman" w:eastAsia="仿宋_GB2312"/>
          <w:sz w:val="32"/>
          <w:szCs w:val="32"/>
        </w:rPr>
        <w:t>决算数大于年初预算数的主要原因是：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年中追加了教育项目类相关资金的支出。</w:t>
      </w:r>
    </w:p>
    <w:p w14:paraId="5B3EDF8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教育</w:t>
      </w:r>
      <w:r>
        <w:rPr>
          <w:rFonts w:hint="eastAsia" w:ascii="Times New Roman" w:hAnsi="Times New Roman" w:eastAsia="仿宋_GB2312"/>
          <w:sz w:val="32"/>
          <w:szCs w:val="32"/>
        </w:rPr>
        <w:t>（类）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普通教育</w:t>
      </w:r>
      <w:r>
        <w:rPr>
          <w:rFonts w:hint="eastAsia" w:ascii="Times New Roman" w:hAnsi="Times New Roman" w:eastAsia="仿宋_GB2312"/>
          <w:sz w:val="32"/>
          <w:szCs w:val="32"/>
        </w:rPr>
        <w:t>（款）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其他普通教育支出</w:t>
      </w:r>
      <w:r>
        <w:rPr>
          <w:rFonts w:hint="eastAsia" w:ascii="Times New Roman" w:hAnsi="Times New Roman" w:eastAsia="仿宋_GB2312"/>
          <w:sz w:val="32"/>
          <w:szCs w:val="32"/>
        </w:rPr>
        <w:t>（项）。</w:t>
      </w:r>
    </w:p>
    <w:p w14:paraId="05D70910">
      <w:pPr>
        <w:pStyle w:val="14"/>
        <w:bidi w:val="0"/>
        <w:ind w:firstLine="640" w:firstLineChars="200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64.14</w:t>
      </w:r>
      <w:r>
        <w:rPr>
          <w:rFonts w:hint="eastAsia" w:ascii="Times New Roman" w:hAnsi="Times New Roman" w:eastAsia="仿宋_GB2312"/>
          <w:sz w:val="32"/>
          <w:szCs w:val="32"/>
        </w:rPr>
        <w:t>万元，决算数大于年初预算数的主要原因是：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年中追加了大湘西基础教育扩优提质帮扶专项支出。</w:t>
      </w:r>
    </w:p>
    <w:p w14:paraId="42646084">
      <w:pPr>
        <w:pStyle w:val="14"/>
        <w:numPr>
          <w:ilvl w:val="0"/>
          <w:numId w:val="1"/>
        </w:numPr>
        <w:bidi w:val="0"/>
        <w:ind w:firstLine="640" w:firstLineChars="200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科学技术</w:t>
      </w:r>
      <w:r>
        <w:rPr>
          <w:rFonts w:hint="eastAsia" w:ascii="Times New Roman" w:hAnsi="Times New Roman" w:eastAsia="仿宋_GB2312"/>
          <w:sz w:val="32"/>
          <w:szCs w:val="32"/>
        </w:rPr>
        <w:t>（类）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其他科学技术</w:t>
      </w:r>
      <w:r>
        <w:rPr>
          <w:rFonts w:hint="eastAsia" w:ascii="Times New Roman" w:hAnsi="Times New Roman" w:eastAsia="仿宋_GB2312"/>
          <w:sz w:val="32"/>
          <w:szCs w:val="32"/>
        </w:rPr>
        <w:t>（款）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其他科学技术支出</w:t>
      </w:r>
      <w:r>
        <w:rPr>
          <w:rFonts w:hint="eastAsia" w:ascii="Times New Roman" w:hAnsi="Times New Roman" w:eastAsia="仿宋_GB2312"/>
          <w:sz w:val="32"/>
          <w:szCs w:val="32"/>
        </w:rPr>
        <w:t>（项）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54990913">
      <w:pPr>
        <w:pStyle w:val="14"/>
        <w:bidi w:val="0"/>
        <w:ind w:firstLine="640" w:firstLineChars="20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5.60</w:t>
      </w:r>
      <w:r>
        <w:rPr>
          <w:rFonts w:hint="eastAsia" w:ascii="Times New Roman" w:hAnsi="Times New Roman" w:eastAsia="仿宋_GB2312"/>
          <w:sz w:val="32"/>
          <w:szCs w:val="32"/>
        </w:rPr>
        <w:t>万元，决算数大于年初预算数的主要原因是：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年中追加了人才引进补贴。</w:t>
      </w:r>
    </w:p>
    <w:p w14:paraId="30626E9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社会保障和就业</w:t>
      </w:r>
      <w:r>
        <w:rPr>
          <w:rFonts w:hint="eastAsia" w:ascii="Times New Roman" w:hAnsi="Times New Roman" w:eastAsia="仿宋_GB2312"/>
          <w:sz w:val="32"/>
          <w:szCs w:val="32"/>
        </w:rPr>
        <w:t>（类）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行政事业单位养老支出</w:t>
      </w:r>
      <w:r>
        <w:rPr>
          <w:rFonts w:hint="eastAsia" w:ascii="Times New Roman" w:hAnsi="Times New Roman" w:eastAsia="仿宋_GB2312"/>
          <w:sz w:val="32"/>
          <w:szCs w:val="32"/>
        </w:rPr>
        <w:t>（款）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机关事业单位基本养老保险缴费支出</w:t>
      </w:r>
      <w:r>
        <w:rPr>
          <w:rFonts w:hint="eastAsia" w:ascii="Times New Roman" w:hAnsi="Times New Roman" w:eastAsia="仿宋_GB2312"/>
          <w:sz w:val="32"/>
          <w:szCs w:val="32"/>
        </w:rPr>
        <w:t>（项）。</w:t>
      </w:r>
    </w:p>
    <w:p w14:paraId="6BEC7C52">
      <w:pPr>
        <w:pStyle w:val="14"/>
        <w:bidi w:val="0"/>
        <w:ind w:firstLine="640" w:firstLineChars="200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454.42</w:t>
      </w:r>
      <w:r>
        <w:rPr>
          <w:rFonts w:hint="eastAsia" w:ascii="Times New Roman" w:hAnsi="Times New Roman" w:eastAsia="仿宋_GB2312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385.06</w:t>
      </w:r>
      <w:r>
        <w:rPr>
          <w:rFonts w:hint="eastAsia" w:ascii="Times New Roman" w:hAnsi="Times New Roman" w:eastAsia="仿宋_GB2312"/>
          <w:sz w:val="32"/>
          <w:szCs w:val="32"/>
        </w:rPr>
        <w:t>万元，决算数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小</w:t>
      </w:r>
      <w:r>
        <w:rPr>
          <w:rFonts w:hint="eastAsia" w:ascii="Times New Roman" w:hAnsi="Times New Roman" w:eastAsia="仿宋_GB2312"/>
          <w:sz w:val="32"/>
          <w:szCs w:val="32"/>
        </w:rPr>
        <w:t>于年初预算数的主要原因是：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年中人员增减发生的实际支出。</w:t>
      </w:r>
    </w:p>
    <w:p w14:paraId="7CB6874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卫生健康支出</w:t>
      </w:r>
      <w:r>
        <w:rPr>
          <w:rFonts w:hint="eastAsia" w:ascii="Times New Roman" w:hAnsi="Times New Roman" w:eastAsia="仿宋_GB2312"/>
          <w:sz w:val="32"/>
          <w:szCs w:val="32"/>
        </w:rPr>
        <w:t>（类）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行政事业单位医疗</w:t>
      </w:r>
      <w:r>
        <w:rPr>
          <w:rFonts w:hint="eastAsia" w:ascii="Times New Roman" w:hAnsi="Times New Roman" w:eastAsia="仿宋_GB2312"/>
          <w:sz w:val="32"/>
          <w:szCs w:val="32"/>
        </w:rPr>
        <w:t>（款）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行政单位医疗</w:t>
      </w:r>
      <w:r>
        <w:rPr>
          <w:rFonts w:hint="eastAsia" w:ascii="Times New Roman" w:hAnsi="Times New Roman" w:eastAsia="仿宋_GB2312"/>
          <w:sz w:val="32"/>
          <w:szCs w:val="32"/>
        </w:rPr>
        <w:t>（项）。</w:t>
      </w:r>
    </w:p>
    <w:p w14:paraId="21346A38">
      <w:pPr>
        <w:pStyle w:val="14"/>
        <w:bidi w:val="0"/>
        <w:ind w:firstLine="640" w:firstLineChars="200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5.48</w:t>
      </w:r>
      <w:r>
        <w:rPr>
          <w:rFonts w:hint="eastAsia" w:ascii="Times New Roman" w:hAnsi="Times New Roman" w:eastAsia="仿宋_GB2312"/>
          <w:sz w:val="32"/>
          <w:szCs w:val="32"/>
        </w:rPr>
        <w:t>万元，决算数大于年初预算数的主要原因是：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年中追加了医疗保险缴费支出。</w:t>
      </w:r>
    </w:p>
    <w:p w14:paraId="4085411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7、卫生健康支出</w:t>
      </w:r>
      <w:r>
        <w:rPr>
          <w:rFonts w:hint="eastAsia" w:ascii="Times New Roman" w:hAnsi="Times New Roman" w:eastAsia="仿宋_GB2312"/>
          <w:sz w:val="32"/>
          <w:szCs w:val="32"/>
        </w:rPr>
        <w:t>（类）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行政事业单位医疗</w:t>
      </w:r>
      <w:r>
        <w:rPr>
          <w:rFonts w:hint="eastAsia" w:ascii="Times New Roman" w:hAnsi="Times New Roman" w:eastAsia="仿宋_GB2312"/>
          <w:sz w:val="32"/>
          <w:szCs w:val="32"/>
        </w:rPr>
        <w:t>（款）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事业单位医疗</w:t>
      </w:r>
      <w:r>
        <w:rPr>
          <w:rFonts w:hint="eastAsia" w:ascii="Times New Roman" w:hAnsi="Times New Roman" w:eastAsia="仿宋_GB2312"/>
          <w:sz w:val="32"/>
          <w:szCs w:val="32"/>
        </w:rPr>
        <w:t>（项）。</w:t>
      </w:r>
    </w:p>
    <w:p w14:paraId="44155976">
      <w:pPr>
        <w:pStyle w:val="14"/>
        <w:bidi w:val="0"/>
        <w:ind w:firstLine="640" w:firstLineChars="200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183.41</w:t>
      </w:r>
      <w:r>
        <w:rPr>
          <w:rFonts w:hint="eastAsia" w:ascii="Times New Roman" w:hAnsi="Times New Roman" w:eastAsia="仿宋_GB2312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183.41</w:t>
      </w:r>
      <w:r>
        <w:rPr>
          <w:rFonts w:hint="eastAsia" w:ascii="Times New Roman" w:hAnsi="Times New Roman" w:eastAsia="仿宋_GB2312"/>
          <w:sz w:val="32"/>
          <w:szCs w:val="32"/>
        </w:rPr>
        <w:t>万元，决算数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与</w:t>
      </w:r>
      <w:r>
        <w:rPr>
          <w:rFonts w:hint="eastAsia" w:ascii="Times New Roman" w:hAnsi="Times New Roman" w:eastAsia="仿宋_GB2312"/>
          <w:sz w:val="32"/>
          <w:szCs w:val="32"/>
        </w:rPr>
        <w:t>预算数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持平。</w:t>
      </w:r>
    </w:p>
    <w:p w14:paraId="0EFD868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8、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住房保障支出</w:t>
      </w:r>
      <w:r>
        <w:rPr>
          <w:rFonts w:hint="eastAsia" w:ascii="Times New Roman" w:hAnsi="Times New Roman" w:eastAsia="仿宋_GB2312"/>
          <w:sz w:val="32"/>
          <w:szCs w:val="32"/>
        </w:rPr>
        <w:t>（类）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住房改革支出</w:t>
      </w:r>
      <w:r>
        <w:rPr>
          <w:rFonts w:hint="eastAsia" w:ascii="Times New Roman" w:hAnsi="Times New Roman" w:eastAsia="仿宋_GB2312"/>
          <w:sz w:val="32"/>
          <w:szCs w:val="32"/>
        </w:rPr>
        <w:t>（款）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住房公积金</w:t>
      </w:r>
      <w:r>
        <w:rPr>
          <w:rFonts w:hint="eastAsia" w:ascii="Times New Roman" w:hAnsi="Times New Roman" w:eastAsia="仿宋_GB2312"/>
          <w:sz w:val="32"/>
          <w:szCs w:val="32"/>
        </w:rPr>
        <w:t>（项）。</w:t>
      </w:r>
    </w:p>
    <w:p w14:paraId="15FA2C79">
      <w:pPr>
        <w:pStyle w:val="14"/>
        <w:bidi w:val="0"/>
        <w:ind w:firstLine="640" w:firstLineChars="200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33.63</w:t>
      </w:r>
      <w:r>
        <w:rPr>
          <w:rFonts w:hint="eastAsia" w:ascii="Times New Roman" w:hAnsi="Times New Roman" w:eastAsia="仿宋_GB2312"/>
          <w:sz w:val="32"/>
          <w:szCs w:val="32"/>
        </w:rPr>
        <w:t>万元，决算数大于年初预算数的主要原因是：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年中追加了单位配套住房公积金支出。</w:t>
      </w:r>
    </w:p>
    <w:p w14:paraId="3AF4A39B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按照支出功能分类，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教育类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方面的支出规模较大，主要是：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高中教育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，2025年度决算数为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4898.72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万元，占财政拨款支出总额的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84.48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%，主要用于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教师基本工资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学生资助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学校基本运转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等方面</w:t>
      </w:r>
      <w:r>
        <w:rPr>
          <w:rFonts w:hint="eastAsia" w:ascii="Times New Roman" w:hAnsi="Times New Roman" w:eastAsia="楷体_GB2312" w:cs="Times New Roman"/>
          <w:b/>
          <w:bCs/>
          <w:i/>
          <w:color w:val="auto"/>
          <w:sz w:val="32"/>
          <w:szCs w:val="32"/>
        </w:rPr>
        <w:t>。</w:t>
      </w:r>
    </w:p>
    <w:p w14:paraId="0E9E3586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六、一般公共预算财政拨款基本支出决算情况说明</w:t>
      </w:r>
    </w:p>
    <w:p w14:paraId="30EB332B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年度一般公共预算财政拨款基本支出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5564.81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</w:t>
      </w:r>
    </w:p>
    <w:p w14:paraId="1C7A7891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人员经费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4961.53</w:t>
      </w:r>
      <w:r>
        <w:rPr>
          <w:rFonts w:ascii="Times New Roman" w:hAnsi="Times New Roman" w:eastAsia="仿宋_GB2312" w:cs="Times New Roman"/>
          <w:sz w:val="32"/>
          <w:szCs w:val="32"/>
        </w:rPr>
        <w:t>万元，占基本支出的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89.16</w:t>
      </w:r>
      <w:r>
        <w:rPr>
          <w:rFonts w:ascii="Times New Roman" w:hAnsi="Times New Roman" w:eastAsia="仿宋_GB2312" w:cs="Times New Roman"/>
          <w:sz w:val="32"/>
          <w:szCs w:val="32"/>
        </w:rPr>
        <w:t>%,主要包括基本工资、津贴补贴、奖金、伙食补助费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eastAsia="zh-CN"/>
        </w:rPr>
        <w:t>基本养老保险缴费、基本医疗保险缴费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等支出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545DD2DC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公用经费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603.28</w:t>
      </w:r>
      <w:r>
        <w:rPr>
          <w:rFonts w:ascii="Times New Roman" w:hAnsi="Times New Roman" w:eastAsia="仿宋_GB2312" w:cs="Times New Roman"/>
          <w:sz w:val="32"/>
          <w:szCs w:val="32"/>
        </w:rPr>
        <w:t>万元，占基本支出的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10.84</w:t>
      </w:r>
      <w:r>
        <w:rPr>
          <w:rFonts w:ascii="Times New Roman" w:hAnsi="Times New Roman" w:eastAsia="仿宋_GB2312" w:cs="Times New Roman"/>
          <w:sz w:val="32"/>
          <w:szCs w:val="32"/>
        </w:rPr>
        <w:t>%，主要包括办公费、印刷费、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水电费、差旅培训费、维修维护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及其他商品和服务支出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等支出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06F99CED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七、财政拨款“三公”经费支出决算情况说明</w:t>
      </w:r>
    </w:p>
    <w:p w14:paraId="66C3B80D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（一）“三公”经费财政拨款支出决算总体情况说明</w:t>
      </w:r>
    </w:p>
    <w:p w14:paraId="15728593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年度“三公”经费财政拨款支出预算为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1.70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1.61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94.71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持平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330669D8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（二）“三公”经费财政拨款支出决算具体情况说明</w:t>
      </w:r>
    </w:p>
    <w:p w14:paraId="65BDB0DF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b/>
          <w:bCs/>
          <w:i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1.因公出国（境）费支出预算为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%；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与上年相比无增减，决算数与预算数一致，决算数与上年数一致。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度安排因公出国（境）团组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个，累计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人次</w:t>
      </w:r>
      <w:r>
        <w:rPr>
          <w:rFonts w:hint="eastAsia" w:ascii="Times New Roman" w:hAnsi="Times New Roman" w:eastAsia="楷体" w:cs="Times New Roman"/>
          <w:b/>
          <w:bCs/>
          <w:i/>
          <w:color w:val="auto"/>
          <w:sz w:val="32"/>
          <w:szCs w:val="32"/>
          <w:lang w:eastAsia="zh-CN"/>
        </w:rPr>
        <w:t>。</w:t>
      </w:r>
    </w:p>
    <w:p w14:paraId="6BC4C398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2.公务用车购置费及运行维护费支出预算为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1.70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1.61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94.71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持平</w:t>
      </w:r>
      <w:r>
        <w:rPr>
          <w:rFonts w:ascii="Times New Roman" w:hAnsi="Times New Roman" w:eastAsia="仿宋_GB2312" w:cs="Times New Roman"/>
          <w:sz w:val="32"/>
          <w:szCs w:val="32"/>
        </w:rPr>
        <w:t>。其中：</w:t>
      </w:r>
    </w:p>
    <w:p w14:paraId="52ACDA17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公务用车购置费支出预算为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%；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与上年相比持平，决算数与预算数一致，决算数与上年数一致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5F90918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1.70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1.61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</w:p>
    <w:p w14:paraId="4B64F140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主要是</w:t>
      </w:r>
      <w:r>
        <w:rPr>
          <w:rFonts w:hint="eastAsia" w:ascii="Times New Roman" w:hAnsi="Times New Roman" w:eastAsia="仿宋_GB2312"/>
          <w:sz w:val="32"/>
          <w:szCs w:val="32"/>
        </w:rPr>
        <w:t>公务用车运行维护费支出预算为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1.70</w:t>
      </w:r>
      <w:r>
        <w:rPr>
          <w:rFonts w:hint="eastAsia" w:ascii="Times New Roman" w:hAnsi="Times New Roman" w:eastAsia="仿宋_GB2312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1.61</w:t>
      </w:r>
      <w:r>
        <w:rPr>
          <w:rFonts w:hint="eastAsia" w:ascii="Times New Roman" w:hAnsi="Times New Roman" w:eastAsia="仿宋_GB2312"/>
          <w:sz w:val="32"/>
          <w:szCs w:val="32"/>
        </w:rPr>
        <w:t>万元，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主要是车辆油料费、维修费、保险费等支出，</w:t>
      </w:r>
      <w:r>
        <w:rPr>
          <w:rFonts w:hint="eastAsia" w:ascii="Times New Roman" w:hAnsi="Times New Roman" w:eastAsia="仿宋_GB2312"/>
          <w:sz w:val="32"/>
          <w:szCs w:val="32"/>
        </w:rPr>
        <w:t>完成预算的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94.71</w:t>
      </w:r>
      <w:r>
        <w:rPr>
          <w:rFonts w:hint="eastAsia" w:ascii="Times New Roman" w:hAnsi="Times New Roman" w:eastAsia="仿宋_GB2312"/>
          <w:sz w:val="32"/>
          <w:szCs w:val="32"/>
        </w:rPr>
        <w:t>%，与上年相比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持平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/>
          <w:sz w:val="32"/>
          <w:szCs w:val="32"/>
        </w:rPr>
        <w:t>决算数小于预算数的主要原因是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  <w:lang w:eastAsia="zh-CN"/>
        </w:rPr>
        <w:t>从严控制车辆运行经费。</w:t>
      </w:r>
      <w:r>
        <w:rPr>
          <w:rFonts w:ascii="Times New Roman" w:hAnsi="Times New Roman" w:eastAsia="仿宋_GB2312" w:cs="Times New Roman"/>
          <w:sz w:val="32"/>
          <w:szCs w:val="32"/>
        </w:rPr>
        <w:t>决算数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与</w:t>
      </w:r>
      <w:r>
        <w:rPr>
          <w:rFonts w:ascii="Times New Roman" w:hAnsi="Times New Roman" w:eastAsia="仿宋_GB2312" w:cs="Times New Roman"/>
          <w:sz w:val="32"/>
          <w:szCs w:val="32"/>
        </w:rPr>
        <w:t>上年数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持平</w:t>
      </w:r>
      <w:r>
        <w:rPr>
          <w:rFonts w:ascii="Times New Roman" w:hAnsi="Times New Roman" w:eastAsia="仿宋_GB2312" w:cs="Times New Roman"/>
          <w:sz w:val="32"/>
          <w:szCs w:val="32"/>
        </w:rPr>
        <w:t>。截止202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年12月31日，我单位开支财政拨款的公务用车保有量为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辆。</w:t>
      </w:r>
    </w:p>
    <w:p w14:paraId="413DE17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3.公务接待费支出预算为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持平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决算数与预算数一致，决算数与上年数一致。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度共接待来访团组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个、来宾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人次。</w:t>
      </w:r>
    </w:p>
    <w:p w14:paraId="4FD55E15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八、政府性基金预算收入支出决算情况</w:t>
      </w:r>
    </w:p>
    <w:p w14:paraId="72C7D39B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年度政府性基金预算财政拨款收入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12.98</w:t>
      </w:r>
      <w:r>
        <w:rPr>
          <w:rFonts w:ascii="Times New Roman" w:hAnsi="Times New Roman" w:eastAsia="仿宋_GB2312" w:cs="Times New Roman"/>
          <w:sz w:val="32"/>
          <w:szCs w:val="32"/>
        </w:rPr>
        <w:t>万元；年初结转和结余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万元；支出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12.98</w:t>
      </w:r>
      <w:r>
        <w:rPr>
          <w:rFonts w:ascii="Times New Roman" w:hAnsi="Times New Roman" w:eastAsia="仿宋_GB2312" w:cs="Times New Roman"/>
          <w:sz w:val="32"/>
          <w:szCs w:val="32"/>
        </w:rPr>
        <w:t>万元，其中基本支出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万元，项目支出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12.98</w:t>
      </w:r>
      <w:r>
        <w:rPr>
          <w:rFonts w:ascii="Times New Roman" w:hAnsi="Times New Roman" w:eastAsia="仿宋_GB2312" w:cs="Times New Roman"/>
          <w:sz w:val="32"/>
          <w:szCs w:val="32"/>
        </w:rPr>
        <w:t>万元；年末结转和结余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万元。具体情况如下：</w:t>
      </w:r>
    </w:p>
    <w:p w14:paraId="79BA39F0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其他支出</w:t>
      </w:r>
      <w:r>
        <w:rPr>
          <w:rFonts w:hint="eastAsia" w:ascii="Times New Roman" w:hAnsi="Times New Roman" w:eastAsia="仿宋_GB2312"/>
          <w:sz w:val="32"/>
          <w:szCs w:val="32"/>
        </w:rPr>
        <w:t>（类）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彩票公益金安排的支出</w:t>
      </w:r>
      <w:r>
        <w:rPr>
          <w:rFonts w:hint="eastAsia" w:ascii="Times New Roman" w:hAnsi="Times New Roman" w:eastAsia="仿宋_GB2312"/>
          <w:sz w:val="32"/>
          <w:szCs w:val="32"/>
        </w:rPr>
        <w:t>（款）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用于体育事业的彩票公益金支出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4B470A6F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12.98</w:t>
      </w:r>
      <w:r>
        <w:rPr>
          <w:rFonts w:ascii="Times New Roman" w:hAnsi="Times New Roman" w:eastAsia="仿宋_GB2312" w:cs="Times New Roman"/>
          <w:sz w:val="32"/>
          <w:szCs w:val="32"/>
        </w:rPr>
        <w:t>万元，决算数大于年初预算数的主要原因是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年中追加了电子屏采购项目。</w:t>
      </w:r>
    </w:p>
    <w:p w14:paraId="4B6F69CB">
      <w:pPr>
        <w:pStyle w:val="14"/>
        <w:bidi w:val="0"/>
        <w:ind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九、国有资本经营预算</w:t>
      </w:r>
      <w:r>
        <w:rPr>
          <w:rFonts w:hint="eastAsia" w:hAnsi="黑体" w:cs="黑体"/>
          <w:b w:val="0"/>
          <w:bCs/>
          <w:sz w:val="32"/>
          <w:szCs w:val="32"/>
          <w:lang w:val="en-US" w:eastAsia="zh-CN"/>
        </w:rPr>
        <w:t>财政拨款</w:t>
      </w:r>
      <w:r>
        <w:rPr>
          <w:rFonts w:hint="eastAsia"/>
          <w:sz w:val="32"/>
          <w:szCs w:val="32"/>
          <w:lang w:val="en-US" w:eastAsia="zh-CN"/>
        </w:rPr>
        <w:t>收入支出决算情况说明</w:t>
      </w:r>
    </w:p>
    <w:p w14:paraId="3A0CD6F0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本部门2025年度无国有资本经营预算财政拨款收入支出。</w:t>
      </w:r>
    </w:p>
    <w:p w14:paraId="2B68FA64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hint="eastAsia" w:ascii="Times New Roman" w:hAnsi="Times New Roman" w:cs="Times New Roman"/>
          <w:bCs/>
          <w:sz w:val="32"/>
          <w:szCs w:val="32"/>
          <w:lang w:val="en-US" w:eastAsia="zh-CN"/>
        </w:rPr>
        <w:t>十</w:t>
      </w:r>
      <w:r>
        <w:rPr>
          <w:rFonts w:ascii="Times New Roman" w:hAnsi="Times New Roman" w:cs="Times New Roman"/>
          <w:bCs/>
          <w:sz w:val="32"/>
          <w:szCs w:val="32"/>
        </w:rPr>
        <w:t>、关于机关运行经费支出说明</w:t>
      </w:r>
    </w:p>
    <w:p w14:paraId="4702769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本部门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非参公事业单位，不属机关运行经费统计范围之内，故</w:t>
      </w: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年度机关运行经费支出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643C455C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十</w:t>
      </w:r>
      <w:r>
        <w:rPr>
          <w:rFonts w:hint="eastAsia" w:ascii="Times New Roman" w:hAnsi="Times New Roman" w:cs="Times New Roman"/>
          <w:bCs/>
          <w:sz w:val="32"/>
          <w:szCs w:val="32"/>
          <w:lang w:val="en-US" w:eastAsia="zh-CN"/>
        </w:rPr>
        <w:t>一</w:t>
      </w:r>
      <w:r>
        <w:rPr>
          <w:rFonts w:ascii="Times New Roman" w:hAnsi="Times New Roman" w:cs="Times New Roman"/>
          <w:bCs/>
          <w:sz w:val="32"/>
          <w:szCs w:val="32"/>
        </w:rPr>
        <w:t>、一般性支出情况说明</w:t>
      </w:r>
    </w:p>
    <w:p w14:paraId="3574CA9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b/>
          <w:bCs/>
          <w:i/>
          <w:color w:val="auto"/>
          <w:kern w:val="0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年本部门开支会议费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/>
          <w:sz w:val="32"/>
          <w:szCs w:val="32"/>
        </w:rPr>
        <w:t>开支培训费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51.97</w:t>
      </w:r>
      <w:r>
        <w:rPr>
          <w:rFonts w:hint="eastAsia" w:ascii="Times New Roman" w:hAnsi="Times New Roman" w:eastAsia="仿宋_GB2312"/>
          <w:sz w:val="32"/>
          <w:szCs w:val="32"/>
        </w:rPr>
        <w:t>万元，用于开展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各学科专业</w:t>
      </w:r>
      <w:r>
        <w:rPr>
          <w:rFonts w:hint="eastAsia" w:ascii="Times New Roman" w:hAnsi="Times New Roman" w:eastAsia="仿宋_GB2312"/>
          <w:sz w:val="32"/>
          <w:szCs w:val="32"/>
        </w:rPr>
        <w:t>培训，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人数680余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次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内容为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各学科教师参加国培、省培、市培等计划的专业培训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2025年本部门无节庆、晚会、论坛、赛事活动，开支0万元。</w:t>
      </w:r>
    </w:p>
    <w:p w14:paraId="16A50E55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十一、关于政府采购支出说明</w:t>
      </w:r>
    </w:p>
    <w:p w14:paraId="743A541B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本部门202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年度政府采购支出总额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142.44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万元，其中：政府采购货物支出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万元、政府采购工程支出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70</w:t>
      </w:r>
      <w:r>
        <w:rPr>
          <w:rFonts w:ascii="Times New Roman" w:hAnsi="Times New Roman" w:eastAsia="仿宋_GB2312" w:cs="Times New Roman"/>
          <w:sz w:val="32"/>
          <w:szCs w:val="32"/>
        </w:rPr>
        <w:t>万元、政府采购服务支出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72.44</w:t>
      </w:r>
      <w:r>
        <w:rPr>
          <w:rFonts w:ascii="Times New Roman" w:hAnsi="Times New Roman" w:eastAsia="仿宋_GB2312" w:cs="Times New Roman"/>
          <w:sz w:val="32"/>
          <w:szCs w:val="32"/>
        </w:rPr>
        <w:t>万元。授予中小企业合同金额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92.44</w:t>
      </w:r>
      <w:r>
        <w:rPr>
          <w:rFonts w:ascii="Times New Roman" w:hAnsi="Times New Roman" w:eastAsia="仿宋_GB2312" w:cs="Times New Roman"/>
          <w:sz w:val="32"/>
          <w:szCs w:val="32"/>
        </w:rPr>
        <w:t>万元，占政府采购支出总额的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64.90</w:t>
      </w:r>
      <w:r>
        <w:rPr>
          <w:rFonts w:ascii="Times New Roman" w:hAnsi="Times New Roman" w:eastAsia="仿宋_GB2312" w:cs="Times New Roman"/>
          <w:sz w:val="32"/>
          <w:szCs w:val="32"/>
        </w:rPr>
        <w:t>%，其中：授予小微企业合同金额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92.44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占授予中小企业合同金额的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%。货物采购授予中小企业合同金额占货物支出金额的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%，工程采购授予中小企业合同金额占工程支出金额的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21.64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%，服务采购授予中小企业合同金额占服务支出金额的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78.36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3AED38C8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>十二、关于国有资产占用情况说明</w:t>
      </w:r>
    </w:p>
    <w:p w14:paraId="436E9D95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截至202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年12月31日，部门（单位）共有车辆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辆，其中，副部（省）级及以上领导用车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辆、主要负责人用车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辆、机要通信用车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辆、应急保障用车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辆、执法执勤用车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辆、特种专业技术用车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辆、离退休干部服务用车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辆、其他用车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辆，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其他用车主要是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学校业务用车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；单位价值100万元以上设备（不含车辆）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台（套）。</w:t>
      </w:r>
    </w:p>
    <w:p w14:paraId="49E68A75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>十三、关于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年度预算绩效情况的说明</w:t>
      </w:r>
    </w:p>
    <w:p w14:paraId="738B2DFD">
      <w:pPr>
        <w:overflowPunct w:val="0"/>
        <w:spacing w:line="600" w:lineRule="exact"/>
        <w:ind w:firstLine="640" w:firstLineChars="200"/>
        <w:rPr>
          <w:rFonts w:ascii="Times New Roman" w:hAnsi="Times New Roman" w:eastAsia="楷体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（一）绩效评价工作开展情况。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一是绩效自评开展情况。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组织对202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年度本部门整体支出开展绩效自评，涉及项目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个，共涉及资金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233.61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万元。其中，一般公共预算项目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220.63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万元，占一般公共预算支出总额的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3.81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%；政府性基金预算项目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12.98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万元，占政府性基金预算支出总额的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%；国有资本经营预算项目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万元，占国有资本经营预算支出总额的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%；社会保险基金预算项目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万元，占社会保险基金预算支出总额的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 w14:paraId="1B64D1D1"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（二）绩效评价结果。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一是绩效自评结果。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年度本部门整体支出</w:t>
      </w:r>
      <w:r>
        <w:rPr>
          <w:rFonts w:ascii="Times New Roman" w:hAnsi="Times New Roman" w:eastAsia="仿宋_GB2312" w:cs="Times New Roman"/>
          <w:sz w:val="32"/>
          <w:szCs w:val="32"/>
        </w:rPr>
        <w:t>全年预算数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7468.74</w:t>
      </w:r>
      <w:r>
        <w:rPr>
          <w:rFonts w:ascii="Times New Roman" w:hAnsi="Times New Roman" w:eastAsia="仿宋_GB2312" w:cs="Times New Roman"/>
          <w:sz w:val="32"/>
          <w:szCs w:val="32"/>
        </w:rPr>
        <w:t>万元，执行数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6523.09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87.34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，绩效自评得分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95</w:t>
      </w:r>
      <w:r>
        <w:rPr>
          <w:rFonts w:ascii="Times New Roman" w:hAnsi="Times New Roman" w:eastAsia="仿宋_GB2312" w:cs="Times New Roman"/>
          <w:sz w:val="32"/>
          <w:szCs w:val="32"/>
        </w:rPr>
        <w:t>分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，评价等级为</w:t>
      </w:r>
      <w:r>
        <w:rPr>
          <w:rFonts w:ascii="Times New Roman" w:hAnsi="Times New Roman" w:eastAsia="仿宋_GB2312" w:cs="Times New Roman"/>
          <w:sz w:val="32"/>
          <w:szCs w:val="32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优</w:t>
      </w:r>
      <w:r>
        <w:rPr>
          <w:rFonts w:ascii="Times New Roman" w:hAnsi="Times New Roman" w:eastAsia="仿宋_GB2312" w:cs="Times New Roman"/>
          <w:sz w:val="32"/>
          <w:szCs w:val="32"/>
        </w:rPr>
        <w:t>”。绩效目标完成情况：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坚持党建领航，夯实基层党建工作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二是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抓好学生管理、教学管理等常规性工作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三是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加强师资队伍建设，大力推进教师培训、教育教研、教学竞赛、三区支教等活动，全面提高教育教学质量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四是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落实安全管理，保障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校园安全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五是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做好后勤服务、采购、维修等工作，保障教育教学工作的正常运行。</w:t>
      </w:r>
      <w:r>
        <w:rPr>
          <w:rFonts w:ascii="Times New Roman" w:hAnsi="Times New Roman" w:eastAsia="仿宋_GB2312" w:cs="Times New Roman"/>
          <w:sz w:val="32"/>
          <w:szCs w:val="32"/>
        </w:rPr>
        <w:t>发现的主要问题及原因：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预算编制精确性有待提升，绩效目标与产出的数量指标、质量指标缺乏对应性，主要原因是绩效管理和预算管理结合不够紧密。</w:t>
      </w:r>
      <w:r>
        <w:rPr>
          <w:rFonts w:ascii="Times New Roman" w:hAnsi="Times New Roman" w:eastAsia="仿宋_GB2312" w:cs="Times New Roman"/>
          <w:sz w:val="32"/>
          <w:szCs w:val="32"/>
        </w:rPr>
        <w:t>下一步改进措施：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进一步提高对预算绩效管理的认识，充分理解绩效评价指标体系，注重绩效评价目的、评价指标的关联性。</w:t>
      </w:r>
    </w:p>
    <w:p w14:paraId="775DBF12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</w:rPr>
        <w:t>（三）评价结果应用情况。</w:t>
      </w:r>
    </w:p>
    <w:p w14:paraId="543148E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将本次整体支出绩效自评结果作为下一年度预算编制、资金分配、项目安排的重要依据，针对自评中发现的问题与短板，优化支出结构，优先保障教育教学、师资建设、安全保障、民生服务等重点领域和关键环节的资金需求。将绩效目标完成情况纳入学校内部处室考核体系，压实各业务处室绩效管理责任，推动绩效管理与业务工作深度融合，形成“花钱必问效、无效必问责”的管理机制。对绩效优良、成效显著的项目在下一年度优先保障资金；对执行偏差较大、绩效不佳的项目，缩减资金规模或调整优化项目内容，不断提升财政资金使用效益。</w:t>
      </w:r>
    </w:p>
    <w:p w14:paraId="67AF427D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第四部分    名词解释</w:t>
      </w:r>
    </w:p>
    <w:p w14:paraId="2C216D49">
      <w:pPr>
        <w:widowControl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</w:p>
    <w:p w14:paraId="7A709062">
      <w:pPr>
        <w:widowControl/>
        <w:ind w:firstLine="64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一、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/>
        </w:rPr>
        <w:t>基本支出：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指为保障机构正常运转，完成日常工作任务而发生的人员支出和公用支出。</w:t>
      </w:r>
    </w:p>
    <w:p w14:paraId="3CC919E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二、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/>
        </w:rPr>
        <w:t>项目支出：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指在基本支出之外为完成特定的工作任务或事业发展目标，财政预算专款安排的支出。</w:t>
      </w:r>
    </w:p>
    <w:p w14:paraId="325E140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三、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/>
        </w:rPr>
        <w:t>一般公共预算“三公”经费：</w:t>
      </w:r>
      <w:r>
        <w:rPr>
          <w:rFonts w:hint="eastAsia" w:eastAsia="仿宋_GB2312"/>
          <w:sz w:val="32"/>
          <w:szCs w:val="32"/>
          <w:lang w:val="en-US" w:eastAsia="zh-CN"/>
        </w:rPr>
        <w:t>是指用一般公共预算拨款安排的公务接待费、公务用车购置及运行维护费和因公出国（境）费。其中，公务接待费反映单位按规定开支的各类公务接待支出；公务用车购置及运行费反映单位公务用车车辆购置支出（含车辆购置税），以及燃料费、维修费、保险费等支出；因公出国（境）费反映单位公务出国（境）的国际旅费、国外城市间交通费、食宿费等支出。</w:t>
      </w:r>
    </w:p>
    <w:p w14:paraId="05549AC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b/>
          <w:bCs/>
          <w:sz w:val="32"/>
          <w:szCs w:val="32"/>
          <w:lang w:val="en-US" w:eastAsia="zh-CN"/>
        </w:rPr>
        <w:t>四、机关运行经费：</w:t>
      </w:r>
      <w:r>
        <w:rPr>
          <w:rFonts w:hint="eastAsia" w:eastAsia="仿宋_GB2312"/>
          <w:sz w:val="32"/>
          <w:szCs w:val="32"/>
          <w:lang w:val="en-US" w:eastAsia="zh-CN"/>
        </w:rPr>
        <w:t>为保障行政单位（包括参照公务员法管理的事业单位）运行，用一般公共预算拨款安排用于购买货物和服务的各项资金，包括办公及印刷费、邮电费、差旅费、会议费、福利费、日常维修费、办公用房水电费、办公用房取暖费、办公用房物业管理费、公务用车运行维护费以及其他费用。</w:t>
      </w:r>
    </w:p>
    <w:p w14:paraId="1A84F084">
      <w:pPr>
        <w:pStyle w:val="14"/>
        <w:jc w:val="both"/>
        <w:rPr>
          <w:rFonts w:ascii="Times New Roman" w:hAnsi="Times New Roman" w:cs="Times New Roman"/>
          <w:sz w:val="72"/>
          <w:szCs w:val="72"/>
        </w:rPr>
      </w:pPr>
    </w:p>
    <w:p w14:paraId="6DCBAF30">
      <w:pPr>
        <w:pStyle w:val="14"/>
        <w:jc w:val="both"/>
        <w:rPr>
          <w:rFonts w:ascii="Times New Roman" w:hAnsi="Times New Roman" w:cs="Times New Roman"/>
          <w:sz w:val="72"/>
          <w:szCs w:val="72"/>
        </w:rPr>
      </w:pPr>
    </w:p>
    <w:p w14:paraId="2245FDDA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bookmarkStart w:id="0" w:name="_GoBack"/>
      <w:r>
        <w:rPr>
          <w:rFonts w:ascii="Times New Roman" w:hAnsi="Times New Roman" w:eastAsia="方正小标宋_GBK" w:cs="Times New Roman"/>
          <w:sz w:val="44"/>
          <w:szCs w:val="44"/>
        </w:rPr>
        <w:t>第五部分   附 件</w:t>
      </w:r>
    </w:p>
    <w:bookmarkEnd w:id="0"/>
    <w:p w14:paraId="04FE000A">
      <w:pPr>
        <w:rPr>
          <w:rFonts w:ascii="Times New Roman" w:hAnsi="Times New Roman" w:cs="Times New Roman"/>
          <w:sz w:val="72"/>
          <w:szCs w:val="72"/>
        </w:rPr>
      </w:pPr>
    </w:p>
    <w:p w14:paraId="2079F7CC">
      <w:pPr>
        <w:pStyle w:val="14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b w:val="0"/>
          <w:bCs w:val="0"/>
          <w:sz w:val="32"/>
          <w:szCs w:val="32"/>
        </w:rPr>
        <w:t>一、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附件1：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怀化市第三中学</w:t>
      </w: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年整体支出绩效自评报告</w:t>
      </w:r>
    </w:p>
    <w:p w14:paraId="5CD0F60D">
      <w:pPr>
        <w:pStyle w:val="14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二、附件2：怀化市第三中学2025年决算公开表</w:t>
      </w:r>
    </w:p>
    <w:p w14:paraId="5B6989BE">
      <w:pPr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</w:p>
    <w:sectPr>
      <w:footerReference r:id="rId5" w:type="default"/>
      <w:pgSz w:w="11906" w:h="16838"/>
      <w:pgMar w:top="1417" w:right="1588" w:bottom="1417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65667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0ACE6A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4AECC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E58FC2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E58FC2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6166B3"/>
    <w:multiLevelType w:val="singleLevel"/>
    <w:tmpl w:val="216166B3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F9"/>
    <w:rsid w:val="0000001A"/>
    <w:rsid w:val="0002229B"/>
    <w:rsid w:val="000273BD"/>
    <w:rsid w:val="0003620C"/>
    <w:rsid w:val="00040CBC"/>
    <w:rsid w:val="000415B7"/>
    <w:rsid w:val="00041E3F"/>
    <w:rsid w:val="00055DAA"/>
    <w:rsid w:val="00061F7B"/>
    <w:rsid w:val="000658A3"/>
    <w:rsid w:val="00074155"/>
    <w:rsid w:val="00080785"/>
    <w:rsid w:val="000A3F69"/>
    <w:rsid w:val="000B20F1"/>
    <w:rsid w:val="000C5742"/>
    <w:rsid w:val="00103957"/>
    <w:rsid w:val="00152C6D"/>
    <w:rsid w:val="00162D39"/>
    <w:rsid w:val="001678BD"/>
    <w:rsid w:val="00182373"/>
    <w:rsid w:val="001A67DB"/>
    <w:rsid w:val="001B67D1"/>
    <w:rsid w:val="001C3C29"/>
    <w:rsid w:val="001D2B79"/>
    <w:rsid w:val="001D51E5"/>
    <w:rsid w:val="001E080D"/>
    <w:rsid w:val="001E53D0"/>
    <w:rsid w:val="001F0C3B"/>
    <w:rsid w:val="00202C82"/>
    <w:rsid w:val="00214427"/>
    <w:rsid w:val="00220689"/>
    <w:rsid w:val="00221AFD"/>
    <w:rsid w:val="00226CB7"/>
    <w:rsid w:val="00252450"/>
    <w:rsid w:val="00264552"/>
    <w:rsid w:val="00264EF9"/>
    <w:rsid w:val="00265724"/>
    <w:rsid w:val="0027426B"/>
    <w:rsid w:val="00296D60"/>
    <w:rsid w:val="002E0A30"/>
    <w:rsid w:val="0030077D"/>
    <w:rsid w:val="003130C4"/>
    <w:rsid w:val="00316C4B"/>
    <w:rsid w:val="0032192B"/>
    <w:rsid w:val="0033283E"/>
    <w:rsid w:val="003479BD"/>
    <w:rsid w:val="0037197D"/>
    <w:rsid w:val="003768D5"/>
    <w:rsid w:val="003926B9"/>
    <w:rsid w:val="003C2E17"/>
    <w:rsid w:val="003C47E6"/>
    <w:rsid w:val="003C4FC2"/>
    <w:rsid w:val="00401F9A"/>
    <w:rsid w:val="00416E61"/>
    <w:rsid w:val="0042790C"/>
    <w:rsid w:val="004506F9"/>
    <w:rsid w:val="00462315"/>
    <w:rsid w:val="004717A2"/>
    <w:rsid w:val="00473DF3"/>
    <w:rsid w:val="00487911"/>
    <w:rsid w:val="00490F48"/>
    <w:rsid w:val="00491741"/>
    <w:rsid w:val="004B0CEE"/>
    <w:rsid w:val="004C2A0A"/>
    <w:rsid w:val="004F5EFB"/>
    <w:rsid w:val="00500E5F"/>
    <w:rsid w:val="005122EF"/>
    <w:rsid w:val="0051441A"/>
    <w:rsid w:val="00517C33"/>
    <w:rsid w:val="00517D5F"/>
    <w:rsid w:val="00523644"/>
    <w:rsid w:val="0054069E"/>
    <w:rsid w:val="00544866"/>
    <w:rsid w:val="00552A3D"/>
    <w:rsid w:val="00574CC8"/>
    <w:rsid w:val="005767CC"/>
    <w:rsid w:val="00590D9F"/>
    <w:rsid w:val="00595D26"/>
    <w:rsid w:val="005A74E6"/>
    <w:rsid w:val="005B404E"/>
    <w:rsid w:val="005D4D55"/>
    <w:rsid w:val="005E0E6C"/>
    <w:rsid w:val="005E2CFB"/>
    <w:rsid w:val="005F2103"/>
    <w:rsid w:val="005F3D1C"/>
    <w:rsid w:val="005F4189"/>
    <w:rsid w:val="006171EE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6F56C8"/>
    <w:rsid w:val="00702E34"/>
    <w:rsid w:val="00704395"/>
    <w:rsid w:val="00710FE7"/>
    <w:rsid w:val="00717621"/>
    <w:rsid w:val="00720FF1"/>
    <w:rsid w:val="00727A53"/>
    <w:rsid w:val="007502DE"/>
    <w:rsid w:val="00787B42"/>
    <w:rsid w:val="007C4539"/>
    <w:rsid w:val="007F3657"/>
    <w:rsid w:val="00810F0C"/>
    <w:rsid w:val="00811AA2"/>
    <w:rsid w:val="00812ED5"/>
    <w:rsid w:val="008277D9"/>
    <w:rsid w:val="0084478C"/>
    <w:rsid w:val="0086638C"/>
    <w:rsid w:val="008764FA"/>
    <w:rsid w:val="008A1079"/>
    <w:rsid w:val="008A3E8D"/>
    <w:rsid w:val="008A5055"/>
    <w:rsid w:val="008D17F4"/>
    <w:rsid w:val="009237C4"/>
    <w:rsid w:val="00944C48"/>
    <w:rsid w:val="00950252"/>
    <w:rsid w:val="00967F5D"/>
    <w:rsid w:val="009A0F95"/>
    <w:rsid w:val="009B3ADF"/>
    <w:rsid w:val="009C31C5"/>
    <w:rsid w:val="009C3B52"/>
    <w:rsid w:val="009E6817"/>
    <w:rsid w:val="009E6E9A"/>
    <w:rsid w:val="00A01D2B"/>
    <w:rsid w:val="00A1392A"/>
    <w:rsid w:val="00A42218"/>
    <w:rsid w:val="00A70249"/>
    <w:rsid w:val="00A70B02"/>
    <w:rsid w:val="00A71D9F"/>
    <w:rsid w:val="00A92E9F"/>
    <w:rsid w:val="00AB18FF"/>
    <w:rsid w:val="00B26269"/>
    <w:rsid w:val="00B33BEA"/>
    <w:rsid w:val="00B57C9F"/>
    <w:rsid w:val="00B63572"/>
    <w:rsid w:val="00B845B3"/>
    <w:rsid w:val="00B85D8B"/>
    <w:rsid w:val="00BB4A40"/>
    <w:rsid w:val="00BD6022"/>
    <w:rsid w:val="00BD6C3E"/>
    <w:rsid w:val="00BE3674"/>
    <w:rsid w:val="00C10681"/>
    <w:rsid w:val="00C10822"/>
    <w:rsid w:val="00C15C89"/>
    <w:rsid w:val="00C27C0D"/>
    <w:rsid w:val="00C3049A"/>
    <w:rsid w:val="00C31B1E"/>
    <w:rsid w:val="00C32F2E"/>
    <w:rsid w:val="00C73888"/>
    <w:rsid w:val="00C77645"/>
    <w:rsid w:val="00CE04C3"/>
    <w:rsid w:val="00CE34BE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F74360"/>
    <w:rsid w:val="00FB462F"/>
    <w:rsid w:val="00FE16FA"/>
    <w:rsid w:val="00FE328A"/>
    <w:rsid w:val="00FE6269"/>
    <w:rsid w:val="00FF5CD6"/>
    <w:rsid w:val="02C12077"/>
    <w:rsid w:val="03795BF7"/>
    <w:rsid w:val="15FB281F"/>
    <w:rsid w:val="1C210B7A"/>
    <w:rsid w:val="1D70409E"/>
    <w:rsid w:val="1D97DEFF"/>
    <w:rsid w:val="1DFF72E5"/>
    <w:rsid w:val="1EFC6F07"/>
    <w:rsid w:val="21E34738"/>
    <w:rsid w:val="2D502C75"/>
    <w:rsid w:val="2FDF85B8"/>
    <w:rsid w:val="2FFFEE04"/>
    <w:rsid w:val="34DF85B0"/>
    <w:rsid w:val="3A1A6AE5"/>
    <w:rsid w:val="3B8F36BC"/>
    <w:rsid w:val="41994793"/>
    <w:rsid w:val="47311A8A"/>
    <w:rsid w:val="491FF225"/>
    <w:rsid w:val="4C87000A"/>
    <w:rsid w:val="4FFD214C"/>
    <w:rsid w:val="520E0886"/>
    <w:rsid w:val="53223D46"/>
    <w:rsid w:val="55110DB9"/>
    <w:rsid w:val="5777D4F5"/>
    <w:rsid w:val="593A1EA1"/>
    <w:rsid w:val="59DD8326"/>
    <w:rsid w:val="5A852643"/>
    <w:rsid w:val="5AD240D0"/>
    <w:rsid w:val="5DEF592A"/>
    <w:rsid w:val="5FC6BB1E"/>
    <w:rsid w:val="5FF720F1"/>
    <w:rsid w:val="66D9725C"/>
    <w:rsid w:val="676A6106"/>
    <w:rsid w:val="67FF5C0B"/>
    <w:rsid w:val="68CF1E71"/>
    <w:rsid w:val="6D4146D8"/>
    <w:rsid w:val="6EB04D47"/>
    <w:rsid w:val="6EFC0924"/>
    <w:rsid w:val="6FB74722"/>
    <w:rsid w:val="6FEF8B7E"/>
    <w:rsid w:val="71A6591B"/>
    <w:rsid w:val="737D59BA"/>
    <w:rsid w:val="756B19C7"/>
    <w:rsid w:val="77C37683"/>
    <w:rsid w:val="77FA7033"/>
    <w:rsid w:val="79D19834"/>
    <w:rsid w:val="79FF515B"/>
    <w:rsid w:val="7BF549BF"/>
    <w:rsid w:val="7E9E1962"/>
    <w:rsid w:val="7E9F11B4"/>
    <w:rsid w:val="7F37EC1E"/>
    <w:rsid w:val="7F7DCD9D"/>
    <w:rsid w:val="7F970A6F"/>
    <w:rsid w:val="7FC1FFF3"/>
    <w:rsid w:val="7FC69637"/>
    <w:rsid w:val="7FDF8620"/>
    <w:rsid w:val="7FE8C8F7"/>
    <w:rsid w:val="7FFB242F"/>
    <w:rsid w:val="7FFDB408"/>
    <w:rsid w:val="7FFE4EEB"/>
    <w:rsid w:val="95FB2B98"/>
    <w:rsid w:val="9A639BC2"/>
    <w:rsid w:val="9BFA491D"/>
    <w:rsid w:val="9FF7D786"/>
    <w:rsid w:val="ABBFB23D"/>
    <w:rsid w:val="B6AFFE39"/>
    <w:rsid w:val="C3B4DA5A"/>
    <w:rsid w:val="CBFF70E0"/>
    <w:rsid w:val="CFF50B82"/>
    <w:rsid w:val="CFFFAD89"/>
    <w:rsid w:val="DFFE359E"/>
    <w:rsid w:val="DFFE4FFD"/>
    <w:rsid w:val="EEABED75"/>
    <w:rsid w:val="F56FDF51"/>
    <w:rsid w:val="F6B69F17"/>
    <w:rsid w:val="F77F1D61"/>
    <w:rsid w:val="F7FED3A9"/>
    <w:rsid w:val="F8C9DB26"/>
    <w:rsid w:val="F97E8EAE"/>
    <w:rsid w:val="FB36E1A6"/>
    <w:rsid w:val="FB3BE134"/>
    <w:rsid w:val="FCFF4275"/>
    <w:rsid w:val="FD7FEEEA"/>
    <w:rsid w:val="FDFFB577"/>
    <w:rsid w:val="FEEA50FE"/>
    <w:rsid w:val="FF7D47A9"/>
    <w:rsid w:val="FF7F63BE"/>
    <w:rsid w:val="FFCF21CB"/>
    <w:rsid w:val="FFFF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3">
    <w:name w:val="Body Text Indent"/>
    <w:basedOn w:val="1"/>
    <w:next w:val="4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4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footnote text"/>
    <w:basedOn w:val="1"/>
    <w:next w:val="4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2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6"/>
    <w:qFormat/>
    <w:uiPriority w:val="99"/>
    <w:rPr>
      <w:sz w:val="18"/>
      <w:szCs w:val="18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sz w:val="24"/>
      <w:szCs w:val="24"/>
      <w:lang w:val="en-US" w:eastAsia="zh-CN" w:bidi="ar-SA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Char"/>
    <w:basedOn w:val="11"/>
    <w:link w:val="5"/>
    <w:semiHidden/>
    <w:qFormat/>
    <w:uiPriority w:val="99"/>
    <w:rPr>
      <w:sz w:val="18"/>
      <w:szCs w:val="18"/>
    </w:rPr>
  </w:style>
  <w:style w:type="character" w:customStyle="1" w:styleId="17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2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1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14</Pages>
  <Words>5110</Words>
  <Characters>5674</Characters>
  <Lines>69</Lines>
  <Paragraphs>19</Paragraphs>
  <TotalTime>95</TotalTime>
  <ScaleCrop>false</ScaleCrop>
  <LinksUpToDate>false</LinksUpToDate>
  <CharactersWithSpaces>5694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2025-08-19T18:17:00Z</dcterms:created>
  <dc:creator>李航 null</dc:creator>
  <cp:lastModifiedBy>若水</cp:lastModifiedBy>
  <cp:lastPrinted>2024-08-10T02:20:00Z</cp:lastPrinted>
  <dcterms:modified xsi:type="dcterms:W3CDTF">2026-09-20T03:40:09Z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56ECA8AA9FFB4777BAF0976FCB24E494</vt:lpwstr>
  </property>
  <property fmtid="{D5CDD505-2E9C-101B-9397-08002B2CF9AE}" pid="4" name="KSOTemplateDocerSaveRecord">
    <vt:lpwstr>eyJoZGlkIjoiMTczOTJhY2U1ZmQ1YTU1YzBmN2E2YzM1MjRlM2ZhOTkiLCJ1c2VySWQiOiI1NTY5MjczOTIifQ==</vt:lpwstr>
  </property>
</Properties>
</file>