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02443">
      <w:pPr>
        <w:pStyle w:val="16"/>
        <w:jc w:val="both"/>
        <w:rPr>
          <w:sz w:val="84"/>
          <w:szCs w:val="84"/>
        </w:rPr>
      </w:pPr>
    </w:p>
    <w:p w14:paraId="0715EA17">
      <w:pPr>
        <w:pStyle w:val="16"/>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lang w:eastAsia="zh-CN"/>
        </w:rPr>
        <w:t>2023年</w:t>
      </w:r>
      <w:r>
        <w:rPr>
          <w:rFonts w:hint="eastAsia" w:ascii="方正小标宋_GBK" w:hAnsi="方正小标宋_GBK" w:eastAsia="方正小标宋_GBK" w:cs="方正小标宋_GBK"/>
          <w:sz w:val="48"/>
          <w:szCs w:val="48"/>
        </w:rPr>
        <w:t>度</w:t>
      </w:r>
    </w:p>
    <w:p w14:paraId="2F9AF5A7">
      <w:pPr>
        <w:pStyle w:val="16"/>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lang w:val="en-US" w:eastAsia="zh-CN"/>
        </w:rPr>
        <w:t>怀化市第三中学</w:t>
      </w:r>
      <w:r>
        <w:rPr>
          <w:rFonts w:hint="eastAsia" w:ascii="方正小标宋_GBK" w:hAnsi="方正小标宋_GBK" w:eastAsia="方正小标宋_GBK" w:cs="方正小标宋_GBK"/>
          <w:sz w:val="48"/>
          <w:szCs w:val="48"/>
        </w:rPr>
        <w:t>部门决算</w:t>
      </w:r>
    </w:p>
    <w:p w14:paraId="27BB3AAE">
      <w:pPr>
        <w:pStyle w:val="16"/>
        <w:spacing w:line="500" w:lineRule="exact"/>
        <w:jc w:val="both"/>
        <w:rPr>
          <w:b/>
          <w:sz w:val="36"/>
          <w:szCs w:val="28"/>
        </w:rPr>
      </w:pPr>
    </w:p>
    <w:p w14:paraId="0A50217C">
      <w:pPr>
        <w:pStyle w:val="16"/>
        <w:spacing w:line="500" w:lineRule="exact"/>
        <w:jc w:val="both"/>
        <w:rPr>
          <w:b/>
          <w:sz w:val="36"/>
          <w:szCs w:val="28"/>
        </w:rPr>
      </w:pPr>
    </w:p>
    <w:p w14:paraId="18564ABD">
      <w:pPr>
        <w:pStyle w:val="16"/>
        <w:spacing w:line="500" w:lineRule="exact"/>
        <w:jc w:val="center"/>
        <w:rPr>
          <w:rFonts w:hint="eastAsia"/>
          <w:b/>
          <w:sz w:val="44"/>
          <w:szCs w:val="44"/>
        </w:rPr>
      </w:pPr>
      <w:r>
        <w:rPr>
          <w:rFonts w:hint="eastAsia"/>
          <w:b/>
          <w:sz w:val="44"/>
          <w:szCs w:val="44"/>
        </w:rPr>
        <w:t>目录</w:t>
      </w:r>
    </w:p>
    <w:p w14:paraId="576A3166">
      <w:pPr>
        <w:pStyle w:val="16"/>
        <w:spacing w:line="500" w:lineRule="exact"/>
        <w:jc w:val="center"/>
        <w:rPr>
          <w:rFonts w:hint="eastAsia"/>
          <w:b/>
          <w:sz w:val="44"/>
          <w:szCs w:val="44"/>
        </w:rPr>
      </w:pPr>
    </w:p>
    <w:p w14:paraId="33BB6E04">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7A88C314">
      <w:pPr>
        <w:pStyle w:val="16"/>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58EA190">
      <w:pPr>
        <w:pStyle w:val="16"/>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35A8D4CC">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552F8E06">
      <w:pPr>
        <w:pStyle w:val="16"/>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67D0AE89">
      <w:pPr>
        <w:pStyle w:val="16"/>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207103C">
      <w:pPr>
        <w:pStyle w:val="16"/>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C0E1183">
      <w:pPr>
        <w:pStyle w:val="16"/>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B88E8A3">
      <w:pPr>
        <w:pStyle w:val="16"/>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EC09A8B">
      <w:pPr>
        <w:pStyle w:val="16"/>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94C3680">
      <w:pPr>
        <w:pStyle w:val="16"/>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7D817CA8">
      <w:pPr>
        <w:pStyle w:val="16"/>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16CD5E89">
      <w:pPr>
        <w:pStyle w:val="16"/>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06AB7FC8">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04399611">
      <w:pPr>
        <w:pStyle w:val="16"/>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6FE2AB73">
      <w:pPr>
        <w:keepNext w:val="0"/>
        <w:keepLines w:val="0"/>
        <w:pageBreakBefore w:val="0"/>
        <w:widowControl w:val="0"/>
        <w:kinsoku/>
        <w:wordWrap/>
        <w:overflowPunct/>
        <w:topLinePunct w:val="0"/>
        <w:bidi w:val="0"/>
        <w:snapToGrid/>
        <w:spacing w:line="5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6DB78A6">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80EDA69">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2CCF371">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3EF05B5">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5B9B583">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65B5A03">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724074B2">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jc w:val="left"/>
        <w:textAlignment w:val="auto"/>
        <w:rPr>
          <w:rFonts w:hint="default"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28"/>
          <w:szCs w:val="28"/>
        </w:rPr>
        <w:t>九、</w:t>
      </w:r>
      <w:r>
        <w:rPr>
          <w:rFonts w:hint="eastAsia" w:ascii="仿宋_GB2312" w:hAnsi="仿宋_GB2312" w:eastAsia="仿宋_GB2312" w:cs="仿宋_GB2312"/>
          <w:color w:val="000000"/>
          <w:kern w:val="0"/>
          <w:sz w:val="32"/>
          <w:szCs w:val="32"/>
          <w:lang w:val="en-US" w:eastAsia="zh-CN"/>
        </w:rPr>
        <w:t>国有资本经营预算</w:t>
      </w:r>
      <w:r>
        <w:rPr>
          <w:rFonts w:hint="eastAsia" w:ascii="仿宋_GB2312" w:hAnsi="仿宋_GB2312" w:eastAsia="仿宋_GB2312" w:cs="仿宋_GB2312"/>
          <w:sz w:val="32"/>
          <w:szCs w:val="32"/>
        </w:rPr>
        <w:t>财政拨款</w:t>
      </w:r>
      <w:r>
        <w:rPr>
          <w:rFonts w:hint="eastAsia" w:ascii="仿宋_GB2312" w:hAnsi="仿宋_GB2312" w:eastAsia="仿宋_GB2312" w:cs="仿宋_GB2312"/>
          <w:color w:val="000000"/>
          <w:kern w:val="0"/>
          <w:sz w:val="32"/>
          <w:szCs w:val="32"/>
          <w:lang w:val="en-US" w:eastAsia="zh-CN"/>
        </w:rPr>
        <w:t>收入支出决算情况说明</w:t>
      </w:r>
    </w:p>
    <w:p w14:paraId="0059FEFC">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十、</w:t>
      </w:r>
      <w:r>
        <w:rPr>
          <w:rFonts w:hint="eastAsia" w:ascii="仿宋_GB2312" w:hAnsi="仿宋_GB2312" w:eastAsia="仿宋_GB2312" w:cs="仿宋_GB2312"/>
          <w:color w:val="000000"/>
          <w:kern w:val="0"/>
          <w:sz w:val="28"/>
          <w:szCs w:val="28"/>
        </w:rPr>
        <w:t>关于机关运行经费支出说明</w:t>
      </w:r>
    </w:p>
    <w:p w14:paraId="0EC3C6F9">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val="en-US" w:eastAsia="zh-CN"/>
        </w:rPr>
        <w:t>一</w:t>
      </w:r>
      <w:r>
        <w:rPr>
          <w:rFonts w:hint="eastAsia" w:ascii="仿宋_GB2312" w:hAnsi="仿宋_GB2312" w:eastAsia="仿宋_GB2312" w:cs="仿宋_GB2312"/>
          <w:color w:val="000000"/>
          <w:kern w:val="0"/>
          <w:sz w:val="28"/>
          <w:szCs w:val="28"/>
        </w:rPr>
        <w:t>、一般性支出情况说明</w:t>
      </w:r>
    </w:p>
    <w:p w14:paraId="6C2308F3">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val="en-US" w:eastAsia="zh-CN"/>
        </w:rPr>
        <w:t>二</w:t>
      </w:r>
      <w:r>
        <w:rPr>
          <w:rFonts w:hint="eastAsia" w:ascii="仿宋_GB2312" w:hAnsi="仿宋_GB2312" w:eastAsia="仿宋_GB2312" w:cs="仿宋_GB2312"/>
          <w:color w:val="000000"/>
          <w:kern w:val="0"/>
          <w:sz w:val="28"/>
          <w:szCs w:val="28"/>
        </w:rPr>
        <w:t>、关于政府采购支出说明</w:t>
      </w:r>
    </w:p>
    <w:p w14:paraId="0AF89F1A">
      <w:pPr>
        <w:pStyle w:val="16"/>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、关于国有资产占用情况说明</w:t>
      </w:r>
    </w:p>
    <w:p w14:paraId="06C51C8A">
      <w:pPr>
        <w:pStyle w:val="16"/>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734F2835">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64F00FEF">
      <w:pPr>
        <w:pStyle w:val="16"/>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036A2D0">
      <w:pPr>
        <w:rPr>
          <w:rFonts w:hint="eastAsia" w:ascii="方正小标宋_GBK" w:hAnsi="方正小标宋_GBK" w:eastAsia="方正小标宋_GBK" w:cs="方正小标宋_GBK"/>
          <w:sz w:val="72"/>
          <w:szCs w:val="72"/>
        </w:rPr>
      </w:pPr>
    </w:p>
    <w:p w14:paraId="5DE39239">
      <w:pPr>
        <w:pStyle w:val="16"/>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第一部分 </w:t>
      </w:r>
      <w:r>
        <w:rPr>
          <w:rFonts w:hint="eastAsia" w:ascii="方正小标宋_GBK" w:hAnsi="方正小标宋_GBK" w:eastAsia="方正小标宋_GBK" w:cs="方正小标宋_GBK"/>
          <w:sz w:val="44"/>
          <w:szCs w:val="44"/>
          <w:lang w:val="en-US" w:eastAsia="zh-CN"/>
        </w:rPr>
        <w:t>部门</w:t>
      </w:r>
      <w:r>
        <w:rPr>
          <w:rFonts w:hint="eastAsia" w:ascii="方正小标宋_GBK" w:hAnsi="方正小标宋_GBK" w:eastAsia="方正小标宋_GBK" w:cs="方正小标宋_GBK"/>
          <w:sz w:val="44"/>
          <w:szCs w:val="44"/>
        </w:rPr>
        <w:t>概况</w:t>
      </w:r>
    </w:p>
    <w:p w14:paraId="1106C5D6">
      <w:pPr>
        <w:jc w:val="both"/>
        <w:rPr>
          <w:sz w:val="72"/>
          <w:szCs w:val="72"/>
        </w:rPr>
      </w:pPr>
    </w:p>
    <w:p w14:paraId="5A9D4EF2">
      <w:pPr>
        <w:pStyle w:val="17"/>
        <w:numPr>
          <w:ilvl w:val="0"/>
          <w:numId w:val="0"/>
        </w:numPr>
        <w:ind w:leftChars="0"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部门职责</w:t>
      </w:r>
    </w:p>
    <w:p w14:paraId="657C5CF0">
      <w:pPr>
        <w:pStyle w:val="16"/>
        <w:bidi w:val="0"/>
        <w:ind w:firstLine="640" w:firstLineChars="200"/>
        <w:rPr>
          <w:rFonts w:hint="eastAsia" w:ascii="仿宋" w:hAnsi="仿宋" w:eastAsia="仿宋" w:cs="仿宋"/>
          <w:sz w:val="32"/>
          <w:szCs w:val="32"/>
        </w:rPr>
      </w:pPr>
      <w:r>
        <w:rPr>
          <w:rFonts w:hint="eastAsia" w:ascii="仿宋" w:hAnsi="仿宋" w:eastAsia="仿宋" w:cs="仿宋"/>
          <w:sz w:val="32"/>
          <w:szCs w:val="32"/>
        </w:rPr>
        <w:t>㈠ 宣传贯彻执行党和国家教育方针、政策和法律法规，</w:t>
      </w:r>
      <w:r>
        <w:rPr>
          <w:rFonts w:hint="eastAsia" w:ascii="仿宋" w:hAnsi="仿宋" w:eastAsia="仿宋" w:cs="仿宋"/>
          <w:sz w:val="32"/>
          <w:szCs w:val="32"/>
          <w:lang w:eastAsia="zh-CN"/>
        </w:rPr>
        <w:t>配合</w:t>
      </w:r>
      <w:r>
        <w:rPr>
          <w:rFonts w:hint="eastAsia" w:ascii="仿宋" w:hAnsi="仿宋" w:eastAsia="仿宋" w:cs="仿宋"/>
          <w:sz w:val="32"/>
          <w:szCs w:val="32"/>
        </w:rPr>
        <w:t>省市有关教育工作的部署和</w:t>
      </w:r>
      <w:r>
        <w:rPr>
          <w:rFonts w:hint="eastAsia" w:ascii="仿宋" w:hAnsi="仿宋" w:eastAsia="仿宋" w:cs="仿宋"/>
          <w:sz w:val="32"/>
          <w:szCs w:val="32"/>
          <w:lang w:eastAsia="zh-CN"/>
        </w:rPr>
        <w:t>规划，</w:t>
      </w:r>
      <w:r>
        <w:rPr>
          <w:rFonts w:hint="eastAsia" w:ascii="仿宋" w:hAnsi="仿宋" w:eastAsia="仿宋" w:cs="仿宋"/>
          <w:sz w:val="32"/>
          <w:szCs w:val="32"/>
        </w:rPr>
        <w:t>坚持依法治教、依法治学。</w:t>
      </w:r>
    </w:p>
    <w:p w14:paraId="00311482">
      <w:pPr>
        <w:pStyle w:val="16"/>
        <w:bidi w:val="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 xml:space="preserve">㈡ </w:t>
      </w:r>
      <w:r>
        <w:rPr>
          <w:rFonts w:hint="eastAsia" w:ascii="仿宋" w:hAnsi="仿宋" w:eastAsia="仿宋" w:cs="仿宋"/>
          <w:sz w:val="32"/>
          <w:szCs w:val="32"/>
          <w:lang w:eastAsia="zh-CN"/>
        </w:rPr>
        <w:t>以学生的发展为本，为学生的终身发展服务。</w:t>
      </w:r>
      <w:r>
        <w:rPr>
          <w:rFonts w:hint="eastAsia" w:ascii="仿宋" w:hAnsi="仿宋" w:eastAsia="仿宋" w:cs="仿宋"/>
          <w:sz w:val="32"/>
          <w:szCs w:val="32"/>
        </w:rPr>
        <w:t>坚持教书育人，服务育人，环境育人方针，</w:t>
      </w:r>
      <w:r>
        <w:rPr>
          <w:rFonts w:hint="eastAsia" w:ascii="仿宋" w:hAnsi="仿宋" w:eastAsia="仿宋" w:cs="仿宋"/>
          <w:sz w:val="32"/>
          <w:szCs w:val="32"/>
          <w:lang w:eastAsia="zh-CN"/>
        </w:rPr>
        <w:t>培养学生厚德、博学、诚信、和谐、创新理念，促进</w:t>
      </w:r>
      <w:r>
        <w:rPr>
          <w:rFonts w:hint="eastAsia" w:ascii="仿宋" w:hAnsi="仿宋" w:eastAsia="仿宋" w:cs="仿宋"/>
          <w:sz w:val="32"/>
          <w:szCs w:val="32"/>
        </w:rPr>
        <w:t>学生的全面发展</w:t>
      </w:r>
      <w:r>
        <w:rPr>
          <w:rFonts w:hint="eastAsia" w:ascii="仿宋" w:hAnsi="仿宋" w:eastAsia="仿宋" w:cs="仿宋"/>
          <w:sz w:val="32"/>
          <w:szCs w:val="32"/>
          <w:lang w:eastAsia="zh-CN"/>
        </w:rPr>
        <w:t>。</w:t>
      </w:r>
    </w:p>
    <w:p w14:paraId="13DFE823">
      <w:pPr>
        <w:pStyle w:val="16"/>
        <w:bidi w:val="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㈢ 组织开展本校的教育教学科研</w:t>
      </w:r>
      <w:r>
        <w:rPr>
          <w:rFonts w:hint="eastAsia" w:ascii="仿宋" w:hAnsi="仿宋" w:eastAsia="仿宋" w:cs="仿宋"/>
          <w:sz w:val="32"/>
          <w:szCs w:val="32"/>
          <w:lang w:eastAsia="zh-CN"/>
        </w:rPr>
        <w:t>，</w:t>
      </w:r>
      <w:r>
        <w:rPr>
          <w:rFonts w:hint="eastAsia" w:ascii="仿宋" w:hAnsi="仿宋" w:eastAsia="仿宋" w:cs="仿宋"/>
          <w:sz w:val="32"/>
          <w:szCs w:val="32"/>
        </w:rPr>
        <w:t>积极稳妥地推进教育</w:t>
      </w:r>
      <w:r>
        <w:rPr>
          <w:rFonts w:hint="eastAsia" w:ascii="仿宋" w:hAnsi="仿宋" w:eastAsia="仿宋" w:cs="仿宋"/>
          <w:sz w:val="32"/>
          <w:szCs w:val="32"/>
          <w:lang w:eastAsia="zh-CN"/>
        </w:rPr>
        <w:t>教学</w:t>
      </w:r>
      <w:r>
        <w:rPr>
          <w:rFonts w:hint="eastAsia" w:ascii="仿宋" w:hAnsi="仿宋" w:eastAsia="仿宋" w:cs="仿宋"/>
          <w:sz w:val="32"/>
          <w:szCs w:val="32"/>
        </w:rPr>
        <w:t>改革，</w:t>
      </w:r>
      <w:r>
        <w:rPr>
          <w:rFonts w:hint="eastAsia" w:ascii="仿宋" w:hAnsi="仿宋" w:eastAsia="仿宋" w:cs="仿宋"/>
          <w:sz w:val="32"/>
          <w:szCs w:val="32"/>
          <w:lang w:eastAsia="zh-CN"/>
        </w:rPr>
        <w:t>负责教育教学管理及教研教改工作，全力推进素质教育，全面</w:t>
      </w:r>
      <w:r>
        <w:rPr>
          <w:rFonts w:hint="eastAsia" w:ascii="仿宋" w:hAnsi="仿宋" w:eastAsia="仿宋" w:cs="仿宋"/>
          <w:sz w:val="32"/>
          <w:szCs w:val="32"/>
        </w:rPr>
        <w:t>提高教育质量</w:t>
      </w:r>
      <w:r>
        <w:rPr>
          <w:rFonts w:hint="eastAsia" w:ascii="仿宋" w:hAnsi="仿宋" w:eastAsia="仿宋" w:cs="仿宋"/>
          <w:sz w:val="32"/>
          <w:szCs w:val="32"/>
          <w:lang w:eastAsia="zh-CN"/>
        </w:rPr>
        <w:t>。</w:t>
      </w:r>
    </w:p>
    <w:p w14:paraId="46629B65">
      <w:pPr>
        <w:pStyle w:val="16"/>
        <w:bidi w:val="0"/>
        <w:ind w:firstLine="640" w:firstLineChars="200"/>
        <w:rPr>
          <w:rFonts w:hint="eastAsia" w:ascii="仿宋" w:hAnsi="仿宋" w:eastAsia="仿宋" w:cs="仿宋"/>
          <w:sz w:val="32"/>
          <w:szCs w:val="32"/>
        </w:rPr>
      </w:pPr>
      <w:r>
        <w:rPr>
          <w:rFonts w:hint="eastAsia" w:ascii="仿宋" w:hAnsi="仿宋" w:eastAsia="仿宋" w:cs="仿宋"/>
          <w:sz w:val="32"/>
          <w:szCs w:val="32"/>
        </w:rPr>
        <w:t>㈣ 按照干部和教师职数、编制和管理权限，负责本校教师人事管理、继续教育和考核考评等工作。</w:t>
      </w:r>
    </w:p>
    <w:p w14:paraId="3093B424">
      <w:pPr>
        <w:pStyle w:val="16"/>
        <w:bidi w:val="0"/>
        <w:ind w:firstLine="640" w:firstLineChars="200"/>
        <w:rPr>
          <w:rFonts w:hint="eastAsia" w:ascii="仿宋" w:hAnsi="仿宋" w:eastAsia="仿宋" w:cs="仿宋"/>
          <w:sz w:val="32"/>
          <w:szCs w:val="32"/>
        </w:rPr>
      </w:pPr>
      <w:r>
        <w:rPr>
          <w:rFonts w:hint="eastAsia" w:ascii="仿宋" w:hAnsi="仿宋" w:eastAsia="仿宋" w:cs="仿宋"/>
          <w:sz w:val="32"/>
          <w:szCs w:val="32"/>
        </w:rPr>
        <w:t>㈤ 负责本校财务和基建管理，组织制定和实施校舍和校园建设规划，正确使用各项经费，不断改善办学条件，强化安全工作管理，创造良好的育人环境。</w:t>
      </w:r>
    </w:p>
    <w:p w14:paraId="24DBF518">
      <w:pPr>
        <w:pStyle w:val="16"/>
        <w:bidi w:val="0"/>
        <w:ind w:firstLine="640" w:firstLineChars="200"/>
        <w:rPr>
          <w:rFonts w:hint="eastAsia"/>
          <w:sz w:val="32"/>
          <w:szCs w:val="32"/>
        </w:rPr>
      </w:pPr>
      <w:r>
        <w:rPr>
          <w:rFonts w:hint="eastAsia"/>
          <w:sz w:val="32"/>
          <w:szCs w:val="32"/>
        </w:rPr>
        <w:t>二、机构设置及决算单位构成</w:t>
      </w:r>
    </w:p>
    <w:p w14:paraId="72A69251">
      <w:pPr>
        <w:pStyle w:val="16"/>
        <w:bidi w:val="0"/>
        <w:ind w:firstLine="640" w:firstLineChars="200"/>
        <w:rPr>
          <w:rFonts w:hint="eastAsia" w:ascii="仿宋" w:hAnsi="仿宋" w:eastAsia="仿宋" w:cs="仿宋"/>
          <w:sz w:val="32"/>
          <w:szCs w:val="32"/>
        </w:rPr>
      </w:pPr>
      <w:r>
        <w:rPr>
          <w:rFonts w:hint="eastAsia" w:ascii="仿宋" w:hAnsi="仿宋" w:eastAsia="仿宋" w:cs="仿宋"/>
          <w:sz w:val="32"/>
          <w:szCs w:val="32"/>
        </w:rPr>
        <w:t>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内设机构设置。</w:t>
      </w:r>
      <w:r>
        <w:rPr>
          <w:rFonts w:hint="eastAsia" w:ascii="仿宋" w:hAnsi="仿宋" w:eastAsia="仿宋" w:cs="仿宋"/>
          <w:sz w:val="32"/>
          <w:szCs w:val="32"/>
          <w:lang w:eastAsia="zh-CN"/>
        </w:rPr>
        <w:t>怀化市第三中学</w:t>
      </w:r>
      <w:r>
        <w:rPr>
          <w:rFonts w:hint="eastAsia" w:ascii="仿宋" w:hAnsi="仿宋" w:eastAsia="仿宋" w:cs="仿宋"/>
          <w:sz w:val="32"/>
          <w:szCs w:val="32"/>
        </w:rPr>
        <w:t>内设</w:t>
      </w:r>
      <w:r>
        <w:rPr>
          <w:rFonts w:hint="eastAsia" w:ascii="仿宋" w:hAnsi="仿宋" w:eastAsia="仿宋" w:cs="仿宋"/>
          <w:sz w:val="32"/>
          <w:szCs w:val="32"/>
          <w:lang w:eastAsia="zh-CN"/>
        </w:rPr>
        <w:t>机构包括</w:t>
      </w:r>
      <w:r>
        <w:rPr>
          <w:rFonts w:hint="eastAsia" w:ascii="仿宋" w:hAnsi="仿宋" w:eastAsia="仿宋" w:cs="仿宋"/>
          <w:sz w:val="32"/>
          <w:szCs w:val="32"/>
        </w:rPr>
        <w:t>：办公室、教务处、德育处、教科室、总务处、现教室</w:t>
      </w:r>
      <w:r>
        <w:rPr>
          <w:rFonts w:hint="eastAsia" w:ascii="仿宋" w:hAnsi="仿宋" w:eastAsia="仿宋" w:cs="仿宋"/>
          <w:sz w:val="32"/>
          <w:szCs w:val="32"/>
          <w:lang w:eastAsia="zh-CN"/>
        </w:rPr>
        <w:t>。</w:t>
      </w:r>
    </w:p>
    <w:p w14:paraId="0B0A4760">
      <w:pPr>
        <w:pStyle w:val="9"/>
        <w:keepNext w:val="0"/>
        <w:keepLines w:val="0"/>
        <w:pageBreakBefore w:val="0"/>
        <w:widowControl/>
        <w:suppressLineNumbers w:val="0"/>
        <w:kinsoku/>
        <w:wordWrap/>
        <w:overflowPunct/>
        <w:topLinePunct w:val="0"/>
        <w:bidi w:val="0"/>
        <w:snapToGrid/>
        <w:spacing w:before="0" w:beforeAutospacing="0" w:after="0" w:afterAutospacing="0" w:line="600" w:lineRule="atLeast"/>
        <w:ind w:left="0" w:firstLine="640" w:firstLineChars="200"/>
        <w:jc w:val="left"/>
        <w:textAlignment w:val="auto"/>
        <w:rPr>
          <w:rFonts w:ascii="黑体" w:hAnsi="黑体" w:eastAsia="黑体"/>
          <w:sz w:val="28"/>
          <w:szCs w:val="28"/>
        </w:rPr>
      </w:pPr>
      <w:r>
        <w:rPr>
          <w:rFonts w:hint="eastAsia" w:ascii="仿宋" w:hAnsi="仿宋" w:eastAsia="仿宋" w:cs="仿宋"/>
          <w:sz w:val="32"/>
          <w:szCs w:val="32"/>
        </w:rPr>
        <w:t>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shd w:val="clear" w:color="auto" w:fill="FFFFFF"/>
        </w:rPr>
        <w:t>决算单位构成。</w:t>
      </w:r>
      <w:r>
        <w:rPr>
          <w:rFonts w:hint="eastAsia" w:ascii="仿宋" w:hAnsi="仿宋" w:eastAsia="仿宋" w:cs="仿宋"/>
          <w:sz w:val="32"/>
          <w:szCs w:val="32"/>
        </w:rPr>
        <w:t>作为独立核算的一级部门预算单位，</w:t>
      </w:r>
      <w:r>
        <w:rPr>
          <w:rFonts w:hint="eastAsia" w:ascii="仿宋" w:hAnsi="仿宋" w:eastAsia="仿宋" w:cs="仿宋"/>
          <w:sz w:val="32"/>
          <w:szCs w:val="32"/>
          <w:shd w:val="clear" w:color="auto" w:fill="FFFFFF"/>
          <w:lang w:eastAsia="zh-CN"/>
        </w:rPr>
        <w:t>怀化市第三中学202</w:t>
      </w:r>
      <w:r>
        <w:rPr>
          <w:rFonts w:hint="eastAsia" w:ascii="仿宋" w:hAnsi="仿宋" w:eastAsia="仿宋" w:cs="仿宋"/>
          <w:sz w:val="32"/>
          <w:szCs w:val="32"/>
          <w:shd w:val="clear" w:color="auto" w:fill="FFFFFF"/>
          <w:lang w:val="en-US" w:eastAsia="zh-CN"/>
        </w:rPr>
        <w:t>3</w:t>
      </w:r>
      <w:r>
        <w:rPr>
          <w:rFonts w:hint="eastAsia" w:ascii="仿宋" w:hAnsi="仿宋" w:eastAsia="仿宋" w:cs="仿宋"/>
          <w:sz w:val="32"/>
          <w:szCs w:val="32"/>
          <w:shd w:val="clear" w:color="auto" w:fill="FFFFFF"/>
        </w:rPr>
        <w:t>年部门决算汇总公开单位构成</w:t>
      </w:r>
      <w:r>
        <w:rPr>
          <w:rFonts w:hint="eastAsia" w:ascii="仿宋" w:hAnsi="仿宋" w:eastAsia="仿宋" w:cs="仿宋"/>
          <w:sz w:val="32"/>
          <w:szCs w:val="32"/>
          <w:shd w:val="clear" w:color="auto" w:fill="FFFFFF"/>
          <w:lang w:eastAsia="zh-CN"/>
        </w:rPr>
        <w:t>只</w:t>
      </w:r>
      <w:r>
        <w:rPr>
          <w:rFonts w:hint="eastAsia" w:ascii="仿宋" w:hAnsi="仿宋" w:eastAsia="仿宋" w:cs="仿宋"/>
          <w:sz w:val="32"/>
          <w:szCs w:val="32"/>
          <w:shd w:val="clear" w:color="auto" w:fill="FFFFFF"/>
        </w:rPr>
        <w:t>包括</w:t>
      </w:r>
      <w:r>
        <w:rPr>
          <w:rFonts w:hint="eastAsia" w:ascii="仿宋" w:hAnsi="仿宋" w:eastAsia="仿宋" w:cs="仿宋"/>
          <w:sz w:val="32"/>
          <w:szCs w:val="32"/>
          <w:shd w:val="clear" w:color="auto" w:fill="FFFFFF"/>
          <w:lang w:eastAsia="zh-CN"/>
        </w:rPr>
        <w:t>怀化市第三中学</w:t>
      </w:r>
      <w:r>
        <w:rPr>
          <w:rFonts w:hint="eastAsia" w:ascii="仿宋" w:hAnsi="仿宋" w:eastAsia="仿宋" w:cs="仿宋"/>
          <w:sz w:val="32"/>
          <w:szCs w:val="32"/>
          <w:shd w:val="clear" w:color="auto" w:fill="FFFFFF"/>
        </w:rPr>
        <w:t>本级 </w:t>
      </w:r>
      <w:r>
        <w:rPr>
          <w:rFonts w:hint="eastAsia" w:ascii="仿宋" w:hAnsi="仿宋" w:eastAsia="仿宋" w:cs="仿宋"/>
          <w:sz w:val="32"/>
          <w:szCs w:val="32"/>
          <w:shd w:val="clear" w:color="auto" w:fill="FFFFFF"/>
          <w:lang w:eastAsia="zh-CN"/>
        </w:rPr>
        <w:t>。</w:t>
      </w:r>
    </w:p>
    <w:p w14:paraId="15A66B40">
      <w:pPr>
        <w:pStyle w:val="16"/>
        <w:jc w:val="both"/>
        <w:rPr>
          <w:rFonts w:hint="eastAsia" w:ascii="方正小标宋_GBK" w:hAnsi="方正小标宋_GBK" w:eastAsia="方正小标宋_GBK" w:cs="方正小标宋_GBK"/>
          <w:sz w:val="84"/>
          <w:szCs w:val="84"/>
        </w:rPr>
      </w:pPr>
    </w:p>
    <w:p w14:paraId="4B453722">
      <w:pPr>
        <w:pStyle w:val="16"/>
        <w:numPr>
          <w:ilvl w:val="0"/>
          <w:numId w:val="1"/>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部门决算表</w:t>
      </w:r>
    </w:p>
    <w:p w14:paraId="69419F6A">
      <w:pPr>
        <w:pStyle w:val="16"/>
        <w:jc w:val="center"/>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（见附件1:2023年部门决算公开表）</w:t>
      </w:r>
    </w:p>
    <w:p w14:paraId="58F6F19F">
      <w:pPr>
        <w:pStyle w:val="16"/>
        <w:jc w:val="both"/>
        <w:rPr>
          <w:rFonts w:hint="eastAsia" w:ascii="Times New Roman" w:hAnsi="Times New Roman" w:eastAsia="仿宋_GB2312"/>
          <w:sz w:val="32"/>
          <w:szCs w:val="32"/>
          <w:lang w:val="en-US" w:eastAsia="zh-CN"/>
        </w:rPr>
      </w:pPr>
    </w:p>
    <w:p w14:paraId="1B97105B">
      <w:pPr>
        <w:pStyle w:val="16"/>
        <w:jc w:val="both"/>
        <w:rPr>
          <w:rFonts w:hint="eastAsia" w:ascii="Times New Roman" w:hAnsi="Times New Roman" w:eastAsia="仿宋_GB2312"/>
          <w:sz w:val="32"/>
          <w:szCs w:val="32"/>
          <w:lang w:val="en-US" w:eastAsia="zh-CN"/>
        </w:rPr>
      </w:pPr>
    </w:p>
    <w:p w14:paraId="3A8E37E9">
      <w:pPr>
        <w:pStyle w:val="16"/>
        <w:jc w:val="center"/>
        <w:rPr>
          <w:rFonts w:hint="eastAsia" w:ascii="方正小标宋_GBK" w:hAnsi="方正小标宋_GBK" w:eastAsia="方正小标宋_GBK" w:cs="方正小标宋_GBK"/>
          <w:sz w:val="28"/>
          <w:szCs w:val="28"/>
        </w:rPr>
      </w:pPr>
    </w:p>
    <w:p w14:paraId="59413F74">
      <w:pPr>
        <w:pStyle w:val="16"/>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第三部分</w:t>
      </w:r>
    </w:p>
    <w:p w14:paraId="17353615">
      <w:pPr>
        <w:pStyle w:val="16"/>
        <w:bidi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rPr>
        <w:t>年度部门决算情况说明</w:t>
      </w:r>
    </w:p>
    <w:p w14:paraId="01352431">
      <w:pPr>
        <w:pStyle w:val="16"/>
        <w:bidi w:val="0"/>
        <w:jc w:val="center"/>
        <w:rPr>
          <w:rFonts w:hint="eastAsia" w:ascii="方正小标宋_GBK" w:hAnsi="方正小标宋_GBK" w:eastAsia="方正小标宋_GBK" w:cs="方正小标宋_GBK"/>
          <w:sz w:val="32"/>
          <w:szCs w:val="32"/>
        </w:rPr>
      </w:pPr>
    </w:p>
    <w:p w14:paraId="448540CB">
      <w:pPr>
        <w:pStyle w:val="16"/>
        <w:bidi w:val="0"/>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7CCB3150">
      <w:pPr>
        <w:pStyle w:val="16"/>
        <w:bidi w:val="0"/>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6773.60</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增加106.26</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增长1.59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一般公共预算拨款减少136.39万元，政府性基金预算财政拨款收入增加30万元，事业收入增加212.65万元。</w:t>
      </w:r>
    </w:p>
    <w:p w14:paraId="5EA2AAF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27826F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6773.60</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5106.51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75.39</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1667.09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24.61</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06AF2F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106A705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6773.60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6450.17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95.23</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323.43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4.77</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316974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032D6A7D">
      <w:pPr>
        <w:pStyle w:val="16"/>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5106.51</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减少106.39</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减少2.04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一般公共预算拨款减少136.39万元，政府性基金预算财政拨款增加30万元。</w:t>
      </w:r>
    </w:p>
    <w:p w14:paraId="55A2674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5DC39C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w:t>
      </w:r>
      <w:r>
        <w:rPr>
          <w:rFonts w:hint="eastAsia" w:ascii="楷体" w:hAnsi="楷体" w:eastAsia="楷体" w:cs="楷体"/>
          <w:b w:val="0"/>
          <w:bCs/>
          <w:sz w:val="32"/>
          <w:szCs w:val="32"/>
          <w:lang w:val="en-US" w:eastAsia="zh-CN"/>
        </w:rPr>
        <w:t>一般公共预算财政拨款支出</w:t>
      </w:r>
      <w:r>
        <w:rPr>
          <w:rFonts w:hint="eastAsia" w:ascii="楷体" w:hAnsi="楷体" w:eastAsia="楷体" w:cs="楷体"/>
          <w:b w:val="0"/>
          <w:bCs/>
          <w:sz w:val="32"/>
          <w:szCs w:val="32"/>
        </w:rPr>
        <w:t>决算总体情况</w:t>
      </w:r>
    </w:p>
    <w:p w14:paraId="4149F1EA">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5076.51</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74.95</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减少136.39</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减少2.62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人员经费较上年减少。</w:t>
      </w:r>
    </w:p>
    <w:p w14:paraId="329CDB0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w:t>
      </w:r>
      <w:r>
        <w:rPr>
          <w:rFonts w:hint="eastAsia" w:ascii="楷体" w:hAnsi="楷体" w:eastAsia="楷体" w:cs="楷体"/>
          <w:b w:val="0"/>
          <w:bCs/>
          <w:sz w:val="32"/>
          <w:szCs w:val="32"/>
          <w:lang w:val="en-US" w:eastAsia="zh-CN"/>
        </w:rPr>
        <w:t>一般公共预算</w:t>
      </w:r>
      <w:r>
        <w:rPr>
          <w:rFonts w:hint="eastAsia" w:ascii="楷体" w:hAnsi="楷体" w:eastAsia="楷体" w:cs="楷体"/>
          <w:b w:val="0"/>
          <w:bCs/>
          <w:sz w:val="32"/>
          <w:szCs w:val="32"/>
        </w:rPr>
        <w:t>财政拨款支出决算结构情况</w:t>
      </w:r>
    </w:p>
    <w:p w14:paraId="53E3E5C9">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5076.51</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32.25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0.63</w:t>
      </w:r>
      <w:r>
        <w:rPr>
          <w:rFonts w:hint="eastAsia" w:ascii="Times New Roman" w:hAnsi="Times New Roman" w:eastAsia="仿宋_GB2312"/>
          <w:sz w:val="32"/>
          <w:szCs w:val="32"/>
        </w:rPr>
        <w:t>%；教育（类）支出</w:t>
      </w:r>
      <w:r>
        <w:rPr>
          <w:rFonts w:hint="eastAsia" w:ascii="Times New Roman" w:hAnsi="Times New Roman" w:eastAsia="仿宋_GB2312"/>
          <w:sz w:val="32"/>
          <w:szCs w:val="32"/>
          <w:lang w:val="en-US" w:eastAsia="zh-CN"/>
        </w:rPr>
        <w:t>4058.09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79.94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科学技术</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支出10万元，占0.20%；社会保障和就业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支出743.03万元，占14.64%；卫生健康</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支出233.14万元，占4.59%。</w:t>
      </w:r>
    </w:p>
    <w:p w14:paraId="32E96B7B">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14:paraId="25AEBCD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4717.69</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5076.51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107.61</w:t>
      </w:r>
      <w:r>
        <w:rPr>
          <w:rFonts w:hint="eastAsia" w:ascii="Times New Roman" w:hAnsi="Times New Roman" w:eastAsia="仿宋_GB2312"/>
          <w:sz w:val="32"/>
          <w:szCs w:val="32"/>
        </w:rPr>
        <w:t>%，其中：</w:t>
      </w:r>
    </w:p>
    <w:p w14:paraId="751DF45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val="en-US" w:eastAsia="zh-CN"/>
        </w:rPr>
        <w:t>财政事务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其他财政事务支出</w:t>
      </w:r>
      <w:r>
        <w:rPr>
          <w:rFonts w:hint="eastAsia" w:ascii="Times New Roman" w:hAnsi="Times New Roman" w:eastAsia="仿宋_GB2312"/>
          <w:sz w:val="32"/>
          <w:szCs w:val="32"/>
        </w:rPr>
        <w:t>（项）。</w:t>
      </w:r>
    </w:p>
    <w:p w14:paraId="2CB778F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年中追加资产管理工作经费。</w:t>
      </w:r>
    </w:p>
    <w:p w14:paraId="236C49C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sz w:val="32"/>
          <w:szCs w:val="32"/>
          <w:lang w:val="en-US" w:eastAsia="zh-CN"/>
        </w:rPr>
        <w:t>组织事务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其他组织事务支出</w:t>
      </w:r>
      <w:r>
        <w:rPr>
          <w:rFonts w:hint="eastAsia" w:ascii="Times New Roman" w:hAnsi="Times New Roman" w:eastAsia="仿宋_GB2312"/>
          <w:sz w:val="32"/>
          <w:szCs w:val="32"/>
        </w:rPr>
        <w:t>（项）。</w:t>
      </w:r>
    </w:p>
    <w:p w14:paraId="2C4E498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29.25</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年中追加人才资源开展专项资金。</w:t>
      </w:r>
    </w:p>
    <w:p w14:paraId="294BEB2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3、教育</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普通教育</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高中教育</w:t>
      </w:r>
      <w:r>
        <w:rPr>
          <w:rFonts w:hint="eastAsia" w:ascii="Times New Roman" w:hAnsi="Times New Roman" w:eastAsia="仿宋_GB2312"/>
          <w:sz w:val="32"/>
          <w:szCs w:val="32"/>
        </w:rPr>
        <w:t>（项）。</w:t>
      </w:r>
    </w:p>
    <w:p w14:paraId="273E692F">
      <w:pPr>
        <w:pStyle w:val="16"/>
        <w:bidi w:val="0"/>
        <w:ind w:firstLine="640" w:firstLineChars="200"/>
        <w:rPr>
          <w:rFonts w:hint="eastAsia" w:ascii="仿宋" w:hAnsi="仿宋" w:eastAsia="仿宋" w:cs="仿宋"/>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4017.27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4022.95</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完成年初预算的100.14%，</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年中追加了项目支出。</w:t>
      </w:r>
    </w:p>
    <w:p w14:paraId="5B3EDF8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仿宋" w:hAnsi="仿宋" w:eastAsia="仿宋" w:cs="仿宋"/>
          <w:sz w:val="32"/>
          <w:szCs w:val="32"/>
          <w:lang w:val="en-US" w:eastAsia="zh-CN"/>
        </w:rPr>
        <w:t>3、</w:t>
      </w:r>
      <w:r>
        <w:rPr>
          <w:rFonts w:hint="eastAsia" w:ascii="Times New Roman" w:hAnsi="Times New Roman" w:eastAsia="仿宋_GB2312"/>
          <w:sz w:val="32"/>
          <w:szCs w:val="32"/>
          <w:lang w:val="en-US" w:eastAsia="zh-CN"/>
        </w:rPr>
        <w:t>教育</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普通教育</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其他普通教育支出</w:t>
      </w:r>
      <w:r>
        <w:rPr>
          <w:rFonts w:hint="eastAsia" w:ascii="Times New Roman" w:hAnsi="Times New Roman" w:eastAsia="仿宋_GB2312"/>
          <w:sz w:val="32"/>
          <w:szCs w:val="32"/>
        </w:rPr>
        <w:t>（项）。</w:t>
      </w:r>
    </w:p>
    <w:p w14:paraId="05D70910">
      <w:pPr>
        <w:pStyle w:val="16"/>
        <w:bidi w:val="0"/>
        <w:ind w:firstLine="640" w:firstLineChars="200"/>
        <w:rPr>
          <w:rFonts w:hint="eastAsia" w:ascii="仿宋" w:hAnsi="仿宋" w:eastAsia="仿宋" w:cs="仿宋"/>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年中追加了“三区”人才计划教师专项工作补助经费。</w:t>
      </w:r>
    </w:p>
    <w:p w14:paraId="38F228D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仿宋" w:hAnsi="仿宋" w:eastAsia="仿宋" w:cs="仿宋"/>
          <w:sz w:val="32"/>
          <w:szCs w:val="32"/>
          <w:lang w:val="en-US" w:eastAsia="zh-CN"/>
        </w:rPr>
        <w:t>4、</w:t>
      </w:r>
      <w:r>
        <w:rPr>
          <w:rFonts w:hint="eastAsia" w:ascii="Times New Roman" w:hAnsi="Times New Roman" w:eastAsia="仿宋_GB2312"/>
          <w:sz w:val="32"/>
          <w:szCs w:val="32"/>
          <w:lang w:val="en-US" w:eastAsia="zh-CN"/>
        </w:rPr>
        <w:t>教育</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其他教育支出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其他教育支出</w:t>
      </w:r>
      <w:r>
        <w:rPr>
          <w:rFonts w:hint="eastAsia" w:ascii="Times New Roman" w:hAnsi="Times New Roman" w:eastAsia="仿宋_GB2312"/>
          <w:sz w:val="32"/>
          <w:szCs w:val="32"/>
        </w:rPr>
        <w:t>（项）。</w:t>
      </w:r>
    </w:p>
    <w:p w14:paraId="2F56ABF5">
      <w:pPr>
        <w:pStyle w:val="16"/>
        <w:bidi w:val="0"/>
        <w:ind w:firstLine="640" w:firstLineChars="200"/>
        <w:rPr>
          <w:rFonts w:hint="eastAsia" w:ascii="仿宋" w:hAnsi="仿宋" w:eastAsia="仿宋" w:cs="仿宋"/>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25.14</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年中追加了高考考点建设补助资金。</w:t>
      </w:r>
    </w:p>
    <w:p w14:paraId="3E28900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仿宋" w:hAnsi="仿宋" w:eastAsia="仿宋" w:cs="仿宋"/>
          <w:sz w:val="32"/>
          <w:szCs w:val="32"/>
          <w:lang w:val="en-US" w:eastAsia="zh-CN"/>
        </w:rPr>
        <w:t>5、</w:t>
      </w:r>
      <w:r>
        <w:rPr>
          <w:rFonts w:hint="eastAsia" w:ascii="Times New Roman" w:hAnsi="Times New Roman" w:eastAsia="仿宋_GB2312"/>
          <w:sz w:val="32"/>
          <w:szCs w:val="32"/>
          <w:lang w:val="en-US" w:eastAsia="zh-CN"/>
        </w:rPr>
        <w:t>科学技术</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科学技术普及</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科普活动</w:t>
      </w:r>
      <w:r>
        <w:rPr>
          <w:rFonts w:hint="eastAsia" w:ascii="Times New Roman" w:hAnsi="Times New Roman" w:eastAsia="仿宋_GB2312"/>
          <w:sz w:val="32"/>
          <w:szCs w:val="32"/>
        </w:rPr>
        <w:t>（项）。</w:t>
      </w:r>
    </w:p>
    <w:p w14:paraId="44D3CD6C">
      <w:pPr>
        <w:pStyle w:val="16"/>
        <w:bidi w:val="0"/>
        <w:ind w:firstLine="640" w:firstLineChars="200"/>
        <w:rPr>
          <w:rFonts w:hint="eastAsia" w:ascii="仿宋" w:hAnsi="仿宋" w:eastAsia="仿宋" w:cs="仿宋"/>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年中追加了基层科普行动计划专项资金。</w:t>
      </w:r>
    </w:p>
    <w:p w14:paraId="2D39D86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机关事业单位基本养老保险缴费支出</w:t>
      </w:r>
      <w:r>
        <w:rPr>
          <w:rFonts w:hint="eastAsia" w:ascii="Times New Roman" w:hAnsi="Times New Roman" w:eastAsia="仿宋_GB2312"/>
          <w:sz w:val="32"/>
          <w:szCs w:val="32"/>
        </w:rPr>
        <w:t>（项）。</w:t>
      </w:r>
    </w:p>
    <w:p w14:paraId="3ACF86A4">
      <w:pPr>
        <w:pStyle w:val="16"/>
        <w:bidi w:val="0"/>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452.27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743.03</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年中追加了养老保险缴费支出。</w:t>
      </w:r>
    </w:p>
    <w:p w14:paraId="7CB6874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7、卫生健康支出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行政单位医疗</w:t>
      </w:r>
      <w:r>
        <w:rPr>
          <w:rFonts w:hint="eastAsia" w:ascii="Times New Roman" w:hAnsi="Times New Roman" w:eastAsia="仿宋_GB2312"/>
          <w:sz w:val="32"/>
          <w:szCs w:val="32"/>
        </w:rPr>
        <w:t>（项）。</w:t>
      </w:r>
    </w:p>
    <w:p w14:paraId="21346A38">
      <w:pPr>
        <w:pStyle w:val="16"/>
        <w:bidi w:val="0"/>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194.15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233.14</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年中追加了医疗保险缴费支出。</w:t>
      </w:r>
    </w:p>
    <w:p w14:paraId="326D692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455CEB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4783.08</w:t>
      </w:r>
      <w:r>
        <w:rPr>
          <w:rFonts w:hint="eastAsia" w:ascii="Times New Roman" w:hAnsi="Times New Roman" w:eastAsia="仿宋_GB2312"/>
          <w:sz w:val="32"/>
          <w:szCs w:val="32"/>
        </w:rPr>
        <w:t>万元，其中：</w:t>
      </w:r>
    </w:p>
    <w:p w14:paraId="4242673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shd w:val="clear" w:color="auto" w:fill="FFFFFF"/>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4284.34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89.57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主要包括基本工资、津贴补贴、奖金、</w:t>
      </w:r>
      <w:r>
        <w:rPr>
          <w:rFonts w:hint="eastAsia" w:ascii="仿宋" w:hAnsi="仿宋" w:eastAsia="仿宋" w:cs="仿宋"/>
          <w:sz w:val="32"/>
          <w:szCs w:val="32"/>
          <w:shd w:val="clear" w:color="auto" w:fill="FFFFFF"/>
          <w:lang w:eastAsia="zh-CN"/>
        </w:rPr>
        <w:t>绩效工资、基本养老保险缴费、基本医疗保险缴费等。</w:t>
      </w:r>
    </w:p>
    <w:p w14:paraId="70BA6BC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shd w:val="clear" w:color="auto" w:fill="FFFFFF"/>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498.74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10.43</w:t>
      </w:r>
      <w:r>
        <w:rPr>
          <w:rFonts w:hint="eastAsia" w:ascii="Times New Roman" w:hAnsi="Times New Roman" w:eastAsia="仿宋_GB2312"/>
          <w:sz w:val="32"/>
          <w:szCs w:val="32"/>
        </w:rPr>
        <w:t>%，主要包括</w:t>
      </w:r>
      <w:r>
        <w:rPr>
          <w:rFonts w:hint="eastAsia" w:ascii="仿宋" w:hAnsi="仿宋" w:eastAsia="仿宋" w:cs="仿宋"/>
          <w:sz w:val="32"/>
          <w:szCs w:val="32"/>
          <w:shd w:val="clear" w:color="auto" w:fill="FFFFFF"/>
        </w:rPr>
        <w:t>主要包括办公费、印刷费、</w:t>
      </w:r>
      <w:r>
        <w:rPr>
          <w:rFonts w:hint="eastAsia" w:ascii="仿宋" w:hAnsi="仿宋" w:eastAsia="仿宋" w:cs="仿宋"/>
          <w:sz w:val="32"/>
          <w:szCs w:val="32"/>
          <w:shd w:val="clear" w:color="auto" w:fill="FFFFFF"/>
          <w:lang w:eastAsia="zh-CN"/>
        </w:rPr>
        <w:t>水电费、物管费、</w:t>
      </w:r>
      <w:r>
        <w:rPr>
          <w:rFonts w:hint="eastAsia" w:ascii="仿宋" w:hAnsi="仿宋" w:eastAsia="仿宋" w:cs="仿宋"/>
          <w:sz w:val="32"/>
          <w:szCs w:val="32"/>
          <w:shd w:val="clear" w:color="auto" w:fill="FFFFFF"/>
          <w:lang w:val="en-US" w:eastAsia="zh-CN"/>
        </w:rPr>
        <w:t>差旅费、</w:t>
      </w:r>
      <w:r>
        <w:rPr>
          <w:rFonts w:hint="eastAsia" w:ascii="仿宋" w:hAnsi="仿宋" w:eastAsia="仿宋" w:cs="仿宋"/>
          <w:sz w:val="32"/>
          <w:szCs w:val="32"/>
          <w:shd w:val="clear" w:color="auto" w:fill="FFFFFF"/>
          <w:lang w:eastAsia="zh-CN"/>
        </w:rPr>
        <w:t>维修费、培训费、</w:t>
      </w:r>
      <w:r>
        <w:rPr>
          <w:rFonts w:hint="eastAsia" w:ascii="仿宋" w:hAnsi="仿宋" w:eastAsia="仿宋" w:cs="仿宋"/>
          <w:sz w:val="32"/>
          <w:szCs w:val="32"/>
          <w:shd w:val="clear" w:color="auto" w:fill="FFFFFF"/>
          <w:lang w:val="en-US" w:eastAsia="zh-CN"/>
        </w:rPr>
        <w:t>福利费及其他商品和服务支出</w:t>
      </w:r>
      <w:r>
        <w:rPr>
          <w:rFonts w:hint="eastAsia" w:ascii="仿宋" w:hAnsi="仿宋" w:eastAsia="仿宋" w:cs="仿宋"/>
          <w:sz w:val="32"/>
          <w:szCs w:val="32"/>
          <w:shd w:val="clear" w:color="auto" w:fill="FFFFFF"/>
          <w:lang w:eastAsia="zh-CN"/>
        </w:rPr>
        <w:t>等</w:t>
      </w:r>
      <w:r>
        <w:rPr>
          <w:rFonts w:hint="eastAsia" w:ascii="仿宋" w:hAnsi="仿宋" w:eastAsia="仿宋" w:cs="仿宋"/>
          <w:sz w:val="32"/>
          <w:szCs w:val="32"/>
          <w:shd w:val="clear" w:color="auto" w:fill="FFFFFF"/>
        </w:rPr>
        <w:t>。</w:t>
      </w:r>
    </w:p>
    <w:p w14:paraId="3549FC4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6676CBA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7F21E60F">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决算数小于预算数的主要原因是落实中央省市有关精神，厉行节约，严格控制</w:t>
      </w:r>
      <w:r>
        <w:rPr>
          <w:rFonts w:hint="eastAsia" w:ascii="Times New Roman" w:hAnsi="Times New Roman" w:eastAsia="仿宋_GB2312"/>
          <w:sz w:val="32"/>
          <w:szCs w:val="32"/>
        </w:rPr>
        <w:t>“三公”经费</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其中：</w:t>
      </w:r>
    </w:p>
    <w:p w14:paraId="034F1CA1">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决算数与预算数一致，与上年相比无增减。</w:t>
      </w:r>
    </w:p>
    <w:p w14:paraId="176F49F3">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决算数与预算数一致，与上年相比无增减。</w:t>
      </w:r>
    </w:p>
    <w:p w14:paraId="581B49E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决算数与预算数一致，与上年相比无增减。</w:t>
      </w:r>
    </w:p>
    <w:p w14:paraId="625DA41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80</w:t>
      </w:r>
      <w:r>
        <w:rPr>
          <w:rFonts w:hint="eastAsia" w:ascii="Times New Roman" w:hAnsi="Times New Roman" w:eastAsia="仿宋_GB2312"/>
          <w:sz w:val="32"/>
          <w:szCs w:val="32"/>
        </w:rPr>
        <w:t>%，决算数小于预算数的主要原因是</w:t>
      </w:r>
      <w:r>
        <w:rPr>
          <w:rFonts w:hint="eastAsia" w:ascii="仿宋" w:hAnsi="仿宋" w:eastAsia="仿宋" w:cs="仿宋"/>
          <w:sz w:val="30"/>
          <w:szCs w:val="30"/>
          <w:shd w:val="clear" w:color="auto" w:fill="FFFFFF"/>
          <w:lang w:eastAsia="zh-CN"/>
        </w:rPr>
        <w:t>从严控制车辆运行经费。</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减少0.58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减少29.90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rPr>
        <w:t>的主要原因是</w:t>
      </w:r>
      <w:r>
        <w:rPr>
          <w:rFonts w:hint="eastAsia" w:ascii="仿宋" w:hAnsi="仿宋" w:eastAsia="仿宋" w:cs="仿宋"/>
          <w:sz w:val="30"/>
          <w:szCs w:val="30"/>
          <w:shd w:val="clear" w:color="auto" w:fill="FFFFFF"/>
          <w:lang w:val="en-US" w:eastAsia="zh-CN"/>
        </w:rPr>
        <w:t>持续压减</w:t>
      </w:r>
      <w:r>
        <w:rPr>
          <w:rFonts w:hint="eastAsia" w:ascii="Times New Roman" w:hAnsi="Times New Roman" w:eastAsia="仿宋_GB2312"/>
          <w:sz w:val="32"/>
          <w:szCs w:val="32"/>
        </w:rPr>
        <w:t>“三公”</w:t>
      </w:r>
      <w:r>
        <w:rPr>
          <w:rFonts w:hint="eastAsia" w:ascii="Times New Roman" w:hAnsi="Times New Roman" w:eastAsia="仿宋_GB2312"/>
          <w:sz w:val="32"/>
          <w:szCs w:val="32"/>
          <w:lang w:val="en-US" w:eastAsia="zh-CN"/>
        </w:rPr>
        <w:t>经费开支</w:t>
      </w:r>
      <w:r>
        <w:rPr>
          <w:rFonts w:hint="eastAsia" w:ascii="Times New Roman" w:hAnsi="Times New Roman" w:eastAsia="仿宋_GB2312"/>
          <w:sz w:val="32"/>
          <w:szCs w:val="32"/>
        </w:rPr>
        <w:t>。</w:t>
      </w:r>
    </w:p>
    <w:p w14:paraId="25A4AAB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4560BC2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1.36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21C2B4A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087AEB4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14:paraId="3FDEC39B">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1.36</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1.36</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车辆油料费、维修费、保险费等</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5CDBCC8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664637D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0D2D810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其他支出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彩票公益金安排的支出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用于社会福利的彩票公益金支出</w:t>
      </w:r>
      <w:r>
        <w:rPr>
          <w:rFonts w:hint="eastAsia" w:ascii="Times New Roman" w:hAnsi="Times New Roman" w:eastAsia="仿宋_GB2312"/>
          <w:sz w:val="32"/>
          <w:szCs w:val="32"/>
        </w:rPr>
        <w:t>（项）。</w:t>
      </w:r>
    </w:p>
    <w:p w14:paraId="2FA1FC4A">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年中追加图书馆心理咨询室提质改造及设备添置项目。</w:t>
      </w:r>
    </w:p>
    <w:p w14:paraId="4B6F69CB">
      <w:pPr>
        <w:pStyle w:val="16"/>
        <w:bidi w:val="0"/>
        <w:ind w:firstLine="640" w:firstLineChars="200"/>
        <w:rPr>
          <w:rFonts w:hint="eastAsia"/>
          <w:sz w:val="32"/>
          <w:szCs w:val="32"/>
          <w:lang w:val="en-US" w:eastAsia="zh-CN"/>
        </w:rPr>
      </w:pPr>
      <w:r>
        <w:rPr>
          <w:rFonts w:hint="eastAsia"/>
          <w:sz w:val="32"/>
          <w:szCs w:val="32"/>
          <w:lang w:val="en-US" w:eastAsia="zh-CN"/>
        </w:rPr>
        <w:t>九、国有资本经营预算</w:t>
      </w:r>
      <w:r>
        <w:rPr>
          <w:rFonts w:hint="eastAsia" w:hAnsi="黑体" w:cs="黑体"/>
          <w:b w:val="0"/>
          <w:bCs/>
          <w:sz w:val="32"/>
          <w:szCs w:val="32"/>
          <w:lang w:val="en-US" w:eastAsia="zh-CN"/>
        </w:rPr>
        <w:t>财政拨款</w:t>
      </w:r>
      <w:r>
        <w:rPr>
          <w:rFonts w:hint="eastAsia"/>
          <w:sz w:val="32"/>
          <w:szCs w:val="32"/>
          <w:lang w:val="en-US" w:eastAsia="zh-CN"/>
        </w:rPr>
        <w:t>收入支出决算情况说明</w:t>
      </w:r>
    </w:p>
    <w:p w14:paraId="6097709D">
      <w:pPr>
        <w:numPr>
          <w:ilvl w:val="0"/>
          <w:numId w:val="0"/>
        </w:numPr>
        <w:autoSpaceDE w:val="0"/>
        <w:autoSpaceDN w:val="0"/>
        <w:adjustRightInd w:val="0"/>
        <w:spacing w:line="500" w:lineRule="exact"/>
        <w:ind w:firstLine="640" w:firstLineChars="200"/>
        <w:jc w:val="left"/>
        <w:rPr>
          <w:rFonts w:hint="eastAsia" w:ascii="Times New Roman" w:hAnsi="Times New Roman" w:eastAsia="仿宋_GB2312"/>
          <w:sz w:val="32"/>
          <w:szCs w:val="32"/>
          <w:lang w:val="en-US" w:eastAsia="zh-CN"/>
        </w:rPr>
      </w:pPr>
      <w:r>
        <w:rPr>
          <w:rFonts w:hint="eastAsia" w:ascii="仿宋_GB2312" w:hAnsi="仿宋_GB2312" w:eastAsia="仿宋_GB2312" w:cs="仿宋_GB2312"/>
          <w:color w:val="000000"/>
          <w:kern w:val="0"/>
          <w:sz w:val="32"/>
          <w:szCs w:val="32"/>
          <w:lang w:val="en-US" w:eastAsia="zh-CN"/>
        </w:rPr>
        <w:t>2023年本部门无国有资本经营预算财政拨款收入支出。</w:t>
      </w:r>
    </w:p>
    <w:p w14:paraId="6AA3E5A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color w:val="auto"/>
          <w:sz w:val="32"/>
          <w:szCs w:val="32"/>
        </w:rPr>
      </w:pPr>
      <w:r>
        <w:rPr>
          <w:rFonts w:hint="eastAsia" w:hAnsi="黑体" w:cs="黑体"/>
          <w:b/>
          <w:color w:val="auto"/>
          <w:sz w:val="32"/>
          <w:szCs w:val="32"/>
          <w:lang w:val="en-US" w:eastAsia="zh-CN"/>
        </w:rPr>
        <w:t>十</w:t>
      </w:r>
      <w:r>
        <w:rPr>
          <w:rFonts w:hint="eastAsia" w:ascii="黑体" w:hAnsi="黑体" w:eastAsia="黑体" w:cs="黑体"/>
          <w:b/>
          <w:color w:val="auto"/>
          <w:sz w:val="32"/>
          <w:szCs w:val="32"/>
        </w:rPr>
        <w:t>、关于机关运行经费支出说明</w:t>
      </w:r>
    </w:p>
    <w:p w14:paraId="4BE4D81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val="en-US" w:eastAsia="zh-CN"/>
        </w:rPr>
        <w:t>为非参公事业单位，不属机关运行经费统计范围之内。</w:t>
      </w:r>
    </w:p>
    <w:p w14:paraId="3804F51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一</w:t>
      </w:r>
      <w:r>
        <w:rPr>
          <w:rFonts w:hint="eastAsia" w:ascii="黑体" w:hAnsi="黑体" w:eastAsia="黑体" w:cs="黑体"/>
          <w:b w:val="0"/>
          <w:bCs/>
          <w:sz w:val="32"/>
          <w:szCs w:val="32"/>
        </w:rPr>
        <w:t>、一般性支出情况说明</w:t>
      </w:r>
    </w:p>
    <w:p w14:paraId="3574CA9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43.70</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val="en-US" w:eastAsia="zh-CN"/>
        </w:rPr>
        <w:t>各学科专业</w:t>
      </w:r>
      <w:r>
        <w:rPr>
          <w:rFonts w:hint="eastAsia" w:ascii="Times New Roman" w:hAnsi="Times New Roman" w:eastAsia="仿宋_GB2312"/>
          <w:sz w:val="32"/>
          <w:szCs w:val="32"/>
        </w:rPr>
        <w:t>培训，</w:t>
      </w:r>
      <w:r>
        <w:rPr>
          <w:rFonts w:hint="eastAsia" w:ascii="Times New Roman" w:hAnsi="Times New Roman" w:eastAsia="仿宋_GB2312"/>
          <w:sz w:val="32"/>
          <w:szCs w:val="32"/>
          <w:lang w:val="en-US" w:eastAsia="zh-CN"/>
        </w:rPr>
        <w:t>人数306</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各学科教师参加国培、省培、市培计划的专业培训</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2023年本部门无节庆、晚会、论坛、赛事活动，开支0万元。</w:t>
      </w:r>
    </w:p>
    <w:p w14:paraId="23C86BA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二</w:t>
      </w:r>
      <w:r>
        <w:rPr>
          <w:rFonts w:hint="eastAsia" w:ascii="黑体" w:hAnsi="黑体" w:eastAsia="黑体" w:cs="黑体"/>
          <w:b w:val="0"/>
          <w:bCs/>
          <w:sz w:val="32"/>
          <w:szCs w:val="32"/>
        </w:rPr>
        <w:t>、关于政府采购支出说明</w:t>
      </w:r>
    </w:p>
    <w:p w14:paraId="557A4525">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180.21</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180.21</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180.21</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180.21</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6E4823B7">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三</w:t>
      </w:r>
      <w:r>
        <w:rPr>
          <w:rFonts w:hint="eastAsia" w:ascii="黑体" w:hAnsi="黑体" w:eastAsia="黑体" w:cs="黑体"/>
          <w:b w:val="0"/>
          <w:bCs/>
          <w:color w:val="auto"/>
          <w:sz w:val="32"/>
          <w:szCs w:val="32"/>
        </w:rPr>
        <w:t>、关于国有资产占用情况说明</w:t>
      </w:r>
    </w:p>
    <w:p w14:paraId="410260AC">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辆，其他用车主要是</w:t>
      </w:r>
      <w:r>
        <w:rPr>
          <w:rFonts w:hint="eastAsia" w:ascii="Times New Roman" w:hAnsi="Times New Roman" w:eastAsia="仿宋_GB2312"/>
          <w:color w:val="auto"/>
          <w:sz w:val="32"/>
          <w:szCs w:val="32"/>
          <w:lang w:val="en-US" w:eastAsia="zh-CN"/>
        </w:rPr>
        <w:t>学校业务用车</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4DD948B7">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49E86913">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3B21B187">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根据财政预算绩效管理要求，本部门充分认识到加强预算绩效管理工作的重要性和紧迫性，积极落实上级文件精神，不断强化绩效理念，组织相关部门逐步将预算编制、执行、监督、决算等环节与绩效目标管理、跟踪监控评价、结果应用等环节有机统一。项目采取“事前申报绩效目标和指标、事中开展绩效日常监督、事后进行绩效评价”的方式，基本建立了贯穿项目支出“事前、事中、事后”全过程的绩效管理模式。切实把加强预算绩效管理作为一项重要工作来抓。</w:t>
      </w:r>
    </w:p>
    <w:p w14:paraId="00EFCF45">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19941337">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本部门2023年度整体支出绩效自评工作，涉及资金6773.60万元，自评覆盖率达100%。整体支出主要是为完成学校教育教学及相关事务管理工作而发生的支出，主要包括人员经费、日常运动公用经费和项目支出。</w:t>
      </w:r>
    </w:p>
    <w:p w14:paraId="04D77813">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2023年围绕部门重点工作计划，抓好厉行节约源头控制，严格执行部门预算，加快支出进度；“三公”经费、一般运行经费实现了有效压减；项目支出严</w:t>
      </w:r>
      <w:bookmarkStart w:id="0" w:name="_GoBack"/>
      <w:bookmarkEnd w:id="0"/>
      <w:r>
        <w:rPr>
          <w:rFonts w:hint="eastAsia" w:ascii="Times New Roman" w:hAnsi="Times New Roman" w:eastAsia="仿宋_GB2312"/>
          <w:sz w:val="32"/>
          <w:szCs w:val="32"/>
          <w:lang w:val="en-US" w:eastAsia="zh-CN"/>
        </w:rPr>
        <w:t>格执行相关项目管理制度，按照程序和审批手续，确保资金使用规范合理，降低了运行成本，提高了资金的使用效率。</w:t>
      </w:r>
    </w:p>
    <w:p w14:paraId="46E4C42B">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部门整体支出绩效情况详见附件2：2023年度部门整体支出绩效自评报告</w:t>
      </w:r>
    </w:p>
    <w:p w14:paraId="77D8B39B">
      <w:pPr>
        <w:pStyle w:val="16"/>
        <w:keepNext w:val="0"/>
        <w:keepLines w:val="0"/>
        <w:pageBreakBefore w:val="0"/>
        <w:widowControl w:val="0"/>
        <w:numPr>
          <w:ilvl w:val="0"/>
          <w:numId w:val="2"/>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存在的问题及原因分析</w:t>
      </w:r>
    </w:p>
    <w:p w14:paraId="52103F84">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jc w:val="left"/>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 xml:space="preserve">    </w:t>
      </w:r>
      <w:r>
        <w:rPr>
          <w:rFonts w:hint="eastAsia" w:ascii="Times New Roman" w:hAnsi="Times New Roman" w:eastAsia="仿宋_GB2312"/>
          <w:sz w:val="32"/>
          <w:szCs w:val="32"/>
          <w:lang w:val="en-US" w:eastAsia="zh-CN"/>
        </w:rPr>
        <w:t>预算绩效评价个性指标有待进一步完善。项目绩效指标设置不够精准、细化，指标无法准确反映项目的真实产出和效益，未能全面、精确反映整体绩效水平。主要原因是缺乏专业的绩效管理人员。</w:t>
      </w:r>
    </w:p>
    <w:p w14:paraId="291CCCB3">
      <w:pPr>
        <w:pStyle w:val="16"/>
        <w:jc w:val="center"/>
        <w:rPr>
          <w:rFonts w:hint="eastAsia" w:ascii="方正小标宋_GBK" w:hAnsi="方正小标宋_GBK" w:eastAsia="方正小标宋_GBK" w:cs="方正小标宋_GBK"/>
          <w:sz w:val="44"/>
          <w:szCs w:val="44"/>
        </w:rPr>
      </w:pPr>
    </w:p>
    <w:p w14:paraId="071A5235">
      <w:pPr>
        <w:pStyle w:val="16"/>
        <w:jc w:val="center"/>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sz w:val="44"/>
          <w:szCs w:val="44"/>
        </w:rPr>
        <w:t>第四部分</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color w:val="000000"/>
          <w:kern w:val="0"/>
          <w:sz w:val="44"/>
          <w:szCs w:val="44"/>
        </w:rPr>
        <w:t>名词解释</w:t>
      </w:r>
    </w:p>
    <w:p w14:paraId="4F6401DB">
      <w:pPr>
        <w:widowControl/>
        <w:jc w:val="left"/>
        <w:rPr>
          <w:rFonts w:cs="黑体" w:asciiTheme="minorEastAsia" w:hAnsiTheme="minorEastAsia"/>
          <w:color w:val="000000"/>
          <w:kern w:val="0"/>
          <w:sz w:val="32"/>
          <w:szCs w:val="32"/>
        </w:rPr>
      </w:pPr>
    </w:p>
    <w:p w14:paraId="66CD1D0F">
      <w:pPr>
        <w:keepNext w:val="0"/>
        <w:keepLines w:val="0"/>
        <w:pageBreakBefore w:val="0"/>
        <w:kinsoku/>
        <w:wordWrap/>
        <w:overflowPunct/>
        <w:topLinePunct w:val="0"/>
        <w:bidi w:val="0"/>
        <w:snapToGrid/>
        <w:spacing w:afterAutospacing="0"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41B5ABE3">
      <w:pPr>
        <w:pStyle w:val="16"/>
        <w:ind w:firstLine="6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4825CE2D">
      <w:pPr>
        <w:pStyle w:val="16"/>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3.政府采购：指各级国家机关、事业单位和团体组织，使用财政性资金采购依法制定的集中目录以内的或者采购限额标准以上的货物、工程和服务的行为，是规范财政支出管理和强化预算约束的有效措施。</w:t>
      </w:r>
    </w:p>
    <w:p w14:paraId="0CBDBCD3">
      <w:pPr>
        <w:pStyle w:val="16"/>
        <w:bidi w:val="0"/>
        <w:ind w:firstLine="640" w:firstLineChars="200"/>
        <w:rPr>
          <w:rFonts w:hint="eastAsia" w:ascii="仿宋" w:hAnsi="仿宋" w:eastAsia="仿宋" w:cs="仿宋"/>
          <w:sz w:val="32"/>
          <w:szCs w:val="32"/>
          <w:lang w:val="en-US" w:eastAsia="zh-CN"/>
        </w:rPr>
      </w:pPr>
    </w:p>
    <w:p w14:paraId="143F38C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附件1:2023年部门决算公开表</w:t>
      </w:r>
    </w:p>
    <w:p w14:paraId="4985C57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jc w:val="left"/>
        <w:textAlignment w:val="auto"/>
        <w:rPr>
          <w:rFonts w:hint="eastAsia" w:ascii="仿宋" w:hAnsi="仿宋" w:eastAsia="仿宋" w:cs="仿宋"/>
          <w:color w:val="000000"/>
          <w:kern w:val="0"/>
          <w:sz w:val="32"/>
          <w:szCs w:val="32"/>
        </w:rPr>
      </w:pPr>
      <w:r>
        <w:rPr>
          <w:rFonts w:hint="eastAsia" w:ascii="仿宋" w:hAnsi="仿宋" w:eastAsia="仿宋" w:cs="仿宋"/>
          <w:sz w:val="32"/>
          <w:szCs w:val="32"/>
          <w:lang w:val="en-US" w:eastAsia="zh-CN"/>
        </w:rPr>
        <w:t>附件2:2023年部门整体支出绩效自评报告</w:t>
      </w:r>
    </w:p>
    <w:sectPr>
      <w:footerReference r:id="rId3" w:type="default"/>
      <w:pgSz w:w="11906" w:h="16838"/>
      <w:pgMar w:top="1457" w:right="1797" w:bottom="1457" w:left="1797"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0D71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ABBBA">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BABBBA">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9DCA5"/>
    <w:multiLevelType w:val="singleLevel"/>
    <w:tmpl w:val="CEA9DCA5"/>
    <w:lvl w:ilvl="0" w:tentative="0">
      <w:start w:val="2"/>
      <w:numFmt w:val="chineseCounting"/>
      <w:suff w:val="space"/>
      <w:lvlText w:val="第%1部分"/>
      <w:lvlJc w:val="left"/>
      <w:rPr>
        <w:rFonts w:hint="eastAsia"/>
      </w:rPr>
    </w:lvl>
  </w:abstractNum>
  <w:abstractNum w:abstractNumId="1">
    <w:nsid w:val="6E484D29"/>
    <w:multiLevelType w:val="singleLevel"/>
    <w:tmpl w:val="6E484D29"/>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zOTJhY2U1ZmQ1YTU1YzBmN2E2YzM1MjRlM2ZhOTk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5E53"/>
    <w:rsid w:val="00FE6269"/>
    <w:rsid w:val="00FF5CD6"/>
    <w:rsid w:val="01326F3B"/>
    <w:rsid w:val="01D4745A"/>
    <w:rsid w:val="037E6D6A"/>
    <w:rsid w:val="03A569EC"/>
    <w:rsid w:val="04916414"/>
    <w:rsid w:val="04B80536"/>
    <w:rsid w:val="04F955FF"/>
    <w:rsid w:val="05AB46D0"/>
    <w:rsid w:val="07C771A5"/>
    <w:rsid w:val="09F87070"/>
    <w:rsid w:val="0B936F46"/>
    <w:rsid w:val="0C264442"/>
    <w:rsid w:val="0C7813B4"/>
    <w:rsid w:val="0FA24D59"/>
    <w:rsid w:val="106D0FD2"/>
    <w:rsid w:val="109866AA"/>
    <w:rsid w:val="131F3EBA"/>
    <w:rsid w:val="13935631"/>
    <w:rsid w:val="14B27D54"/>
    <w:rsid w:val="16D34171"/>
    <w:rsid w:val="17592C4E"/>
    <w:rsid w:val="177F2CE5"/>
    <w:rsid w:val="19797F82"/>
    <w:rsid w:val="1D1657FA"/>
    <w:rsid w:val="21187033"/>
    <w:rsid w:val="235F6157"/>
    <w:rsid w:val="24E51367"/>
    <w:rsid w:val="255012A0"/>
    <w:rsid w:val="2628223B"/>
    <w:rsid w:val="272D269D"/>
    <w:rsid w:val="29626662"/>
    <w:rsid w:val="297513D8"/>
    <w:rsid w:val="2CCD4AF7"/>
    <w:rsid w:val="2E3010F7"/>
    <w:rsid w:val="2E724577"/>
    <w:rsid w:val="2ED63B97"/>
    <w:rsid w:val="31484D50"/>
    <w:rsid w:val="3149173E"/>
    <w:rsid w:val="34CF13A8"/>
    <w:rsid w:val="3643781B"/>
    <w:rsid w:val="371C7A87"/>
    <w:rsid w:val="388D1222"/>
    <w:rsid w:val="38C56771"/>
    <w:rsid w:val="394246A0"/>
    <w:rsid w:val="3A3356AB"/>
    <w:rsid w:val="3A351FF4"/>
    <w:rsid w:val="3A7C45D8"/>
    <w:rsid w:val="3C25490E"/>
    <w:rsid w:val="3D6178AF"/>
    <w:rsid w:val="3D8A0D33"/>
    <w:rsid w:val="3D9B6D4B"/>
    <w:rsid w:val="3F2F69B3"/>
    <w:rsid w:val="442A01C9"/>
    <w:rsid w:val="448C026D"/>
    <w:rsid w:val="46A46778"/>
    <w:rsid w:val="491815A4"/>
    <w:rsid w:val="4A062A9F"/>
    <w:rsid w:val="4A5864B5"/>
    <w:rsid w:val="4B281006"/>
    <w:rsid w:val="4CDA1CF8"/>
    <w:rsid w:val="4E8063AB"/>
    <w:rsid w:val="5027649D"/>
    <w:rsid w:val="53210F42"/>
    <w:rsid w:val="5404663E"/>
    <w:rsid w:val="54C16CF5"/>
    <w:rsid w:val="55005CC6"/>
    <w:rsid w:val="561F5DC3"/>
    <w:rsid w:val="56791375"/>
    <w:rsid w:val="56CA277D"/>
    <w:rsid w:val="5777D4F5"/>
    <w:rsid w:val="57B70DC6"/>
    <w:rsid w:val="582D7B25"/>
    <w:rsid w:val="591F781C"/>
    <w:rsid w:val="5B661732"/>
    <w:rsid w:val="5BB33896"/>
    <w:rsid w:val="5EF43FD9"/>
    <w:rsid w:val="5FC6BB1E"/>
    <w:rsid w:val="5FD033BF"/>
    <w:rsid w:val="5FF720F1"/>
    <w:rsid w:val="603E7E4C"/>
    <w:rsid w:val="627F1820"/>
    <w:rsid w:val="632552E8"/>
    <w:rsid w:val="63D01E3F"/>
    <w:rsid w:val="6445282D"/>
    <w:rsid w:val="684D360C"/>
    <w:rsid w:val="68577B05"/>
    <w:rsid w:val="688D4B21"/>
    <w:rsid w:val="69951B60"/>
    <w:rsid w:val="6B9F666F"/>
    <w:rsid w:val="6D751FEF"/>
    <w:rsid w:val="6E190916"/>
    <w:rsid w:val="6E6012F5"/>
    <w:rsid w:val="6FC6211C"/>
    <w:rsid w:val="706B361B"/>
    <w:rsid w:val="70CC25CB"/>
    <w:rsid w:val="71841168"/>
    <w:rsid w:val="7336175E"/>
    <w:rsid w:val="737D59BA"/>
    <w:rsid w:val="73D33319"/>
    <w:rsid w:val="75A1188D"/>
    <w:rsid w:val="76C456A6"/>
    <w:rsid w:val="77C37683"/>
    <w:rsid w:val="78BD2746"/>
    <w:rsid w:val="79454A8A"/>
    <w:rsid w:val="79FF515B"/>
    <w:rsid w:val="7BDC361F"/>
    <w:rsid w:val="7C765821"/>
    <w:rsid w:val="7CF22655"/>
    <w:rsid w:val="7D8F2F5C"/>
    <w:rsid w:val="7DBF7B03"/>
    <w:rsid w:val="7E851D4C"/>
    <w:rsid w:val="7E9F11B4"/>
    <w:rsid w:val="7EC41338"/>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ascii="宋体"/>
      <w:b/>
      <w:bCs/>
      <w:sz w:val="44"/>
    </w:rPr>
  </w:style>
  <w:style w:type="paragraph" w:styleId="3">
    <w:name w:val="Body Text Indent"/>
    <w:basedOn w:val="1"/>
    <w:next w:val="4"/>
    <w:unhideWhenUsed/>
    <w:qFormat/>
    <w:uiPriority w:val="99"/>
    <w:pPr>
      <w:spacing w:after="120"/>
      <w:ind w:left="420" w:leftChars="200"/>
    </w:pPr>
  </w:style>
  <w:style w:type="paragraph" w:styleId="4">
    <w:name w:val="Body Text First Indent 2"/>
    <w:basedOn w:val="3"/>
    <w:next w:val="1"/>
    <w:unhideWhenUsed/>
    <w:qFormat/>
    <w:uiPriority w:val="99"/>
    <w:pPr>
      <w:ind w:firstLine="420"/>
    </w:p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Emphasis"/>
    <w:basedOn w:val="11"/>
    <w:qFormat/>
    <w:uiPriority w:val="20"/>
    <w:rPr>
      <w:i/>
    </w:rPr>
  </w:style>
  <w:style w:type="character" w:styleId="13">
    <w:name w:val="Hyperlink"/>
    <w:basedOn w:val="11"/>
    <w:qFormat/>
    <w:uiPriority w:val="0"/>
    <w:rPr>
      <w:color w:val="0000FF"/>
      <w:u w:val="single"/>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1"/>
    <w:link w:val="5"/>
    <w:semiHidden/>
    <w:qFormat/>
    <w:uiPriority w:val="99"/>
    <w:rPr>
      <w:sz w:val="18"/>
      <w:szCs w:val="18"/>
    </w:rPr>
  </w:style>
  <w:style w:type="character" w:customStyle="1" w:styleId="19">
    <w:name w:val="font01"/>
    <w:basedOn w:val="11"/>
    <w:qFormat/>
    <w:uiPriority w:val="0"/>
    <w:rPr>
      <w:rFonts w:hint="eastAsia" w:ascii="宋体" w:hAnsi="宋体" w:eastAsia="宋体" w:cs="宋体"/>
      <w:color w:val="000000"/>
      <w:sz w:val="22"/>
      <w:szCs w:val="22"/>
      <w:u w:val="none"/>
    </w:rPr>
  </w:style>
  <w:style w:type="character" w:customStyle="1" w:styleId="20">
    <w:name w:val="font21"/>
    <w:basedOn w:val="11"/>
    <w:qFormat/>
    <w:uiPriority w:val="0"/>
    <w:rPr>
      <w:rFonts w:hint="eastAsia" w:ascii="宋体" w:hAnsi="宋体" w:eastAsia="宋体" w:cs="宋体"/>
      <w:color w:val="000000"/>
      <w:sz w:val="24"/>
      <w:szCs w:val="24"/>
      <w:u w:val="none"/>
    </w:rPr>
  </w:style>
  <w:style w:type="character" w:customStyle="1" w:styleId="21">
    <w:name w:val="font11"/>
    <w:basedOn w:val="11"/>
    <w:qFormat/>
    <w:uiPriority w:val="0"/>
    <w:rPr>
      <w:rFonts w:hint="eastAsia" w:ascii="宋体" w:hAnsi="宋体" w:eastAsia="宋体" w:cs="宋体"/>
      <w:color w:val="000000"/>
      <w:sz w:val="24"/>
      <w:szCs w:val="24"/>
      <w:u w:val="none"/>
    </w:rPr>
  </w:style>
  <w:style w:type="paragraph" w:customStyle="1" w:styleId="22">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4752</Words>
  <Characters>5206</Characters>
  <Lines>63</Lines>
  <Paragraphs>18</Paragraphs>
  <TotalTime>35</TotalTime>
  <ScaleCrop>false</ScaleCrop>
  <LinksUpToDate>false</LinksUpToDate>
  <CharactersWithSpaces>5235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2023-08-15T09:28:00Z</cp:lastPrinted>
  <dcterms:modified xsi:type="dcterms:W3CDTF">2024-09-24T07:36:00Z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834C4EEF9C0540D0B7E4A22AFEB45DDC_13</vt:lpwstr>
  </property>
</Properties>
</file>