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51DEEB">
      <w:pPr>
        <w:pStyle w:val="17"/>
        <w:jc w:val="both"/>
        <w:rPr>
          <w:rFonts w:hAnsi="黑体"/>
          <w:sz w:val="36"/>
          <w:szCs w:val="36"/>
        </w:rPr>
      </w:pPr>
      <w:r>
        <w:rPr>
          <w:rFonts w:hint="eastAsia" w:hAnsi="黑体"/>
          <w:sz w:val="36"/>
          <w:szCs w:val="36"/>
        </w:rPr>
        <w:t>附件2</w:t>
      </w:r>
    </w:p>
    <w:p w14:paraId="18E6C0FC">
      <w:pPr>
        <w:pStyle w:val="17"/>
        <w:jc w:val="center"/>
        <w:rPr>
          <w:rFonts w:ascii="Times New Roman" w:hAnsi="Times New Roman" w:cs="Times New Roman"/>
          <w:sz w:val="56"/>
          <w:szCs w:val="56"/>
        </w:rPr>
      </w:pPr>
    </w:p>
    <w:p w14:paraId="5C319A50">
      <w:pPr>
        <w:pStyle w:val="17"/>
        <w:jc w:val="center"/>
        <w:rPr>
          <w:rFonts w:ascii="Times New Roman" w:hAnsi="Times New Roman" w:cs="Times New Roman"/>
          <w:sz w:val="84"/>
          <w:szCs w:val="84"/>
        </w:rPr>
      </w:pPr>
    </w:p>
    <w:p w14:paraId="267CC396">
      <w:pPr>
        <w:pStyle w:val="17"/>
        <w:jc w:val="center"/>
        <w:rPr>
          <w:rFonts w:ascii="Times New Roman" w:hAnsi="Times New Roman" w:cs="Times New Roman"/>
          <w:sz w:val="84"/>
          <w:szCs w:val="84"/>
        </w:rPr>
      </w:pPr>
    </w:p>
    <w:p w14:paraId="61B0CA82">
      <w:pPr>
        <w:pStyle w:val="17"/>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6393FC99">
      <w:pPr>
        <w:pStyle w:val="17"/>
        <w:jc w:val="both"/>
        <w:rPr>
          <w:rFonts w:ascii="Times New Roman" w:hAnsi="Times New Roman" w:eastAsia="方正小标宋简体" w:cs="Times New Roman"/>
          <w:spacing w:val="-28"/>
          <w:sz w:val="72"/>
          <w:szCs w:val="72"/>
        </w:rPr>
      </w:pPr>
      <w:r>
        <w:rPr>
          <w:rFonts w:hint="eastAsia" w:ascii="Times New Roman" w:hAnsi="Times New Roman" w:eastAsia="方正小标宋简体" w:cs="Times New Roman"/>
          <w:spacing w:val="-28"/>
          <w:sz w:val="72"/>
          <w:szCs w:val="72"/>
          <w:lang w:eastAsia="zh-CN"/>
        </w:rPr>
        <w:t>怀化市科学技术协会</w:t>
      </w:r>
      <w:r>
        <w:rPr>
          <w:rFonts w:ascii="Times New Roman" w:hAnsi="Times New Roman" w:eastAsia="方正小标宋简体" w:cs="Times New Roman"/>
          <w:spacing w:val="-28"/>
          <w:sz w:val="72"/>
          <w:szCs w:val="72"/>
        </w:rPr>
        <w:t>部门决算</w:t>
      </w:r>
    </w:p>
    <w:p w14:paraId="7438DD34">
      <w:pPr>
        <w:pStyle w:val="17"/>
        <w:jc w:val="center"/>
        <w:rPr>
          <w:rFonts w:ascii="Times New Roman" w:hAnsi="Times New Roman" w:eastAsia="方正小标宋_GBK" w:cs="Times New Roman"/>
          <w:sz w:val="56"/>
          <w:szCs w:val="56"/>
        </w:rPr>
      </w:pPr>
    </w:p>
    <w:p w14:paraId="73E1739B">
      <w:pPr>
        <w:pStyle w:val="17"/>
        <w:jc w:val="center"/>
        <w:rPr>
          <w:rFonts w:ascii="Times New Roman" w:hAnsi="Times New Roman" w:cs="Times New Roman"/>
          <w:sz w:val="56"/>
          <w:szCs w:val="56"/>
        </w:rPr>
      </w:pPr>
    </w:p>
    <w:p w14:paraId="6ECC9A1E">
      <w:pPr>
        <w:pStyle w:val="17"/>
        <w:rPr>
          <w:rFonts w:ascii="Times New Roman" w:hAnsi="Times New Roman" w:cs="Times New Roman"/>
          <w:sz w:val="56"/>
          <w:szCs w:val="56"/>
        </w:rPr>
      </w:pPr>
    </w:p>
    <w:p w14:paraId="5934F199">
      <w:pPr>
        <w:pStyle w:val="17"/>
        <w:jc w:val="center"/>
        <w:rPr>
          <w:rFonts w:ascii="Times New Roman" w:hAnsi="Times New Roman" w:cs="Times New Roman"/>
          <w:sz w:val="32"/>
          <w:szCs w:val="32"/>
        </w:rPr>
      </w:pPr>
    </w:p>
    <w:p w14:paraId="06BC5030">
      <w:pPr>
        <w:pStyle w:val="17"/>
        <w:jc w:val="center"/>
        <w:rPr>
          <w:rFonts w:ascii="Times New Roman" w:hAnsi="Times New Roman" w:cs="Times New Roman"/>
          <w:sz w:val="32"/>
          <w:szCs w:val="32"/>
        </w:rPr>
      </w:pPr>
    </w:p>
    <w:p w14:paraId="22CA3C37">
      <w:pPr>
        <w:pStyle w:val="17"/>
        <w:jc w:val="center"/>
        <w:rPr>
          <w:rFonts w:ascii="Times New Roman" w:hAnsi="Times New Roman" w:cs="Times New Roman"/>
          <w:sz w:val="32"/>
          <w:szCs w:val="32"/>
        </w:rPr>
      </w:pPr>
    </w:p>
    <w:p w14:paraId="2C6240BD">
      <w:pPr>
        <w:pStyle w:val="17"/>
        <w:jc w:val="center"/>
        <w:rPr>
          <w:rFonts w:ascii="Times New Roman" w:hAnsi="Times New Roman" w:cs="Times New Roman"/>
          <w:sz w:val="32"/>
          <w:szCs w:val="32"/>
        </w:rPr>
      </w:pPr>
    </w:p>
    <w:p w14:paraId="7870F753">
      <w:pPr>
        <w:pStyle w:val="17"/>
        <w:jc w:val="center"/>
        <w:rPr>
          <w:rFonts w:ascii="Times New Roman" w:hAnsi="Times New Roman" w:cs="Times New Roman"/>
          <w:sz w:val="32"/>
          <w:szCs w:val="32"/>
        </w:rPr>
      </w:pPr>
    </w:p>
    <w:p w14:paraId="592D0BB8">
      <w:pPr>
        <w:pStyle w:val="17"/>
        <w:jc w:val="center"/>
        <w:rPr>
          <w:rFonts w:ascii="Times New Roman" w:hAnsi="Times New Roman" w:cs="Times New Roman"/>
          <w:sz w:val="32"/>
          <w:szCs w:val="32"/>
        </w:rPr>
      </w:pPr>
    </w:p>
    <w:p w14:paraId="575BB9CE">
      <w:pPr>
        <w:pStyle w:val="17"/>
        <w:spacing w:line="540" w:lineRule="exact"/>
        <w:jc w:val="center"/>
        <w:rPr>
          <w:rFonts w:ascii="Times New Roman" w:hAnsi="Times New Roman" w:cs="Times New Roman"/>
          <w:sz w:val="56"/>
          <w:szCs w:val="56"/>
        </w:rPr>
      </w:pPr>
    </w:p>
    <w:p w14:paraId="7137A79D">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748FDE2E">
      <w:pPr>
        <w:pStyle w:val="17"/>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607B9E80">
      <w:pPr>
        <w:pStyle w:val="17"/>
        <w:spacing w:line="600" w:lineRule="exact"/>
        <w:jc w:val="both"/>
        <w:rPr>
          <w:rFonts w:ascii="Times New Roman" w:hAnsi="Times New Roman" w:cs="Times New Roman"/>
          <w:b/>
          <w:sz w:val="36"/>
          <w:szCs w:val="28"/>
        </w:rPr>
      </w:pPr>
    </w:p>
    <w:p w14:paraId="5F8959FE">
      <w:pPr>
        <w:pStyle w:val="17"/>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58822A97">
      <w:pPr>
        <w:pStyle w:val="17"/>
        <w:spacing w:line="600" w:lineRule="exact"/>
        <w:jc w:val="center"/>
        <w:rPr>
          <w:rFonts w:ascii="Times New Roman" w:hAnsi="Times New Roman" w:cs="Times New Roman"/>
          <w:b/>
          <w:sz w:val="36"/>
          <w:szCs w:val="28"/>
        </w:rPr>
      </w:pPr>
    </w:p>
    <w:p w14:paraId="068F8268">
      <w:pPr>
        <w:pStyle w:val="17"/>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怀化市科学技术协会</w:t>
      </w:r>
      <w:r>
        <w:rPr>
          <w:rFonts w:ascii="Times New Roman" w:hAnsi="Times New Roman" w:cs="Times New Roman"/>
          <w:bCs/>
          <w:sz w:val="32"/>
          <w:szCs w:val="32"/>
        </w:rPr>
        <w:t>概况</w:t>
      </w:r>
    </w:p>
    <w:p w14:paraId="31897E0C">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C8CD449">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6DBCEE8F">
      <w:pPr>
        <w:pStyle w:val="17"/>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E73B463">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01E00C5">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B646196">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BCC6380">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A578FAB">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9113911">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0958150">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C88AAE0">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B41AC61">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EC53179">
      <w:pPr>
        <w:pStyle w:val="17"/>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3B9E0247">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9E3B366">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499B57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2D08F5B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44A2E7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8FC1F42">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14C4EFD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16E777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773DE11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CE10A1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189400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685090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783361BB">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10BCD193">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4995A6D3">
      <w:pPr>
        <w:pStyle w:val="17"/>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CB5312A">
      <w:pPr>
        <w:pStyle w:val="17"/>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17827FD">
      <w:pPr>
        <w:pStyle w:val="17"/>
        <w:spacing w:line="600" w:lineRule="exact"/>
        <w:rPr>
          <w:rFonts w:ascii="Times New Roman" w:hAnsi="Times New Roman" w:cs="Times New Roman"/>
          <w:bCs/>
          <w:sz w:val="28"/>
          <w:szCs w:val="28"/>
        </w:rPr>
      </w:pPr>
    </w:p>
    <w:p w14:paraId="19058EF4">
      <w:pPr>
        <w:jc w:val="center"/>
        <w:rPr>
          <w:rFonts w:ascii="Times New Roman" w:hAnsi="Times New Roman" w:cs="Times New Roman"/>
          <w:sz w:val="72"/>
          <w:szCs w:val="72"/>
        </w:rPr>
      </w:pPr>
    </w:p>
    <w:p w14:paraId="2E9CEA1E">
      <w:pPr>
        <w:pStyle w:val="11"/>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028755E5">
      <w:pPr>
        <w:rPr>
          <w:rFonts w:ascii="Times New Roman" w:hAnsi="Times New Roman" w:eastAsia="方正小标宋_GBK" w:cs="Times New Roman"/>
          <w:sz w:val="72"/>
          <w:szCs w:val="72"/>
        </w:rPr>
      </w:pPr>
    </w:p>
    <w:p w14:paraId="337A2A8F">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061FB262">
      <w:pPr>
        <w:pStyle w:val="17"/>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怀化市科学技术协会</w:t>
      </w:r>
      <w:r>
        <w:rPr>
          <w:rFonts w:ascii="Times New Roman" w:hAnsi="Times New Roman" w:eastAsia="方正小标宋_GBK" w:cs="Times New Roman"/>
          <w:sz w:val="52"/>
          <w:szCs w:val="52"/>
        </w:rPr>
        <w:t>概况</w:t>
      </w:r>
    </w:p>
    <w:p w14:paraId="7AA0E28B">
      <w:pPr>
        <w:pStyle w:val="5"/>
        <w:ind w:left="0" w:leftChars="0" w:firstLine="0" w:firstLineChars="0"/>
        <w:rPr>
          <w:rFonts w:ascii="Times New Roman" w:hAnsi="Times New Roman" w:cs="Times New Roman"/>
        </w:rPr>
      </w:pPr>
    </w:p>
    <w:p w14:paraId="0299ACC1">
      <w:pPr>
        <w:pStyle w:val="18"/>
        <w:spacing w:line="560" w:lineRule="exact"/>
        <w:ind w:firstLine="31680"/>
        <w:jc w:val="left"/>
        <w:rPr>
          <w:rFonts w:ascii="黑体" w:hAnsi="黑体" w:eastAsia="黑体" w:cs="黑体"/>
          <w:sz w:val="32"/>
          <w:szCs w:val="32"/>
        </w:rPr>
      </w:pPr>
      <w:r>
        <w:rPr>
          <w:rFonts w:hint="eastAsia" w:ascii="黑体" w:hAnsi="黑体" w:eastAsia="黑体"/>
          <w:sz w:val="28"/>
          <w:szCs w:val="28"/>
        </w:rPr>
        <w:t>一、</w:t>
      </w:r>
      <w:r>
        <w:rPr>
          <w:rFonts w:hint="eastAsia" w:ascii="黑体" w:hAnsi="黑体" w:eastAsia="黑体" w:cs="黑体"/>
          <w:sz w:val="32"/>
          <w:szCs w:val="32"/>
        </w:rPr>
        <w:t>部门职责</w:t>
      </w:r>
    </w:p>
    <w:p w14:paraId="384564F1">
      <w:pPr>
        <w:pStyle w:val="12"/>
        <w:shd w:val="clear" w:color="auto" w:fill="FFFFFF"/>
        <w:spacing w:before="0" w:beforeAutospacing="0" w:after="68" w:afterAutospacing="0" w:line="560" w:lineRule="exact"/>
        <w:ind w:firstLine="480"/>
        <w:jc w:val="both"/>
        <w:rPr>
          <w:rFonts w:ascii="仿宋_GB2312" w:eastAsia="仿宋_GB2312"/>
          <w:color w:val="3D3D3D"/>
          <w:sz w:val="30"/>
          <w:szCs w:val="30"/>
        </w:rPr>
      </w:pPr>
      <w:r>
        <w:rPr>
          <w:rFonts w:hint="eastAsia" w:ascii="仿宋_GB2312" w:hAnsi="Times New Roman" w:eastAsia="仿宋_GB2312" w:cs="仿宋_GB2312"/>
          <w:sz w:val="30"/>
          <w:szCs w:val="30"/>
        </w:rPr>
        <w:t>（一）</w:t>
      </w:r>
      <w:r>
        <w:rPr>
          <w:rFonts w:hint="eastAsia" w:ascii="仿宋_GB2312" w:eastAsia="仿宋_GB2312"/>
          <w:color w:val="000000"/>
          <w:sz w:val="30"/>
          <w:szCs w:val="30"/>
        </w:rPr>
        <w:t>市科协是中共怀化市委领导下的全市科学技术工作者的群众组织。主要职责是：</w:t>
      </w:r>
      <w:r>
        <w:rPr>
          <w:rFonts w:ascii="仿宋_GB2312" w:hAnsi="微软雅黑" w:eastAsia="仿宋_GB2312"/>
          <w:color w:val="000000"/>
          <w:sz w:val="30"/>
          <w:szCs w:val="30"/>
        </w:rPr>
        <w:t>1</w:t>
      </w:r>
      <w:r>
        <w:rPr>
          <w:rFonts w:hint="eastAsia" w:ascii="仿宋_GB2312" w:hAnsi="微软雅黑" w:eastAsia="仿宋_GB2312"/>
          <w:color w:val="000000"/>
          <w:sz w:val="30"/>
          <w:szCs w:val="30"/>
          <w:lang w:val="en-US" w:eastAsia="zh-CN"/>
        </w:rPr>
        <w:t>.</w:t>
      </w:r>
      <w:r>
        <w:rPr>
          <w:rFonts w:hint="eastAsia" w:ascii="仿宋_GB2312" w:eastAsia="仿宋_GB2312"/>
          <w:color w:val="000000"/>
          <w:sz w:val="30"/>
          <w:szCs w:val="30"/>
        </w:rPr>
        <w:t>开展学术交流，活跃学术思想，促进学科发展，提高学术水平；</w:t>
      </w:r>
      <w:r>
        <w:rPr>
          <w:rFonts w:ascii="仿宋_GB2312" w:hAnsi="微软雅黑" w:eastAsia="仿宋_GB2312"/>
          <w:color w:val="000000"/>
          <w:sz w:val="30"/>
          <w:szCs w:val="30"/>
        </w:rPr>
        <w:t>2</w:t>
      </w:r>
      <w:r>
        <w:rPr>
          <w:rFonts w:hint="eastAsia" w:ascii="仿宋_GB2312" w:eastAsia="仿宋_GB2312"/>
          <w:color w:val="000000"/>
          <w:sz w:val="30"/>
          <w:szCs w:val="30"/>
          <w:lang w:val="en-US" w:eastAsia="zh-CN"/>
        </w:rPr>
        <w:t>.</w:t>
      </w:r>
      <w:r>
        <w:rPr>
          <w:rFonts w:hint="eastAsia" w:ascii="仿宋_GB2312" w:eastAsia="仿宋_GB2312"/>
          <w:color w:val="000000"/>
          <w:sz w:val="30"/>
          <w:szCs w:val="30"/>
        </w:rPr>
        <w:t>弘扬科学精神，普及科学技术知识，传播科学思想和科学方法，捍卫科学尊严，推广先进技术，开展对青少年科学技术教育活动，提高全民的科学文化素质；</w:t>
      </w:r>
      <w:r>
        <w:rPr>
          <w:rFonts w:ascii="仿宋_GB2312" w:hAnsi="微软雅黑" w:eastAsia="仿宋_GB2312"/>
          <w:color w:val="000000"/>
          <w:sz w:val="30"/>
          <w:szCs w:val="30"/>
        </w:rPr>
        <w:t>3</w:t>
      </w:r>
      <w:r>
        <w:rPr>
          <w:rFonts w:hint="eastAsia" w:ascii="仿宋_GB2312" w:eastAsia="仿宋_GB2312"/>
          <w:color w:val="000000"/>
          <w:sz w:val="30"/>
          <w:szCs w:val="30"/>
          <w:lang w:val="en-US" w:eastAsia="zh-CN"/>
        </w:rPr>
        <w:t>.</w:t>
      </w:r>
      <w:r>
        <w:rPr>
          <w:rFonts w:hint="eastAsia" w:ascii="仿宋_GB2312" w:eastAsia="仿宋_GB2312"/>
          <w:color w:val="000000"/>
          <w:sz w:val="30"/>
          <w:szCs w:val="30"/>
        </w:rPr>
        <w:t>负责全市性学会的业务主管及挂靠单位的协调、联络；</w:t>
      </w:r>
      <w:r>
        <w:rPr>
          <w:rFonts w:ascii="仿宋_GB2312" w:hAnsi="微软雅黑" w:eastAsia="仿宋_GB2312"/>
          <w:color w:val="000000"/>
          <w:sz w:val="30"/>
          <w:szCs w:val="30"/>
        </w:rPr>
        <w:t>4</w:t>
      </w:r>
      <w:r>
        <w:rPr>
          <w:rFonts w:hint="eastAsia" w:ascii="仿宋_GB2312" w:eastAsia="仿宋_GB2312"/>
          <w:color w:val="000000"/>
          <w:sz w:val="30"/>
          <w:szCs w:val="30"/>
          <w:lang w:val="en-US" w:eastAsia="zh-CN"/>
        </w:rPr>
        <w:t>.</w:t>
      </w:r>
      <w:r>
        <w:rPr>
          <w:rFonts w:hint="eastAsia" w:ascii="仿宋_GB2312" w:eastAsia="仿宋_GB2312"/>
          <w:color w:val="000000"/>
          <w:sz w:val="30"/>
          <w:szCs w:val="30"/>
        </w:rPr>
        <w:t>反映科学技术工作者的意见和要求，依法维护科学技术工作者的合法权益，为科技团体和科技工作者服务；组织科学技术工作者为党和政府制订科学技术政策、法规，提供咨询，参与国家事务的政治协商、科学决策、民主监督有关工作；</w:t>
      </w:r>
      <w:r>
        <w:rPr>
          <w:rFonts w:ascii="仿宋_GB2312" w:hAnsi="微软雅黑" w:eastAsia="仿宋_GB2312"/>
          <w:color w:val="000000"/>
          <w:sz w:val="30"/>
          <w:szCs w:val="30"/>
        </w:rPr>
        <w:t>5</w:t>
      </w:r>
      <w:r>
        <w:rPr>
          <w:rFonts w:hint="eastAsia" w:ascii="仿宋_GB2312" w:eastAsia="仿宋_GB2312"/>
          <w:color w:val="000000"/>
          <w:sz w:val="30"/>
          <w:szCs w:val="30"/>
          <w:lang w:val="en-US" w:eastAsia="zh-CN"/>
        </w:rPr>
        <w:t>.</w:t>
      </w:r>
      <w:r>
        <w:rPr>
          <w:rFonts w:hint="eastAsia" w:ascii="仿宋_GB2312" w:eastAsia="仿宋_GB2312"/>
          <w:color w:val="000000"/>
          <w:sz w:val="30"/>
          <w:szCs w:val="30"/>
        </w:rPr>
        <w:t>负责表彰奖励优秀科学技术工作者的有关工作，向有关部门推荐优秀人才；</w:t>
      </w:r>
      <w:r>
        <w:rPr>
          <w:rFonts w:ascii="仿宋_GB2312" w:hAnsi="微软雅黑" w:eastAsia="仿宋_GB2312"/>
          <w:color w:val="000000"/>
          <w:sz w:val="30"/>
          <w:szCs w:val="30"/>
        </w:rPr>
        <w:t>6</w:t>
      </w:r>
      <w:r>
        <w:rPr>
          <w:rFonts w:hint="eastAsia" w:ascii="仿宋_GB2312" w:eastAsia="仿宋_GB2312"/>
          <w:color w:val="000000"/>
          <w:sz w:val="30"/>
          <w:szCs w:val="30"/>
          <w:lang w:val="en-US" w:eastAsia="zh-CN"/>
        </w:rPr>
        <w:t>.</w:t>
      </w:r>
      <w:r>
        <w:rPr>
          <w:rFonts w:hint="eastAsia" w:ascii="仿宋_GB2312" w:eastAsia="仿宋_GB2312"/>
          <w:color w:val="000000"/>
          <w:sz w:val="30"/>
          <w:szCs w:val="30"/>
        </w:rPr>
        <w:t>开展科学论证、咨询服务，提出政策建议，组织广大科技工作者参加科技攻关，促进科学技术成果的转化；</w:t>
      </w:r>
      <w:r>
        <w:rPr>
          <w:rFonts w:ascii="仿宋_GB2312" w:hAnsi="微软雅黑" w:eastAsia="仿宋_GB2312"/>
          <w:color w:val="000000"/>
          <w:sz w:val="30"/>
          <w:szCs w:val="30"/>
        </w:rPr>
        <w:t>7</w:t>
      </w:r>
      <w:r>
        <w:rPr>
          <w:rFonts w:hint="eastAsia" w:ascii="仿宋_GB2312" w:eastAsia="仿宋_GB2312"/>
          <w:color w:val="000000"/>
          <w:sz w:val="30"/>
          <w:szCs w:val="30"/>
          <w:lang w:val="en-US" w:eastAsia="zh-CN"/>
        </w:rPr>
        <w:t>.</w:t>
      </w:r>
      <w:r>
        <w:rPr>
          <w:rFonts w:hint="eastAsia" w:ascii="仿宋_GB2312" w:eastAsia="仿宋_GB2312"/>
          <w:color w:val="000000"/>
          <w:sz w:val="30"/>
          <w:szCs w:val="30"/>
        </w:rPr>
        <w:t>开展民间国际科学技术科学交流活动，发展同国外的科学技术团体和科学技术工作者的友好往来；</w:t>
      </w:r>
      <w:r>
        <w:rPr>
          <w:rFonts w:ascii="仿宋_GB2312" w:hAnsi="微软雅黑" w:eastAsia="仿宋_GB2312"/>
          <w:color w:val="000000"/>
          <w:sz w:val="30"/>
          <w:szCs w:val="30"/>
        </w:rPr>
        <w:t>8</w:t>
      </w:r>
      <w:r>
        <w:rPr>
          <w:rFonts w:hint="eastAsia" w:ascii="仿宋_GB2312" w:eastAsia="仿宋_GB2312"/>
          <w:color w:val="000000"/>
          <w:sz w:val="30"/>
          <w:szCs w:val="30"/>
          <w:lang w:val="en-US" w:eastAsia="zh-CN"/>
        </w:rPr>
        <w:t>.</w:t>
      </w:r>
      <w:r>
        <w:rPr>
          <w:rFonts w:hint="eastAsia" w:ascii="仿宋_GB2312" w:eastAsia="仿宋_GB2312"/>
          <w:color w:val="000000"/>
          <w:sz w:val="30"/>
          <w:szCs w:val="30"/>
        </w:rPr>
        <w:t>协同有关部门开展科学技术工作者的继续教育和培训工作；</w:t>
      </w:r>
      <w:r>
        <w:rPr>
          <w:rFonts w:ascii="仿宋_GB2312" w:hAnsi="微软雅黑" w:eastAsia="仿宋_GB2312"/>
          <w:color w:val="000000"/>
          <w:sz w:val="30"/>
          <w:szCs w:val="30"/>
        </w:rPr>
        <w:t>9</w:t>
      </w:r>
      <w:r>
        <w:rPr>
          <w:rFonts w:hint="eastAsia" w:ascii="仿宋_GB2312" w:eastAsia="仿宋_GB2312"/>
          <w:color w:val="000000"/>
          <w:sz w:val="30"/>
          <w:szCs w:val="30"/>
          <w:lang w:val="en-US" w:eastAsia="zh-CN"/>
        </w:rPr>
        <w:t>.</w:t>
      </w:r>
      <w:r>
        <w:rPr>
          <w:rFonts w:hint="eastAsia" w:ascii="仿宋_GB2312" w:eastAsia="仿宋_GB2312"/>
          <w:color w:val="000000"/>
          <w:sz w:val="30"/>
          <w:szCs w:val="30"/>
        </w:rPr>
        <w:t>兴办符合科学技术宗旨的社会公益性事业；</w:t>
      </w:r>
      <w:r>
        <w:rPr>
          <w:rFonts w:ascii="仿宋_GB2312" w:hAnsi="微软雅黑" w:eastAsia="仿宋_GB2312"/>
          <w:color w:val="000000"/>
          <w:sz w:val="30"/>
          <w:szCs w:val="30"/>
        </w:rPr>
        <w:t>10</w:t>
      </w:r>
      <w:r>
        <w:rPr>
          <w:rFonts w:hint="eastAsia" w:ascii="仿宋_GB2312" w:eastAsia="仿宋_GB2312"/>
          <w:color w:val="000000"/>
          <w:sz w:val="30"/>
          <w:szCs w:val="30"/>
          <w:lang w:val="en-US" w:eastAsia="zh-CN"/>
        </w:rPr>
        <w:t>.</w:t>
      </w:r>
      <w:r>
        <w:rPr>
          <w:rFonts w:hint="eastAsia" w:ascii="仿宋_GB2312" w:eastAsia="仿宋_GB2312"/>
          <w:color w:val="000000"/>
          <w:sz w:val="30"/>
          <w:szCs w:val="30"/>
        </w:rPr>
        <w:t>承办市委、市政府交办的其他事项。</w:t>
      </w:r>
    </w:p>
    <w:p w14:paraId="241A0C46">
      <w:pPr>
        <w:pStyle w:val="18"/>
        <w:spacing w:line="560" w:lineRule="exact"/>
        <w:ind w:firstLine="31680"/>
        <w:jc w:val="left"/>
        <w:rPr>
          <w:rFonts w:hint="eastAsia" w:ascii="黑体" w:hAnsi="黑体" w:eastAsia="黑体"/>
          <w:sz w:val="28"/>
          <w:szCs w:val="28"/>
        </w:rPr>
      </w:pPr>
      <w:r>
        <w:rPr>
          <w:rFonts w:hint="eastAsia" w:ascii="黑体" w:hAnsi="黑体" w:eastAsia="黑体"/>
          <w:sz w:val="28"/>
          <w:szCs w:val="28"/>
        </w:rPr>
        <w:t>二、机构设置及决算单位构成</w:t>
      </w:r>
    </w:p>
    <w:p w14:paraId="1D493270">
      <w:pPr>
        <w:pStyle w:val="12"/>
        <w:shd w:val="clear" w:color="auto" w:fill="FFFFFF"/>
        <w:spacing w:before="0" w:beforeAutospacing="0" w:after="200" w:afterAutospacing="0" w:line="560" w:lineRule="exact"/>
        <w:ind w:firstLine="640"/>
        <w:rPr>
          <w:rFonts w:ascii="仿宋_GB2312" w:hAnsi="Tahoma" w:eastAsia="仿宋_GB2312" w:cs="Tahoma"/>
          <w:color w:val="3D3D3D"/>
          <w:sz w:val="30"/>
          <w:szCs w:val="30"/>
        </w:rPr>
      </w:pPr>
      <w:r>
        <w:rPr>
          <w:rFonts w:hint="eastAsia" w:ascii="仿宋_GB2312" w:hAnsi="Tahoma" w:eastAsia="仿宋_GB2312" w:cs="Tahoma"/>
          <w:color w:val="000000"/>
          <w:sz w:val="30"/>
          <w:szCs w:val="30"/>
        </w:rPr>
        <w:t>（一）内设机构设置。怀化市科学技术协会是一级预算单位，内设科室为：二部一室一馆：科学普及部、学会部、办公室、科学技术馆。</w:t>
      </w:r>
    </w:p>
    <w:p w14:paraId="3DCFA68D">
      <w:pPr>
        <w:pStyle w:val="12"/>
        <w:shd w:val="clear" w:color="auto" w:fill="FFFFFF"/>
        <w:spacing w:before="0" w:beforeAutospacing="0" w:after="200" w:afterAutospacing="0" w:line="560" w:lineRule="exact"/>
        <w:ind w:firstLine="640"/>
        <w:rPr>
          <w:rFonts w:hint="eastAsia" w:ascii="仿宋_GB2312" w:hAnsi="Tahoma" w:eastAsia="仿宋_GB2312" w:cs="Tahoma"/>
          <w:color w:val="000000"/>
          <w:sz w:val="30"/>
          <w:szCs w:val="30"/>
        </w:rPr>
      </w:pPr>
      <w:r>
        <w:rPr>
          <w:rFonts w:hint="eastAsia" w:ascii="仿宋_GB2312" w:hAnsi="Tahoma" w:eastAsia="仿宋_GB2312" w:cs="Tahoma"/>
          <w:color w:val="000000"/>
          <w:sz w:val="30"/>
          <w:szCs w:val="30"/>
        </w:rPr>
        <w:t>二级部门预算单位：无。</w:t>
      </w:r>
    </w:p>
    <w:p w14:paraId="34D37B72">
      <w:pPr>
        <w:pStyle w:val="12"/>
        <w:shd w:val="clear" w:color="auto" w:fill="FFFFFF"/>
        <w:spacing w:before="0" w:beforeAutospacing="0" w:after="200" w:afterAutospacing="0" w:line="560" w:lineRule="exact"/>
        <w:ind w:firstLine="600" w:firstLineChars="200"/>
        <w:rPr>
          <w:rFonts w:ascii="仿宋_GB2312" w:eastAsia="仿宋_GB2312"/>
          <w:sz w:val="30"/>
          <w:szCs w:val="30"/>
        </w:rPr>
      </w:pPr>
      <w:r>
        <w:rPr>
          <w:rFonts w:hint="eastAsia" w:ascii="仿宋_GB2312" w:hAnsi="Times New Roman" w:eastAsia="仿宋_GB2312" w:cs="仿宋_GB2312"/>
          <w:bCs/>
          <w:sz w:val="30"/>
          <w:szCs w:val="30"/>
        </w:rPr>
        <w:t>（二）决算单位构成。</w:t>
      </w:r>
      <w:r>
        <w:rPr>
          <w:rFonts w:hint="eastAsia" w:ascii="仿宋_GB2312" w:eastAsia="仿宋_GB2312"/>
          <w:sz w:val="30"/>
          <w:szCs w:val="30"/>
        </w:rPr>
        <w:t>怀化市科学技术协会</w:t>
      </w:r>
      <w:r>
        <w:rPr>
          <w:rFonts w:ascii="仿宋_GB2312" w:hAnsi="微软雅黑" w:eastAsia="仿宋_GB2312"/>
          <w:sz w:val="30"/>
          <w:szCs w:val="30"/>
        </w:rPr>
        <w:t>202</w:t>
      </w:r>
      <w:r>
        <w:rPr>
          <w:rFonts w:hint="eastAsia" w:ascii="仿宋_GB2312" w:hAnsi="微软雅黑" w:eastAsia="仿宋_GB2312"/>
          <w:sz w:val="30"/>
          <w:szCs w:val="30"/>
          <w:lang w:val="en-US" w:eastAsia="zh-CN"/>
        </w:rPr>
        <w:t>5</w:t>
      </w:r>
      <w:r>
        <w:rPr>
          <w:rFonts w:hint="eastAsia" w:ascii="仿宋_GB2312" w:eastAsia="仿宋_GB2312"/>
          <w:sz w:val="30"/>
          <w:szCs w:val="30"/>
        </w:rPr>
        <w:t>年部门决算汇总公开单位构成包括：怀化市科学技术协会本级。</w:t>
      </w:r>
    </w:p>
    <w:p w14:paraId="1F9E16BF">
      <w:pPr>
        <w:jc w:val="center"/>
        <w:rPr>
          <w:rFonts w:ascii="Times New Roman" w:hAnsi="Times New Roman" w:eastAsia="黑体" w:cs="Times New Roman"/>
          <w:sz w:val="28"/>
          <w:szCs w:val="28"/>
        </w:rPr>
      </w:pPr>
    </w:p>
    <w:p w14:paraId="3EBB78C6">
      <w:pPr>
        <w:jc w:val="center"/>
        <w:rPr>
          <w:rFonts w:ascii="Times New Roman" w:hAnsi="Times New Roman" w:eastAsia="黑体" w:cs="Times New Roman"/>
          <w:sz w:val="28"/>
          <w:szCs w:val="28"/>
        </w:rPr>
      </w:pPr>
    </w:p>
    <w:p w14:paraId="047F1A5C">
      <w:pPr>
        <w:jc w:val="center"/>
        <w:rPr>
          <w:rFonts w:ascii="Times New Roman" w:hAnsi="Times New Roman" w:eastAsia="黑体" w:cs="Times New Roman"/>
          <w:sz w:val="28"/>
          <w:szCs w:val="28"/>
        </w:rPr>
      </w:pPr>
    </w:p>
    <w:p w14:paraId="609E50CE">
      <w:pPr>
        <w:jc w:val="center"/>
        <w:rPr>
          <w:rFonts w:ascii="Times New Roman" w:hAnsi="Times New Roman" w:eastAsia="黑体" w:cs="Times New Roman"/>
          <w:sz w:val="28"/>
          <w:szCs w:val="28"/>
        </w:rPr>
      </w:pPr>
    </w:p>
    <w:p w14:paraId="70C407A4">
      <w:pPr>
        <w:jc w:val="center"/>
        <w:rPr>
          <w:rFonts w:ascii="Times New Roman" w:hAnsi="Times New Roman" w:eastAsia="黑体" w:cs="Times New Roman"/>
          <w:sz w:val="28"/>
          <w:szCs w:val="28"/>
        </w:rPr>
      </w:pPr>
    </w:p>
    <w:p w14:paraId="043CE552">
      <w:pPr>
        <w:pStyle w:val="11"/>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47C1F761">
      <w:pPr>
        <w:pStyle w:val="17"/>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71659DC">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3B3A574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3962B0B0">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怀化市科学技术协会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3"/>
        <w:tblW w:w="14896" w:type="dxa"/>
        <w:jc w:val="center"/>
        <w:tblLayout w:type="autofit"/>
        <w:tblCellMar>
          <w:top w:w="0" w:type="dxa"/>
          <w:left w:w="108" w:type="dxa"/>
          <w:bottom w:w="0" w:type="dxa"/>
          <w:right w:w="108" w:type="dxa"/>
        </w:tblCellMar>
      </w:tblPr>
      <w:tblGrid>
        <w:gridCol w:w="5771"/>
        <w:gridCol w:w="851"/>
        <w:gridCol w:w="1294"/>
        <w:gridCol w:w="4859"/>
        <w:gridCol w:w="827"/>
        <w:gridCol w:w="1294"/>
      </w:tblGrid>
      <w:tr w14:paraId="5F449CF2">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7B71C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BEECB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045C75B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5A5DB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BA4F8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55D2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B89DF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95524">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1E1C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6D89699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56B1C6">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615D9B">
            <w:pPr>
              <w:widowControl/>
              <w:jc w:val="center"/>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B81B30">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CD5EE8">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81820A">
            <w:pPr>
              <w:widowControl/>
              <w:jc w:val="center"/>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FE5A8">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2</w:t>
            </w:r>
          </w:p>
        </w:tc>
      </w:tr>
      <w:tr w14:paraId="67F778D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B0E5E">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F8FC93">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307AB">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726.07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164F66">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EE4B2B">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D315F">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13.69</w:t>
            </w:r>
          </w:p>
        </w:tc>
      </w:tr>
      <w:tr w14:paraId="0C1DE35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7E7FB">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5E42D">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F2AE2">
            <w:pPr>
              <w:widowControl/>
              <w:jc w:val="center"/>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FD7BB4">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215EA3">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34699">
            <w:pPr>
              <w:widowControl/>
              <w:jc w:val="center"/>
              <w:textAlignment w:val="center"/>
              <w:rPr>
                <w:rFonts w:ascii="Times New Roman" w:hAnsi="Times New Roman" w:eastAsia="仿宋_GB2312" w:cs="Times New Roman"/>
                <w:color w:val="000000"/>
                <w:kern w:val="0"/>
                <w:sz w:val="22"/>
              </w:rPr>
            </w:pPr>
          </w:p>
        </w:tc>
      </w:tr>
      <w:tr w14:paraId="2BDE2C0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E2D81">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129D63">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70752">
            <w:pPr>
              <w:widowControl/>
              <w:jc w:val="center"/>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865811">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D6AAED">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AEEC4">
            <w:pPr>
              <w:widowControl/>
              <w:jc w:val="center"/>
              <w:textAlignment w:val="center"/>
              <w:rPr>
                <w:rFonts w:ascii="Times New Roman" w:hAnsi="Times New Roman" w:eastAsia="仿宋_GB2312" w:cs="Times New Roman"/>
                <w:color w:val="000000"/>
                <w:kern w:val="0"/>
                <w:sz w:val="22"/>
              </w:rPr>
            </w:pPr>
          </w:p>
        </w:tc>
      </w:tr>
      <w:tr w14:paraId="1F683F6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8E38B">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6D6CC6">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120DB">
            <w:pPr>
              <w:widowControl/>
              <w:jc w:val="center"/>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24973C">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D5DB42">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1B053">
            <w:pPr>
              <w:widowControl/>
              <w:jc w:val="center"/>
              <w:textAlignment w:val="center"/>
              <w:rPr>
                <w:rFonts w:ascii="Times New Roman" w:hAnsi="Times New Roman" w:eastAsia="仿宋_GB2312" w:cs="Times New Roman"/>
                <w:color w:val="000000"/>
                <w:kern w:val="0"/>
                <w:sz w:val="22"/>
              </w:rPr>
            </w:pPr>
          </w:p>
        </w:tc>
      </w:tr>
      <w:tr w14:paraId="46141F6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B98D42">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CF09CC">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9DFE7">
            <w:pPr>
              <w:widowControl/>
              <w:jc w:val="center"/>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5F0F6D">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67EFD">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01377">
            <w:pPr>
              <w:widowControl/>
              <w:jc w:val="center"/>
              <w:textAlignment w:val="center"/>
              <w:rPr>
                <w:rFonts w:ascii="Times New Roman" w:hAnsi="Times New Roman" w:eastAsia="仿宋_GB2312" w:cs="Times New Roman"/>
                <w:color w:val="000000"/>
                <w:kern w:val="0"/>
                <w:sz w:val="22"/>
              </w:rPr>
            </w:pPr>
          </w:p>
        </w:tc>
      </w:tr>
      <w:tr w14:paraId="3F91DFE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F787B2">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E769A8">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B1E53">
            <w:pPr>
              <w:widowControl/>
              <w:jc w:val="center"/>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7A4EF8">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04A157">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F5773">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619.92</w:t>
            </w:r>
          </w:p>
        </w:tc>
      </w:tr>
      <w:tr w14:paraId="3517F1A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3F6EAB">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FD700">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2DB6C">
            <w:pPr>
              <w:widowControl/>
              <w:jc w:val="center"/>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0D873">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BD7691">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35085">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rPr>
              <w:t>34</w:t>
            </w:r>
            <w:r>
              <w:rPr>
                <w:rFonts w:hint="eastAsia" w:ascii="Times New Roman" w:hAnsi="Times New Roman" w:eastAsia="仿宋_GB2312" w:cs="Times New Roman"/>
                <w:color w:val="000000"/>
                <w:kern w:val="0"/>
                <w:sz w:val="22"/>
                <w:lang w:val="en-US" w:eastAsia="zh-CN"/>
              </w:rPr>
              <w:t>.00</w:t>
            </w:r>
          </w:p>
        </w:tc>
      </w:tr>
      <w:tr w14:paraId="393F4327">
        <w:tblPrEx>
          <w:tblCellMar>
            <w:top w:w="0" w:type="dxa"/>
            <w:left w:w="108" w:type="dxa"/>
            <w:bottom w:w="0" w:type="dxa"/>
            <w:right w:w="108" w:type="dxa"/>
          </w:tblCellMar>
        </w:tblPrEx>
        <w:trPr>
          <w:trHeight w:val="292"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F48FEB">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04103B">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5FF87">
            <w:pPr>
              <w:widowControl/>
              <w:jc w:val="center"/>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D85E1">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A55475">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D1991">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 45.68</w:t>
            </w:r>
          </w:p>
        </w:tc>
      </w:tr>
      <w:tr w14:paraId="3BE5E87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DD512">
            <w:pPr>
              <w:widowControl/>
              <w:jc w:val="center"/>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510AF6">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E13EA">
            <w:pPr>
              <w:widowControl/>
              <w:jc w:val="center"/>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AC0CA">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71CAB3">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E1BEE">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9.77</w:t>
            </w:r>
          </w:p>
        </w:tc>
      </w:tr>
      <w:tr w14:paraId="369B82D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0E0A1">
            <w:pPr>
              <w:widowControl/>
              <w:jc w:val="center"/>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9E7B22">
            <w:pPr>
              <w:widowControl/>
              <w:jc w:val="center"/>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BC955">
            <w:pPr>
              <w:widowControl/>
              <w:jc w:val="center"/>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2DE50">
            <w:pPr>
              <w:widowControl/>
              <w:jc w:val="center"/>
              <w:textAlignment w:val="center"/>
              <w:rPr>
                <w:rFonts w:hint="eastAsia"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BEDE43">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A4042">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3.00</w:t>
            </w:r>
          </w:p>
        </w:tc>
      </w:tr>
      <w:tr w14:paraId="51E373E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CF9E5">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443BA">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194A3">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726.07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94705">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2D4FA5">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79616">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726.07</w:t>
            </w:r>
          </w:p>
        </w:tc>
      </w:tr>
      <w:tr w14:paraId="5AD698D1">
        <w:tblPrEx>
          <w:tblCellMar>
            <w:top w:w="0" w:type="dxa"/>
            <w:left w:w="108" w:type="dxa"/>
            <w:bottom w:w="0" w:type="dxa"/>
            <w:right w:w="108" w:type="dxa"/>
          </w:tblCellMar>
        </w:tblPrEx>
        <w:trPr>
          <w:trHeight w:val="311"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4AB8C">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2C8F83">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4961C">
            <w:pPr>
              <w:widowControl/>
              <w:jc w:val="center"/>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EDEAF">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 xml:space="preserve">                结余分配</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81BA15">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E4708">
            <w:pPr>
              <w:widowControl/>
              <w:jc w:val="center"/>
              <w:textAlignment w:val="center"/>
              <w:rPr>
                <w:rFonts w:ascii="Times New Roman" w:hAnsi="Times New Roman" w:eastAsia="仿宋_GB2312" w:cs="Times New Roman"/>
                <w:color w:val="000000"/>
                <w:kern w:val="0"/>
                <w:sz w:val="22"/>
              </w:rPr>
            </w:pPr>
          </w:p>
        </w:tc>
      </w:tr>
      <w:tr w14:paraId="1B38FD3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796F8">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7501C1">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0F931">
            <w:pPr>
              <w:widowControl/>
              <w:jc w:val="center"/>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2A392">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 xml:space="preserve">                年末结转和结余</w:t>
            </w:r>
          </w:p>
        </w:tc>
        <w:tc>
          <w:tcPr>
            <w:tcW w:w="8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C07EDC">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2AB5D">
            <w:pPr>
              <w:widowControl/>
              <w:jc w:val="center"/>
              <w:textAlignment w:val="center"/>
              <w:rPr>
                <w:rFonts w:ascii="Times New Roman" w:hAnsi="Times New Roman" w:eastAsia="仿宋_GB2312" w:cs="Times New Roman"/>
                <w:color w:val="000000"/>
                <w:kern w:val="0"/>
                <w:sz w:val="22"/>
              </w:rPr>
            </w:pPr>
          </w:p>
        </w:tc>
      </w:tr>
      <w:tr w14:paraId="71EA85C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76147E">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BFD784">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4F67D">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726.07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3C650">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9A978F">
            <w:pPr>
              <w:widowControl/>
              <w:jc w:val="center"/>
              <w:textAlignment w:val="center"/>
              <w:rPr>
                <w:rFonts w:hint="eastAsia" w:ascii="Times New Roman" w:hAnsi="Times New Roman" w:eastAsia="仿宋_GB2312" w:cs="Times New Roman"/>
                <w:color w:val="000000"/>
                <w:kern w:val="0"/>
                <w:sz w:val="22"/>
                <w:lang w:eastAsia="zh-CN"/>
              </w:rPr>
            </w:pPr>
            <w:r>
              <w:rPr>
                <w:rFonts w:ascii="Times New Roman" w:hAnsi="Times New Roman" w:eastAsia="仿宋_GB2312" w:cs="Times New Roman"/>
                <w:color w:val="000000"/>
                <w:kern w:val="0"/>
                <w:sz w:val="22"/>
              </w:rPr>
              <w:t>2</w:t>
            </w:r>
            <w:r>
              <w:rPr>
                <w:rFonts w:hint="eastAsia" w:ascii="Times New Roman" w:hAnsi="Times New Roman" w:eastAsia="仿宋_GB2312" w:cs="Times New Roman"/>
                <w:color w:val="000000"/>
                <w:kern w:val="0"/>
                <w:sz w:val="22"/>
                <w:lang w:val="en-US" w:eastAsia="zh-CN"/>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EDDF0">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726.07</w:t>
            </w:r>
          </w:p>
        </w:tc>
      </w:tr>
    </w:tbl>
    <w:p w14:paraId="3271A085">
      <w:pPr>
        <w:widowControl/>
        <w:jc w:val="center"/>
        <w:textAlignment w:val="center"/>
        <w:rPr>
          <w:rFonts w:ascii="Times New Roman" w:hAnsi="Times New Roman" w:eastAsia="仿宋_GB2312" w:cs="Times New Roman"/>
          <w:color w:val="000000"/>
          <w:kern w:val="0"/>
          <w:sz w:val="22"/>
        </w:rPr>
      </w:pPr>
    </w:p>
    <w:p w14:paraId="1601CC6C">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09AE2542">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11C257EF">
      <w:pPr>
        <w:widowControl/>
        <w:spacing w:line="400" w:lineRule="exact"/>
        <w:jc w:val="center"/>
        <w:textAlignment w:val="center"/>
        <w:rPr>
          <w:rFonts w:ascii="Times New Roman" w:hAnsi="Times New Roman" w:eastAsia="黑体" w:cs="Times New Roman"/>
          <w:color w:val="000000"/>
          <w:kern w:val="0"/>
          <w:sz w:val="32"/>
          <w:szCs w:val="32"/>
        </w:rPr>
      </w:pPr>
    </w:p>
    <w:p w14:paraId="408499C2">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7B8F1350">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34BF0B5B">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eastAsia="zh-CN"/>
        </w:rPr>
        <w:t>怀化市科学技术协会</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13"/>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58E37A8D">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B995D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275932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1BBC04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9A1217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05637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373B0E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76F5A5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8812F4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53D861B8">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BBA7E7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BAB30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6C20F4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6403B4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9D20F8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D84B9F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577EED1">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6FD1E3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0F19B71">
            <w:pPr>
              <w:rPr>
                <w:rFonts w:ascii="Times New Roman" w:hAnsi="Times New Roman" w:eastAsia="仿宋_GB2312" w:cs="Times New Roman"/>
                <w:sz w:val="24"/>
                <w:szCs w:val="24"/>
              </w:rPr>
            </w:pPr>
          </w:p>
        </w:tc>
      </w:tr>
      <w:tr w14:paraId="00DE4CBE">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0230A704">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2D17332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6975D1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BC4099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D47D22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A666D8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72B31C3">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A666574">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2CE3315">
            <w:pPr>
              <w:rPr>
                <w:rFonts w:ascii="Times New Roman" w:hAnsi="Times New Roman" w:eastAsia="仿宋_GB2312" w:cs="Times New Roman"/>
                <w:sz w:val="24"/>
                <w:szCs w:val="24"/>
              </w:rPr>
            </w:pPr>
          </w:p>
        </w:tc>
      </w:tr>
      <w:tr w14:paraId="7975E2F8">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59CB3F">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0714836">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63E002">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CDB312">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F3163E">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73E753">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03CB10">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1847BC">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648989F2">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0D311F">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4BE2C8">
            <w:pPr>
              <w:jc w:val="center"/>
              <w:rPr>
                <w:rFonts w:ascii="Times New Roman" w:hAnsi="Times New Roman" w:eastAsia="仿宋_GB2312" w:cs="Times New Roman"/>
                <w:sz w:val="24"/>
                <w:szCs w:val="24"/>
              </w:rPr>
            </w:pPr>
            <w:r>
              <w:rPr>
                <w:rFonts w:hint="eastAsia" w:ascii="Times New Roman" w:hAnsi="Times New Roman" w:eastAsia="仿宋_GB2312" w:cs="Times New Roman"/>
              </w:rPr>
              <w:t>726.07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422A95">
            <w:pPr>
              <w:jc w:val="center"/>
              <w:rPr>
                <w:rFonts w:ascii="Times New Roman" w:hAnsi="Times New Roman" w:eastAsia="仿宋_GB2312" w:cs="Times New Roman"/>
                <w:sz w:val="24"/>
                <w:szCs w:val="24"/>
              </w:rPr>
            </w:pPr>
            <w:r>
              <w:rPr>
                <w:rFonts w:hint="eastAsia" w:ascii="Times New Roman" w:hAnsi="Times New Roman" w:eastAsia="仿宋_GB2312" w:cs="Times New Roman"/>
              </w:rPr>
              <w:t>726.07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4F9C2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58F1A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AD9A0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AD6DB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3065C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D26E6E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CFE4A9">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02F43B">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491EA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A7FAF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5D439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4A5D6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C8804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4250F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8289DB">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53792D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D0C2D5">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FC2989">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B7531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BFF86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FE8FB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35A5D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14631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BBF46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5A543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6D7344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8159B7">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36DA22">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B464C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BFD12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EC623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DCE39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92696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C8295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0E8EB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250092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3645A9">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E20F6DC">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6A9E6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B7191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9B38A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092AE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85316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63E1A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B295E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732921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D219D2">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6DC0C7">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3C986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B6147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0FFBB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9C7D3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3F3B2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0E8CD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B90E8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672276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264CCE">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B46301E">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7032B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2130E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C2F30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997FF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21088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80A2B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07B68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26C9EA6B">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669F7AE8">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4B5D0871">
      <w:pPr>
        <w:widowControl/>
        <w:jc w:val="center"/>
        <w:textAlignment w:val="center"/>
        <w:rPr>
          <w:rFonts w:ascii="Times New Roman" w:hAnsi="Times New Roman" w:eastAsia="黑体" w:cs="Times New Roman"/>
          <w:color w:val="000000"/>
          <w:kern w:val="0"/>
          <w:sz w:val="32"/>
          <w:szCs w:val="32"/>
        </w:rPr>
      </w:pPr>
    </w:p>
    <w:p w14:paraId="66E4F310">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2980E70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3C7D47D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怀化市科学技术协会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color w:val="000000"/>
          <w:kern w:val="0"/>
          <w:sz w:val="20"/>
          <w:szCs w:val="20"/>
        </w:rPr>
        <w:t>单位：万元</w:t>
      </w:r>
    </w:p>
    <w:tbl>
      <w:tblPr>
        <w:tblStyle w:val="13"/>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14:paraId="0E3F236D">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8F3D1E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52FE6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753C6B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38A8B0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A2C83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F5E24E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C240DE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041B2AE3">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6E4666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42558F9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48C5ABE8">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4C64466">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1CE2F2">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34A2ED21">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5A39F8C">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0A250D00">
            <w:pPr>
              <w:widowControl/>
              <w:jc w:val="left"/>
              <w:rPr>
                <w:rFonts w:ascii="Times New Roman" w:hAnsi="Times New Roman" w:eastAsia="仿宋_GB2312" w:cs="Times New Roman"/>
                <w:b/>
                <w:bCs/>
                <w:kern w:val="0"/>
                <w:sz w:val="24"/>
                <w:szCs w:val="24"/>
              </w:rPr>
            </w:pPr>
          </w:p>
        </w:tc>
      </w:tr>
      <w:tr w14:paraId="2111F278">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0FDEFF71">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6F9D6A7A">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1ED2D9F9">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F105660">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09A9477">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163153FE">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132EA4A">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57397772">
            <w:pPr>
              <w:widowControl/>
              <w:jc w:val="left"/>
              <w:rPr>
                <w:rFonts w:ascii="Times New Roman" w:hAnsi="Times New Roman" w:eastAsia="仿宋_GB2312" w:cs="Times New Roman"/>
                <w:kern w:val="0"/>
                <w:sz w:val="24"/>
                <w:szCs w:val="24"/>
              </w:rPr>
            </w:pPr>
          </w:p>
        </w:tc>
      </w:tr>
      <w:tr w14:paraId="1004D5F7">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2CE85B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310B830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02E1990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619DB93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0A87974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44A9A7E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22583FA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1794280D">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3E358A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404DA9D4">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726.07</w:t>
            </w:r>
          </w:p>
        </w:tc>
        <w:tc>
          <w:tcPr>
            <w:tcW w:w="469" w:type="pct"/>
            <w:tcBorders>
              <w:top w:val="nil"/>
              <w:left w:val="nil"/>
              <w:bottom w:val="single" w:color="auto" w:sz="4" w:space="0"/>
              <w:right w:val="single" w:color="auto" w:sz="4" w:space="0"/>
            </w:tcBorders>
            <w:shd w:val="clear" w:color="auto" w:fill="auto"/>
            <w:noWrap/>
            <w:vAlign w:val="center"/>
          </w:tcPr>
          <w:p w14:paraId="145A3915">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300.44</w:t>
            </w:r>
          </w:p>
        </w:tc>
        <w:tc>
          <w:tcPr>
            <w:tcW w:w="469" w:type="pct"/>
            <w:tcBorders>
              <w:top w:val="nil"/>
              <w:left w:val="nil"/>
              <w:bottom w:val="single" w:color="auto" w:sz="4" w:space="0"/>
              <w:right w:val="single" w:color="auto" w:sz="4" w:space="0"/>
            </w:tcBorders>
            <w:shd w:val="clear" w:color="auto" w:fill="auto"/>
            <w:noWrap/>
            <w:vAlign w:val="center"/>
          </w:tcPr>
          <w:p w14:paraId="07C03EB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425.63</w:t>
            </w:r>
          </w:p>
        </w:tc>
        <w:tc>
          <w:tcPr>
            <w:tcW w:w="660" w:type="pct"/>
            <w:tcBorders>
              <w:top w:val="nil"/>
              <w:left w:val="nil"/>
              <w:bottom w:val="single" w:color="auto" w:sz="4" w:space="0"/>
              <w:right w:val="single" w:color="auto" w:sz="4" w:space="0"/>
            </w:tcBorders>
            <w:shd w:val="clear" w:color="auto" w:fill="auto"/>
            <w:noWrap/>
            <w:vAlign w:val="center"/>
          </w:tcPr>
          <w:p w14:paraId="599D78C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3608A3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67C58F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9BF6C7C">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CED24AD">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58BFEF91">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825F30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53FF0C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4C3DA2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E00571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F5A48D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7F88355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35022E2">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4449C7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54C06512">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A91F90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F7DE5E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CCA5CF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5A23A39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1762C3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EF81EC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FBF96A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9D9058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5B71E40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8AC5A2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922ED0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AC4C21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8B2E23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CAC7CD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730347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E0A31E6">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E1C3841">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0213CDC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B6451D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E777CD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6E8E6D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6E7187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2D70AB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2A6530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49A31DE">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B0CE6B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18F2A92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1CF859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ABFC9E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91A405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B9045B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4E0EE4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0C59A9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2F68473">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764C8D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7C55F7C3">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69AA28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8398AE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2CE169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8A4031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390082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58579F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693DFFE1">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44C03BED">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73B7401">
      <w:pPr>
        <w:widowControl/>
        <w:spacing w:line="400" w:lineRule="exact"/>
        <w:jc w:val="center"/>
        <w:textAlignment w:val="center"/>
        <w:rPr>
          <w:rFonts w:ascii="Times New Roman" w:hAnsi="Times New Roman" w:eastAsia="黑体" w:cs="Times New Roman"/>
          <w:color w:val="000000"/>
          <w:kern w:val="0"/>
          <w:sz w:val="32"/>
          <w:szCs w:val="32"/>
        </w:rPr>
      </w:pPr>
    </w:p>
    <w:p w14:paraId="6B1ADAD4">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6D58E34F">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5DC989B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怀化市科学技术协会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3"/>
        <w:tblW w:w="0" w:type="auto"/>
        <w:jc w:val="center"/>
        <w:tblLayout w:type="autofit"/>
        <w:tblCellMar>
          <w:top w:w="0" w:type="dxa"/>
          <w:left w:w="108" w:type="dxa"/>
          <w:bottom w:w="0" w:type="dxa"/>
          <w:right w:w="108" w:type="dxa"/>
        </w:tblCellMar>
      </w:tblPr>
      <w:tblGrid>
        <w:gridCol w:w="3516"/>
        <w:gridCol w:w="616"/>
        <w:gridCol w:w="821"/>
        <w:gridCol w:w="2636"/>
        <w:gridCol w:w="616"/>
        <w:gridCol w:w="821"/>
        <w:gridCol w:w="1641"/>
        <w:gridCol w:w="1714"/>
        <w:gridCol w:w="1839"/>
      </w:tblGrid>
      <w:tr w14:paraId="63C533E9">
        <w:tblPrEx>
          <w:tblCellMar>
            <w:top w:w="0" w:type="dxa"/>
            <w:left w:w="108" w:type="dxa"/>
            <w:bottom w:w="0" w:type="dxa"/>
            <w:right w:w="108" w:type="dxa"/>
          </w:tblCellMar>
        </w:tblPrEx>
        <w:trPr>
          <w:trHeight w:val="274"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652903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535DFBC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39F8AE41">
        <w:tblPrEx>
          <w:tblCellMar>
            <w:top w:w="0" w:type="dxa"/>
            <w:left w:w="108" w:type="dxa"/>
            <w:bottom w:w="0" w:type="dxa"/>
            <w:right w:w="108" w:type="dxa"/>
          </w:tblCellMar>
        </w:tblPrEx>
        <w:trPr>
          <w:trHeight w:val="57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4CBE4D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184818E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D5208C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53776BE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E4B54D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22CF44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76C5DBB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044C285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3AE3CF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79700BC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1410FB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7885202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8A25A2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01AF32B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33B77D6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6C82EF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500B6AD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4DA3F46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5C01EBB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02388ED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4B9056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5E0561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2B7454A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726.07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86AEE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047A8CE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5E45061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13.69</w:t>
            </w:r>
          </w:p>
        </w:tc>
        <w:tc>
          <w:tcPr>
            <w:tcW w:w="0" w:type="auto"/>
            <w:tcBorders>
              <w:top w:val="nil"/>
              <w:left w:val="nil"/>
              <w:bottom w:val="single" w:color="auto" w:sz="4" w:space="0"/>
              <w:right w:val="single" w:color="auto" w:sz="4" w:space="0"/>
            </w:tcBorders>
            <w:shd w:val="clear" w:color="auto" w:fill="auto"/>
            <w:noWrap/>
            <w:vAlign w:val="center"/>
          </w:tcPr>
          <w:p w14:paraId="2935314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13.69</w:t>
            </w:r>
          </w:p>
        </w:tc>
        <w:tc>
          <w:tcPr>
            <w:tcW w:w="0" w:type="auto"/>
            <w:tcBorders>
              <w:top w:val="nil"/>
              <w:left w:val="nil"/>
              <w:bottom w:val="single" w:color="auto" w:sz="4" w:space="0"/>
              <w:right w:val="single" w:color="auto" w:sz="4" w:space="0"/>
            </w:tcBorders>
            <w:shd w:val="clear" w:color="auto" w:fill="auto"/>
            <w:noWrap/>
            <w:vAlign w:val="center"/>
          </w:tcPr>
          <w:p w14:paraId="404C13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C9C40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55E1C9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659735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7C63B1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2483D29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50103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49C10E0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7703D2BC">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01CFAEA">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23897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240CB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61B13C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0238A0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694BF7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45C0AE3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3CAA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1991C75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2441B60B">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B27D3CB">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488B8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D8778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51F7DF5">
        <w:tblPrEx>
          <w:tblCellMar>
            <w:top w:w="0" w:type="dxa"/>
            <w:left w:w="108" w:type="dxa"/>
            <w:bottom w:w="0" w:type="dxa"/>
            <w:right w:w="108" w:type="dxa"/>
          </w:tblCellMar>
        </w:tblPrEx>
        <w:trPr>
          <w:trHeight w:val="339"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39865F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D4487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17ED38A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95DD0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6E5CF3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4F6B830E">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17326F5">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F6860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4794F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13FF52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387E57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C47C4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3185263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7046C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27C278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761E3930">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C2ADA20">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B51F2B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CA3EE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3C4D3F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227BAB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54E9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5C36866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D6F1A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5E2702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53A52EE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619.92</w:t>
            </w:r>
          </w:p>
        </w:tc>
        <w:tc>
          <w:tcPr>
            <w:tcW w:w="0" w:type="auto"/>
            <w:tcBorders>
              <w:top w:val="nil"/>
              <w:left w:val="nil"/>
              <w:bottom w:val="single" w:color="auto" w:sz="4" w:space="0"/>
              <w:right w:val="single" w:color="auto" w:sz="4" w:space="0"/>
            </w:tcBorders>
            <w:shd w:val="clear" w:color="auto" w:fill="auto"/>
            <w:noWrap/>
            <w:vAlign w:val="center"/>
          </w:tcPr>
          <w:p w14:paraId="2031E66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619.92</w:t>
            </w:r>
          </w:p>
        </w:tc>
        <w:tc>
          <w:tcPr>
            <w:tcW w:w="0" w:type="auto"/>
            <w:tcBorders>
              <w:top w:val="nil"/>
              <w:left w:val="nil"/>
              <w:bottom w:val="single" w:color="auto" w:sz="4" w:space="0"/>
              <w:right w:val="single" w:color="auto" w:sz="4" w:space="0"/>
            </w:tcBorders>
            <w:shd w:val="clear" w:color="auto" w:fill="auto"/>
            <w:noWrap/>
            <w:vAlign w:val="center"/>
          </w:tcPr>
          <w:p w14:paraId="3F5940D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526C7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C003917">
        <w:tblPrEx>
          <w:tblCellMar>
            <w:top w:w="0" w:type="dxa"/>
            <w:left w:w="108" w:type="dxa"/>
            <w:bottom w:w="0" w:type="dxa"/>
            <w:right w:w="108" w:type="dxa"/>
          </w:tblCellMar>
        </w:tblPrEx>
        <w:trPr>
          <w:trHeight w:val="56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46BC85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4DAB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2A167A1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32AD5709">
            <w:pPr>
              <w:widowControl/>
              <w:jc w:val="lef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4"/>
                <w:szCs w:val="24"/>
              </w:rP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14:paraId="216C98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2B80EFB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34.00</w:t>
            </w:r>
          </w:p>
        </w:tc>
        <w:tc>
          <w:tcPr>
            <w:tcW w:w="1641" w:type="dxa"/>
            <w:tcBorders>
              <w:top w:val="nil"/>
              <w:left w:val="nil"/>
              <w:bottom w:val="single" w:color="auto" w:sz="4" w:space="0"/>
              <w:right w:val="single" w:color="auto" w:sz="4" w:space="0"/>
            </w:tcBorders>
            <w:shd w:val="clear" w:color="auto" w:fill="auto"/>
            <w:noWrap/>
            <w:vAlign w:val="center"/>
          </w:tcPr>
          <w:p w14:paraId="7B267EB5">
            <w:pPr>
              <w:jc w:val="center"/>
              <w:rPr>
                <w:rFonts w:ascii="Times New Roman" w:hAnsi="Times New Roman" w:eastAsia="仿宋_GB2312" w:cs="Times New Roman"/>
                <w:kern w:val="0"/>
                <w:sz w:val="22"/>
              </w:rPr>
            </w:pPr>
            <w:r>
              <w:rPr>
                <w:rFonts w:hint="eastAsia" w:ascii="Times New Roman" w:hAnsi="Times New Roman" w:eastAsia="仿宋_GB2312" w:cs="Times New Roman"/>
                <w:b w:val="0"/>
                <w:bCs w:val="0"/>
                <w:color w:val="000000"/>
                <w:sz w:val="22"/>
              </w:rPr>
              <w:t>34</w:t>
            </w:r>
            <w:r>
              <w:rPr>
                <w:rFonts w:hint="eastAsia" w:ascii="Times New Roman" w:hAnsi="Times New Roman" w:eastAsia="仿宋_GB2312" w:cs="Times New Roman"/>
                <w:b w:val="0"/>
                <w:bCs w:val="0"/>
                <w:color w:val="000000"/>
                <w:sz w:val="22"/>
                <w:lang w:val="en-US" w:eastAsia="zh-CN"/>
              </w:rPr>
              <w:t>.00</w:t>
            </w:r>
          </w:p>
        </w:tc>
        <w:tc>
          <w:tcPr>
            <w:tcW w:w="0" w:type="auto"/>
            <w:tcBorders>
              <w:top w:val="nil"/>
              <w:left w:val="nil"/>
              <w:bottom w:val="single" w:color="auto" w:sz="4" w:space="0"/>
              <w:right w:val="single" w:color="auto" w:sz="4" w:space="0"/>
            </w:tcBorders>
            <w:shd w:val="clear" w:color="auto" w:fill="auto"/>
            <w:noWrap/>
            <w:vAlign w:val="center"/>
          </w:tcPr>
          <w:p w14:paraId="2E50844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9AE8D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72FF829">
        <w:tblPrEx>
          <w:tblCellMar>
            <w:top w:w="0" w:type="dxa"/>
            <w:left w:w="108" w:type="dxa"/>
            <w:bottom w:w="0" w:type="dxa"/>
            <w:right w:w="108" w:type="dxa"/>
          </w:tblCellMar>
        </w:tblPrEx>
        <w:trPr>
          <w:trHeight w:val="3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7D4D281">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99C041D">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4F53591">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7E7991A4">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14:paraId="6A55825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0D37552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45.68</w:t>
            </w:r>
          </w:p>
        </w:tc>
        <w:tc>
          <w:tcPr>
            <w:tcW w:w="1641" w:type="dxa"/>
            <w:tcBorders>
              <w:top w:val="nil"/>
              <w:left w:val="nil"/>
              <w:bottom w:val="single" w:color="auto" w:sz="4" w:space="0"/>
              <w:right w:val="single" w:color="auto" w:sz="4" w:space="0"/>
            </w:tcBorders>
            <w:shd w:val="clear" w:color="auto" w:fill="auto"/>
            <w:noWrap/>
            <w:vAlign w:val="center"/>
          </w:tcPr>
          <w:p w14:paraId="23EF05A0">
            <w:pPr>
              <w:jc w:val="center"/>
              <w:rPr>
                <w:rFonts w:ascii="Times New Roman" w:hAnsi="Times New Roman" w:eastAsia="仿宋_GB2312" w:cs="Times New Roman"/>
                <w:kern w:val="0"/>
                <w:sz w:val="22"/>
              </w:rPr>
            </w:pPr>
            <w:r>
              <w:rPr>
                <w:rFonts w:hint="eastAsia" w:ascii="Times New Roman" w:hAnsi="Times New Roman" w:eastAsia="仿宋_GB2312" w:cs="Times New Roman"/>
                <w:b w:val="0"/>
                <w:bCs w:val="0"/>
                <w:color w:val="000000"/>
                <w:sz w:val="22"/>
                <w:lang w:val="en-US" w:eastAsia="zh-CN"/>
              </w:rPr>
              <w:t>45.68</w:t>
            </w:r>
          </w:p>
        </w:tc>
        <w:tc>
          <w:tcPr>
            <w:tcW w:w="0" w:type="auto"/>
            <w:tcBorders>
              <w:top w:val="nil"/>
              <w:left w:val="nil"/>
              <w:bottom w:val="single" w:color="auto" w:sz="4" w:space="0"/>
              <w:right w:val="single" w:color="auto" w:sz="4" w:space="0"/>
            </w:tcBorders>
            <w:shd w:val="clear" w:color="auto" w:fill="auto"/>
            <w:noWrap/>
            <w:vAlign w:val="center"/>
          </w:tcPr>
          <w:p w14:paraId="610BD228">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6C18288">
            <w:pPr>
              <w:widowControl/>
              <w:jc w:val="right"/>
              <w:rPr>
                <w:rFonts w:ascii="Times New Roman" w:hAnsi="Times New Roman" w:eastAsia="仿宋_GB2312" w:cs="Times New Roman"/>
                <w:kern w:val="0"/>
                <w:sz w:val="22"/>
              </w:rPr>
            </w:pPr>
          </w:p>
        </w:tc>
      </w:tr>
      <w:tr w14:paraId="065B10B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7097681">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8DA1526">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50C54C4">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7C2A0FAC">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九、卫生健康支出</w:t>
            </w:r>
          </w:p>
        </w:tc>
        <w:tc>
          <w:tcPr>
            <w:tcW w:w="616" w:type="dxa"/>
            <w:tcBorders>
              <w:top w:val="nil"/>
              <w:left w:val="nil"/>
              <w:bottom w:val="single" w:color="auto" w:sz="4" w:space="0"/>
              <w:right w:val="single" w:color="auto" w:sz="4" w:space="0"/>
            </w:tcBorders>
            <w:shd w:val="clear" w:color="auto" w:fill="auto"/>
            <w:noWrap/>
            <w:vAlign w:val="center"/>
          </w:tcPr>
          <w:p w14:paraId="6BB3E2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5590536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9.77</w:t>
            </w:r>
          </w:p>
        </w:tc>
        <w:tc>
          <w:tcPr>
            <w:tcW w:w="1641" w:type="dxa"/>
            <w:tcBorders>
              <w:top w:val="nil"/>
              <w:left w:val="nil"/>
              <w:bottom w:val="single" w:color="auto" w:sz="4" w:space="0"/>
              <w:right w:val="single" w:color="auto" w:sz="4" w:space="0"/>
            </w:tcBorders>
            <w:shd w:val="clear" w:color="auto" w:fill="auto"/>
            <w:noWrap/>
            <w:vAlign w:val="center"/>
          </w:tcPr>
          <w:p w14:paraId="71B654AC">
            <w:pPr>
              <w:ind w:firstLine="440" w:firstLineChars="200"/>
              <w:jc w:val="both"/>
              <w:rPr>
                <w:rFonts w:ascii="Times New Roman" w:hAnsi="Times New Roman" w:eastAsia="仿宋_GB2312" w:cs="Times New Roman"/>
                <w:kern w:val="0"/>
                <w:sz w:val="22"/>
              </w:rPr>
            </w:pPr>
            <w:r>
              <w:rPr>
                <w:rFonts w:hint="eastAsia" w:ascii="Times New Roman" w:hAnsi="Times New Roman" w:eastAsia="仿宋_GB2312" w:cs="Times New Roman"/>
                <w:b w:val="0"/>
                <w:bCs w:val="0"/>
                <w:color w:val="000000"/>
                <w:sz w:val="22"/>
                <w:lang w:val="en-US" w:eastAsia="zh-CN"/>
              </w:rPr>
              <w:t>9.77</w:t>
            </w:r>
          </w:p>
        </w:tc>
        <w:tc>
          <w:tcPr>
            <w:tcW w:w="0" w:type="auto"/>
            <w:tcBorders>
              <w:top w:val="nil"/>
              <w:left w:val="nil"/>
              <w:bottom w:val="single" w:color="auto" w:sz="4" w:space="0"/>
              <w:right w:val="single" w:color="auto" w:sz="4" w:space="0"/>
            </w:tcBorders>
            <w:shd w:val="clear" w:color="auto" w:fill="auto"/>
            <w:noWrap/>
            <w:vAlign w:val="center"/>
          </w:tcPr>
          <w:p w14:paraId="49F31E08">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4A3AF1D">
            <w:pPr>
              <w:widowControl/>
              <w:jc w:val="right"/>
              <w:rPr>
                <w:rFonts w:ascii="Times New Roman" w:hAnsi="Times New Roman" w:eastAsia="仿宋_GB2312" w:cs="Times New Roman"/>
                <w:kern w:val="0"/>
                <w:sz w:val="22"/>
              </w:rPr>
            </w:pPr>
          </w:p>
        </w:tc>
      </w:tr>
      <w:tr w14:paraId="57A7C25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0DCA74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C02F9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2292E7D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572DBB11">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十九、住房保障支出</w:t>
            </w:r>
          </w:p>
        </w:tc>
        <w:tc>
          <w:tcPr>
            <w:tcW w:w="616" w:type="dxa"/>
            <w:tcBorders>
              <w:top w:val="nil"/>
              <w:left w:val="nil"/>
              <w:bottom w:val="single" w:color="auto" w:sz="4" w:space="0"/>
              <w:right w:val="single" w:color="auto" w:sz="4" w:space="0"/>
            </w:tcBorders>
            <w:shd w:val="clear" w:color="auto" w:fill="auto"/>
            <w:noWrap/>
            <w:vAlign w:val="center"/>
          </w:tcPr>
          <w:p w14:paraId="6F88D6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374DE5E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3.00</w:t>
            </w:r>
          </w:p>
        </w:tc>
        <w:tc>
          <w:tcPr>
            <w:tcW w:w="1641" w:type="dxa"/>
            <w:tcBorders>
              <w:top w:val="nil"/>
              <w:left w:val="nil"/>
              <w:bottom w:val="single" w:color="auto" w:sz="4" w:space="0"/>
              <w:right w:val="single" w:color="auto" w:sz="4" w:space="0"/>
            </w:tcBorders>
            <w:shd w:val="clear" w:color="auto" w:fill="auto"/>
            <w:noWrap/>
            <w:vAlign w:val="center"/>
          </w:tcPr>
          <w:p w14:paraId="00D65EBE">
            <w:pPr>
              <w:ind w:firstLine="440" w:firstLineChars="200"/>
              <w:jc w:val="both"/>
              <w:rPr>
                <w:rFonts w:ascii="Times New Roman" w:hAnsi="Times New Roman" w:eastAsia="仿宋_GB2312" w:cs="Times New Roman"/>
                <w:kern w:val="0"/>
                <w:sz w:val="22"/>
              </w:rPr>
            </w:pPr>
            <w:r>
              <w:rPr>
                <w:rFonts w:hint="eastAsia" w:ascii="Times New Roman" w:hAnsi="Times New Roman" w:eastAsia="仿宋_GB2312" w:cs="Times New Roman"/>
                <w:b w:val="0"/>
                <w:bCs w:val="0"/>
                <w:color w:val="000000"/>
                <w:sz w:val="22"/>
                <w:lang w:val="en-US" w:eastAsia="zh-CN"/>
              </w:rPr>
              <w:t>3.00</w:t>
            </w:r>
          </w:p>
        </w:tc>
        <w:tc>
          <w:tcPr>
            <w:tcW w:w="0" w:type="auto"/>
            <w:tcBorders>
              <w:top w:val="nil"/>
              <w:left w:val="nil"/>
              <w:bottom w:val="single" w:color="auto" w:sz="4" w:space="0"/>
              <w:right w:val="single" w:color="auto" w:sz="4" w:space="0"/>
            </w:tcBorders>
            <w:shd w:val="clear" w:color="auto" w:fill="auto"/>
            <w:noWrap/>
            <w:vAlign w:val="center"/>
          </w:tcPr>
          <w:p w14:paraId="5196DB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6C3C0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B7B6D6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BAD0D5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5BF18F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419E800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726.07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90ECB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14:paraId="76F80F4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6605A99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726.07</w:t>
            </w:r>
          </w:p>
        </w:tc>
        <w:tc>
          <w:tcPr>
            <w:tcW w:w="0" w:type="auto"/>
            <w:tcBorders>
              <w:top w:val="nil"/>
              <w:left w:val="nil"/>
              <w:bottom w:val="single" w:color="auto" w:sz="4" w:space="0"/>
              <w:right w:val="single" w:color="auto" w:sz="4" w:space="0"/>
            </w:tcBorders>
            <w:shd w:val="clear" w:color="auto" w:fill="auto"/>
            <w:noWrap/>
            <w:vAlign w:val="center"/>
          </w:tcPr>
          <w:p w14:paraId="6394866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726.07</w:t>
            </w:r>
          </w:p>
        </w:tc>
        <w:tc>
          <w:tcPr>
            <w:tcW w:w="0" w:type="auto"/>
            <w:tcBorders>
              <w:top w:val="nil"/>
              <w:left w:val="nil"/>
              <w:bottom w:val="single" w:color="auto" w:sz="4" w:space="0"/>
              <w:right w:val="single" w:color="auto" w:sz="4" w:space="0"/>
            </w:tcBorders>
            <w:shd w:val="clear" w:color="auto" w:fill="auto"/>
            <w:noWrap/>
            <w:vAlign w:val="center"/>
          </w:tcPr>
          <w:p w14:paraId="334473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87FC7E">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5614FF9E">
        <w:tblPrEx>
          <w:tblCellMar>
            <w:top w:w="0" w:type="dxa"/>
            <w:left w:w="108" w:type="dxa"/>
            <w:bottom w:w="0" w:type="dxa"/>
            <w:right w:w="108" w:type="dxa"/>
          </w:tblCellMar>
        </w:tblPrEx>
        <w:trPr>
          <w:trHeight w:val="3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DFED5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7099808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0F985D1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83989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24C6FD2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0EED75AB">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4DCD129">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03AD01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6AA24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A50204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4D04F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B4032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53C79CD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726.07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4C5F4D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66E36E3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55033B99">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4DE1B30">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C309F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EF23C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45D678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0E383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64B29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4CF95FA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C72B2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020BE3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28CC4B2D">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572F804">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BE979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3EB9D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40EC273">
        <w:tblPrEx>
          <w:tblCellMar>
            <w:top w:w="0" w:type="dxa"/>
            <w:left w:w="108" w:type="dxa"/>
            <w:bottom w:w="0" w:type="dxa"/>
            <w:right w:w="108" w:type="dxa"/>
          </w:tblCellMar>
        </w:tblPrEx>
        <w:trPr>
          <w:trHeight w:val="311"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2C68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604BFD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6B6A71D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739174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69A341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4CC2F4D8">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A1AE924">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336DD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D4A2A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52EE7B3">
        <w:tblPrEx>
          <w:tblCellMar>
            <w:top w:w="0" w:type="dxa"/>
            <w:left w:w="108" w:type="dxa"/>
            <w:bottom w:w="0" w:type="dxa"/>
            <w:right w:w="108" w:type="dxa"/>
          </w:tblCellMar>
        </w:tblPrEx>
        <w:trPr>
          <w:trHeight w:val="240"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4295C7E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61E18B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4A5F9C3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726.07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503BFAC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0D2AF1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4A25562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726.07</w:t>
            </w:r>
          </w:p>
        </w:tc>
        <w:tc>
          <w:tcPr>
            <w:tcW w:w="0" w:type="auto"/>
            <w:tcBorders>
              <w:top w:val="nil"/>
              <w:left w:val="nil"/>
              <w:bottom w:val="single" w:color="auto" w:sz="4" w:space="0"/>
              <w:right w:val="single" w:color="auto" w:sz="4" w:space="0"/>
            </w:tcBorders>
            <w:shd w:val="clear" w:color="000000" w:fill="FFFFFF"/>
            <w:noWrap/>
            <w:vAlign w:val="center"/>
          </w:tcPr>
          <w:p w14:paraId="7C37803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726.07</w:t>
            </w:r>
          </w:p>
        </w:tc>
        <w:tc>
          <w:tcPr>
            <w:tcW w:w="0" w:type="auto"/>
            <w:tcBorders>
              <w:top w:val="nil"/>
              <w:left w:val="nil"/>
              <w:bottom w:val="single" w:color="auto" w:sz="4" w:space="0"/>
              <w:right w:val="single" w:color="auto" w:sz="4" w:space="0"/>
            </w:tcBorders>
            <w:shd w:val="clear" w:color="auto" w:fill="auto"/>
            <w:noWrap/>
            <w:vAlign w:val="center"/>
          </w:tcPr>
          <w:p w14:paraId="74D2BA3F">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DC0CB1">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1DB853C1">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494EB777">
      <w:pPr>
        <w:widowControl/>
        <w:jc w:val="center"/>
        <w:rPr>
          <w:rFonts w:ascii="Times New Roman" w:hAnsi="Times New Roman" w:eastAsia="方正小标宋_GBK" w:cs="Times New Roman"/>
          <w:kern w:val="0"/>
          <w:sz w:val="36"/>
          <w:szCs w:val="36"/>
        </w:rPr>
      </w:pPr>
    </w:p>
    <w:p w14:paraId="268293A3">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23EE7DE0">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怀化市科学技术协会</w:t>
      </w:r>
      <w:r>
        <w:rPr>
          <w:rFonts w:ascii="Times New Roman" w:hAnsi="Times New Roman" w:eastAsia="仿宋_GB2312" w:cs="Times New Roman"/>
          <w:color w:val="000000"/>
          <w:kern w:val="0"/>
          <w:szCs w:val="21"/>
        </w:rPr>
        <w:t xml:space="preserve">                                                                                            公开05表</w:t>
      </w:r>
    </w:p>
    <w:p w14:paraId="1D50D0FB">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13"/>
        <w:tblW w:w="14219" w:type="dxa"/>
        <w:jc w:val="center"/>
        <w:tblLayout w:type="autofit"/>
        <w:tblCellMar>
          <w:top w:w="0" w:type="dxa"/>
          <w:left w:w="108" w:type="dxa"/>
          <w:bottom w:w="0" w:type="dxa"/>
          <w:right w:w="108" w:type="dxa"/>
        </w:tblCellMar>
      </w:tblPr>
      <w:tblGrid>
        <w:gridCol w:w="1200"/>
        <w:gridCol w:w="3830"/>
        <w:gridCol w:w="2697"/>
        <w:gridCol w:w="3492"/>
        <w:gridCol w:w="3000"/>
      </w:tblGrid>
      <w:tr w14:paraId="02171F7B">
        <w:tblPrEx>
          <w:tblCellMar>
            <w:top w:w="0" w:type="dxa"/>
            <w:left w:w="108" w:type="dxa"/>
            <w:bottom w:w="0" w:type="dxa"/>
            <w:right w:w="108" w:type="dxa"/>
          </w:tblCellMar>
        </w:tblPrEx>
        <w:trPr>
          <w:trHeight w:val="435" w:hRule="atLeast"/>
          <w:jc w:val="center"/>
        </w:trPr>
        <w:tc>
          <w:tcPr>
            <w:tcW w:w="50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218D68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189" w:type="dxa"/>
            <w:gridSpan w:val="3"/>
            <w:tcBorders>
              <w:top w:val="single" w:color="auto" w:sz="4" w:space="0"/>
              <w:left w:val="nil"/>
              <w:bottom w:val="single" w:color="auto" w:sz="4" w:space="0"/>
              <w:right w:val="single" w:color="auto" w:sz="4" w:space="0"/>
            </w:tcBorders>
            <w:shd w:val="clear" w:color="auto" w:fill="auto"/>
            <w:vAlign w:val="center"/>
          </w:tcPr>
          <w:p w14:paraId="1EE8A19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68D3B73A">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7D693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830" w:type="dxa"/>
            <w:vMerge w:val="restart"/>
            <w:tcBorders>
              <w:top w:val="nil"/>
              <w:left w:val="single" w:color="auto" w:sz="4" w:space="0"/>
              <w:bottom w:val="single" w:color="auto" w:sz="4" w:space="0"/>
              <w:right w:val="single" w:color="auto" w:sz="4" w:space="0"/>
            </w:tcBorders>
            <w:shd w:val="clear" w:color="auto" w:fill="auto"/>
            <w:vAlign w:val="center"/>
          </w:tcPr>
          <w:p w14:paraId="2D7EBFF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697" w:type="dxa"/>
            <w:vMerge w:val="restart"/>
            <w:tcBorders>
              <w:top w:val="nil"/>
              <w:left w:val="single" w:color="auto" w:sz="4" w:space="0"/>
              <w:bottom w:val="single" w:color="000000" w:sz="4" w:space="0"/>
              <w:right w:val="single" w:color="auto" w:sz="4" w:space="0"/>
            </w:tcBorders>
            <w:shd w:val="clear" w:color="auto" w:fill="auto"/>
            <w:vAlign w:val="center"/>
          </w:tcPr>
          <w:p w14:paraId="45809EF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0CF54A3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08C896D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463899EA">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4" w:space="0"/>
              <w:bottom w:val="single" w:color="auto" w:sz="4" w:space="0"/>
              <w:right w:val="single" w:color="auto" w:sz="4" w:space="0"/>
            </w:tcBorders>
            <w:vAlign w:val="center"/>
          </w:tcPr>
          <w:p w14:paraId="45949A1A">
            <w:pPr>
              <w:widowControl/>
              <w:jc w:val="left"/>
              <w:rPr>
                <w:rFonts w:ascii="Times New Roman" w:hAnsi="Times New Roman" w:eastAsia="仿宋_GB2312" w:cs="Times New Roman"/>
                <w:kern w:val="0"/>
                <w:szCs w:val="21"/>
              </w:rPr>
            </w:pPr>
          </w:p>
        </w:tc>
        <w:tc>
          <w:tcPr>
            <w:tcW w:w="3830" w:type="dxa"/>
            <w:vMerge w:val="continue"/>
            <w:tcBorders>
              <w:top w:val="nil"/>
              <w:left w:val="single" w:color="auto" w:sz="4" w:space="0"/>
              <w:bottom w:val="single" w:color="auto" w:sz="4" w:space="0"/>
              <w:right w:val="single" w:color="auto" w:sz="4" w:space="0"/>
            </w:tcBorders>
            <w:vAlign w:val="center"/>
          </w:tcPr>
          <w:p w14:paraId="434D83AD">
            <w:pPr>
              <w:widowControl/>
              <w:jc w:val="left"/>
              <w:rPr>
                <w:rFonts w:ascii="Times New Roman" w:hAnsi="Times New Roman" w:eastAsia="仿宋_GB2312" w:cs="Times New Roman"/>
                <w:kern w:val="0"/>
                <w:szCs w:val="21"/>
              </w:rPr>
            </w:pPr>
          </w:p>
        </w:tc>
        <w:tc>
          <w:tcPr>
            <w:tcW w:w="2697" w:type="dxa"/>
            <w:vMerge w:val="continue"/>
            <w:tcBorders>
              <w:top w:val="nil"/>
              <w:left w:val="single" w:color="auto" w:sz="4" w:space="0"/>
              <w:bottom w:val="single" w:color="000000" w:sz="4" w:space="0"/>
              <w:right w:val="single" w:color="auto" w:sz="4" w:space="0"/>
            </w:tcBorders>
            <w:vAlign w:val="center"/>
          </w:tcPr>
          <w:p w14:paraId="6D9DB0E3">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AAA561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BA08671">
            <w:pPr>
              <w:widowControl/>
              <w:jc w:val="left"/>
              <w:rPr>
                <w:rFonts w:ascii="Times New Roman" w:hAnsi="Times New Roman" w:eastAsia="仿宋_GB2312" w:cs="Times New Roman"/>
                <w:kern w:val="0"/>
                <w:szCs w:val="21"/>
              </w:rPr>
            </w:pPr>
          </w:p>
        </w:tc>
      </w:tr>
      <w:tr w14:paraId="752B3E6F">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4" w:space="0"/>
              <w:bottom w:val="single" w:color="auto" w:sz="4" w:space="0"/>
              <w:right w:val="single" w:color="auto" w:sz="4" w:space="0"/>
            </w:tcBorders>
            <w:vAlign w:val="center"/>
          </w:tcPr>
          <w:p w14:paraId="3F93D277">
            <w:pPr>
              <w:widowControl/>
              <w:jc w:val="left"/>
              <w:rPr>
                <w:rFonts w:ascii="Times New Roman" w:hAnsi="Times New Roman" w:eastAsia="仿宋_GB2312" w:cs="Times New Roman"/>
                <w:kern w:val="0"/>
                <w:szCs w:val="21"/>
              </w:rPr>
            </w:pPr>
          </w:p>
        </w:tc>
        <w:tc>
          <w:tcPr>
            <w:tcW w:w="3830" w:type="dxa"/>
            <w:vMerge w:val="continue"/>
            <w:tcBorders>
              <w:top w:val="nil"/>
              <w:left w:val="single" w:color="auto" w:sz="4" w:space="0"/>
              <w:bottom w:val="single" w:color="auto" w:sz="4" w:space="0"/>
              <w:right w:val="single" w:color="auto" w:sz="4" w:space="0"/>
            </w:tcBorders>
            <w:vAlign w:val="center"/>
          </w:tcPr>
          <w:p w14:paraId="35F1D8A8">
            <w:pPr>
              <w:widowControl/>
              <w:jc w:val="left"/>
              <w:rPr>
                <w:rFonts w:ascii="Times New Roman" w:hAnsi="Times New Roman" w:eastAsia="仿宋_GB2312" w:cs="Times New Roman"/>
                <w:kern w:val="0"/>
                <w:szCs w:val="21"/>
              </w:rPr>
            </w:pPr>
          </w:p>
        </w:tc>
        <w:tc>
          <w:tcPr>
            <w:tcW w:w="2697" w:type="dxa"/>
            <w:vMerge w:val="continue"/>
            <w:tcBorders>
              <w:top w:val="nil"/>
              <w:left w:val="single" w:color="auto" w:sz="4" w:space="0"/>
              <w:bottom w:val="single" w:color="000000" w:sz="4" w:space="0"/>
              <w:right w:val="single" w:color="auto" w:sz="4" w:space="0"/>
            </w:tcBorders>
            <w:vAlign w:val="center"/>
          </w:tcPr>
          <w:p w14:paraId="57D241AE">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D2DD03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DFD28F6">
            <w:pPr>
              <w:widowControl/>
              <w:jc w:val="left"/>
              <w:rPr>
                <w:rFonts w:ascii="Times New Roman" w:hAnsi="Times New Roman" w:eastAsia="仿宋_GB2312" w:cs="Times New Roman"/>
                <w:kern w:val="0"/>
                <w:szCs w:val="21"/>
              </w:rPr>
            </w:pPr>
          </w:p>
        </w:tc>
      </w:tr>
      <w:tr w14:paraId="1DF079DF">
        <w:tblPrEx>
          <w:tblCellMar>
            <w:top w:w="0" w:type="dxa"/>
            <w:left w:w="108" w:type="dxa"/>
            <w:bottom w:w="0" w:type="dxa"/>
            <w:right w:w="108" w:type="dxa"/>
          </w:tblCellMar>
        </w:tblPrEx>
        <w:trPr>
          <w:trHeight w:val="305" w:hRule="atLeast"/>
          <w:jc w:val="center"/>
        </w:trPr>
        <w:tc>
          <w:tcPr>
            <w:tcW w:w="50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936B43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697" w:type="dxa"/>
            <w:tcBorders>
              <w:top w:val="nil"/>
              <w:left w:val="nil"/>
              <w:bottom w:val="single" w:color="auto" w:sz="4" w:space="0"/>
              <w:right w:val="single" w:color="auto" w:sz="4" w:space="0"/>
            </w:tcBorders>
            <w:shd w:val="clear" w:color="auto" w:fill="auto"/>
            <w:vAlign w:val="center"/>
          </w:tcPr>
          <w:p w14:paraId="394820A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4FB0A6F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4" w:space="0"/>
            </w:tcBorders>
            <w:shd w:val="clear" w:color="auto" w:fill="auto"/>
            <w:vAlign w:val="center"/>
          </w:tcPr>
          <w:p w14:paraId="6EAF8E5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5ACE20F">
        <w:tblPrEx>
          <w:tblCellMar>
            <w:top w:w="0" w:type="dxa"/>
            <w:left w:w="108" w:type="dxa"/>
            <w:bottom w:w="0" w:type="dxa"/>
            <w:right w:w="108" w:type="dxa"/>
          </w:tblCellMar>
        </w:tblPrEx>
        <w:trPr>
          <w:trHeight w:val="304" w:hRule="atLeast"/>
          <w:jc w:val="center"/>
        </w:trPr>
        <w:tc>
          <w:tcPr>
            <w:tcW w:w="50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C7A6DC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697" w:type="dxa"/>
            <w:tcBorders>
              <w:top w:val="nil"/>
              <w:left w:val="nil"/>
              <w:bottom w:val="single" w:color="auto" w:sz="4" w:space="0"/>
              <w:right w:val="single" w:color="auto" w:sz="4" w:space="0"/>
            </w:tcBorders>
            <w:shd w:val="clear" w:color="auto" w:fill="auto"/>
            <w:vAlign w:val="center"/>
          </w:tcPr>
          <w:p w14:paraId="5F2F8E8E">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726.07</w:t>
            </w:r>
            <w:r>
              <w:rPr>
                <w:rFonts w:ascii="Times New Roman" w:hAnsi="Times New Roman" w:eastAsia="仿宋_GB2312" w:cs="Times New Roman"/>
                <w:kern w:val="0"/>
                <w:sz w:val="21"/>
                <w:szCs w:val="21"/>
              </w:rPr>
              <w:t>　</w:t>
            </w:r>
          </w:p>
        </w:tc>
        <w:tc>
          <w:tcPr>
            <w:tcW w:w="3492" w:type="dxa"/>
            <w:tcBorders>
              <w:top w:val="nil"/>
              <w:left w:val="nil"/>
              <w:bottom w:val="single" w:color="auto" w:sz="4" w:space="0"/>
              <w:right w:val="single" w:color="auto" w:sz="4" w:space="0"/>
            </w:tcBorders>
            <w:shd w:val="clear" w:color="auto" w:fill="auto"/>
            <w:vAlign w:val="center"/>
          </w:tcPr>
          <w:p w14:paraId="42BE2D53">
            <w:pPr>
              <w:widowControl/>
              <w:tabs>
                <w:tab w:val="left" w:pos="277"/>
                <w:tab w:val="center" w:pos="1803"/>
              </w:tabs>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rPr>
              <w:tab/>
            </w:r>
            <w:r>
              <w:rPr>
                <w:rFonts w:hint="eastAsia" w:ascii="Times New Roman" w:hAnsi="Times New Roman" w:eastAsia="仿宋_GB2312" w:cs="Times New Roman"/>
                <w:kern w:val="0"/>
                <w:sz w:val="21"/>
                <w:szCs w:val="21"/>
              </w:rPr>
              <w:tab/>
            </w:r>
            <w:r>
              <w:rPr>
                <w:rFonts w:ascii="Times New Roman" w:hAnsi="Times New Roman" w:eastAsia="仿宋_GB2312" w:cs="Times New Roman"/>
                <w:kern w:val="0"/>
                <w:sz w:val="21"/>
                <w:szCs w:val="21"/>
              </w:rPr>
              <w:t>　</w:t>
            </w:r>
            <w:r>
              <w:rPr>
                <w:rFonts w:hint="eastAsia" w:ascii="Times New Roman" w:hAnsi="Times New Roman" w:eastAsia="仿宋_GB2312" w:cs="Times New Roman"/>
                <w:kern w:val="0"/>
                <w:sz w:val="21"/>
                <w:szCs w:val="21"/>
                <w:lang w:val="en-US" w:eastAsia="zh-CN"/>
              </w:rPr>
              <w:t>300.44</w:t>
            </w:r>
          </w:p>
        </w:tc>
        <w:tc>
          <w:tcPr>
            <w:tcW w:w="3000" w:type="dxa"/>
            <w:tcBorders>
              <w:top w:val="nil"/>
              <w:left w:val="nil"/>
              <w:bottom w:val="single" w:color="auto" w:sz="4" w:space="0"/>
              <w:right w:val="single" w:color="auto" w:sz="4" w:space="0"/>
            </w:tcBorders>
            <w:shd w:val="clear" w:color="auto" w:fill="auto"/>
            <w:vAlign w:val="center"/>
          </w:tcPr>
          <w:p w14:paraId="66D9D80A">
            <w:pPr>
              <w:widowControl/>
              <w:jc w:val="right"/>
              <w:rPr>
                <w:rFonts w:hint="default" w:ascii="Times New Roman" w:hAnsi="Times New Roman" w:eastAsia="仿宋_GB2312" w:cs="Times New Roman"/>
                <w:kern w:val="0"/>
                <w:sz w:val="21"/>
                <w:szCs w:val="21"/>
                <w:lang w:val="en-US" w:eastAsia="zh-CN"/>
              </w:rPr>
            </w:pPr>
            <w:r>
              <w:rPr>
                <w:rFonts w:ascii="Times New Roman" w:hAnsi="Times New Roman" w:eastAsia="仿宋_GB2312" w:cs="Times New Roman"/>
                <w:kern w:val="0"/>
                <w:sz w:val="21"/>
                <w:szCs w:val="21"/>
              </w:rPr>
              <w:t>　</w:t>
            </w:r>
            <w:r>
              <w:rPr>
                <w:rFonts w:hint="eastAsia" w:ascii="Times New Roman" w:hAnsi="Times New Roman" w:eastAsia="仿宋_GB2312" w:cs="Times New Roman"/>
                <w:kern w:val="0"/>
                <w:sz w:val="21"/>
                <w:szCs w:val="21"/>
                <w:lang w:val="en-US" w:eastAsia="zh-CN"/>
              </w:rPr>
              <w:t>425.63</w:t>
            </w:r>
          </w:p>
        </w:tc>
      </w:tr>
      <w:tr w14:paraId="22477D52">
        <w:tblPrEx>
          <w:tblCellMar>
            <w:top w:w="0" w:type="dxa"/>
            <w:left w:w="108" w:type="dxa"/>
            <w:bottom w:w="0" w:type="dxa"/>
            <w:right w:w="108" w:type="dxa"/>
          </w:tblCellMar>
        </w:tblPrEx>
        <w:trPr>
          <w:trHeight w:val="433"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41B9804">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201</w:t>
            </w:r>
          </w:p>
        </w:tc>
        <w:tc>
          <w:tcPr>
            <w:tcW w:w="3830" w:type="dxa"/>
            <w:tcBorders>
              <w:top w:val="nil"/>
              <w:left w:val="nil"/>
              <w:bottom w:val="single" w:color="auto" w:sz="4" w:space="0"/>
              <w:right w:val="single" w:color="auto" w:sz="4" w:space="0"/>
            </w:tcBorders>
            <w:shd w:val="clear" w:color="auto" w:fill="auto"/>
            <w:vAlign w:val="center"/>
          </w:tcPr>
          <w:p w14:paraId="61A1EEAE">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一般公共服务支出</w:t>
            </w:r>
          </w:p>
        </w:tc>
        <w:tc>
          <w:tcPr>
            <w:tcW w:w="2697" w:type="dxa"/>
            <w:tcBorders>
              <w:top w:val="nil"/>
              <w:left w:val="nil"/>
              <w:bottom w:val="single" w:color="auto" w:sz="4" w:space="0"/>
              <w:right w:val="single" w:color="auto" w:sz="4" w:space="0"/>
            </w:tcBorders>
            <w:shd w:val="clear" w:color="auto" w:fill="auto"/>
            <w:vAlign w:val="center"/>
          </w:tcPr>
          <w:p w14:paraId="3F87B085">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13.69 </w:t>
            </w:r>
          </w:p>
        </w:tc>
        <w:tc>
          <w:tcPr>
            <w:tcW w:w="3492" w:type="dxa"/>
            <w:tcBorders>
              <w:top w:val="nil"/>
              <w:left w:val="nil"/>
              <w:bottom w:val="single" w:color="auto" w:sz="4" w:space="0"/>
              <w:right w:val="single" w:color="auto" w:sz="4" w:space="0"/>
            </w:tcBorders>
            <w:shd w:val="clear" w:color="auto" w:fill="auto"/>
            <w:vAlign w:val="center"/>
          </w:tcPr>
          <w:p w14:paraId="77602985">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12.26 </w:t>
            </w:r>
          </w:p>
        </w:tc>
        <w:tc>
          <w:tcPr>
            <w:tcW w:w="3000" w:type="dxa"/>
            <w:tcBorders>
              <w:top w:val="nil"/>
              <w:left w:val="nil"/>
              <w:bottom w:val="single" w:color="auto" w:sz="4" w:space="0"/>
              <w:right w:val="single" w:color="auto" w:sz="4" w:space="0"/>
            </w:tcBorders>
            <w:shd w:val="clear" w:color="auto" w:fill="auto"/>
            <w:vAlign w:val="center"/>
          </w:tcPr>
          <w:p w14:paraId="671352AA">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1.44 </w:t>
            </w:r>
          </w:p>
        </w:tc>
      </w:tr>
      <w:tr w14:paraId="33586C64">
        <w:tblPrEx>
          <w:tblCellMar>
            <w:top w:w="0" w:type="dxa"/>
            <w:left w:w="108" w:type="dxa"/>
            <w:bottom w:w="0" w:type="dxa"/>
            <w:right w:w="108" w:type="dxa"/>
          </w:tblCellMar>
        </w:tblPrEx>
        <w:trPr>
          <w:trHeight w:val="306"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D7F9316">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20102</w:t>
            </w:r>
          </w:p>
        </w:tc>
        <w:tc>
          <w:tcPr>
            <w:tcW w:w="3830" w:type="dxa"/>
            <w:tcBorders>
              <w:top w:val="nil"/>
              <w:left w:val="nil"/>
              <w:bottom w:val="single" w:color="auto" w:sz="4" w:space="0"/>
              <w:right w:val="single" w:color="auto" w:sz="4" w:space="0"/>
            </w:tcBorders>
            <w:shd w:val="clear" w:color="auto" w:fill="auto"/>
            <w:vAlign w:val="center"/>
          </w:tcPr>
          <w:p w14:paraId="14541BA6">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政协事务</w:t>
            </w:r>
          </w:p>
        </w:tc>
        <w:tc>
          <w:tcPr>
            <w:tcW w:w="2697" w:type="dxa"/>
            <w:tcBorders>
              <w:top w:val="nil"/>
              <w:left w:val="nil"/>
              <w:bottom w:val="single" w:color="auto" w:sz="4" w:space="0"/>
              <w:right w:val="single" w:color="auto" w:sz="4" w:space="0"/>
            </w:tcBorders>
            <w:shd w:val="clear" w:color="auto" w:fill="auto"/>
            <w:vAlign w:val="center"/>
          </w:tcPr>
          <w:p w14:paraId="6F3D1834">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1.44 </w:t>
            </w:r>
          </w:p>
        </w:tc>
        <w:tc>
          <w:tcPr>
            <w:tcW w:w="3492" w:type="dxa"/>
            <w:tcBorders>
              <w:top w:val="nil"/>
              <w:left w:val="nil"/>
              <w:bottom w:val="single" w:color="auto" w:sz="4" w:space="0"/>
              <w:right w:val="single" w:color="auto" w:sz="4" w:space="0"/>
            </w:tcBorders>
            <w:shd w:val="clear" w:color="auto" w:fill="auto"/>
            <w:vAlign w:val="center"/>
          </w:tcPr>
          <w:p w14:paraId="372BC50A">
            <w:pPr>
              <w:widowControl/>
              <w:jc w:val="right"/>
              <w:rPr>
                <w:rFonts w:hint="eastAsia" w:ascii="Times New Roman" w:hAnsi="Times New Roman" w:eastAsia="仿宋_GB2312" w:cs="Times New Roman"/>
                <w:kern w:val="0"/>
                <w:sz w:val="21"/>
                <w:szCs w:val="21"/>
                <w:lang w:val="en-US" w:eastAsia="zh-CN"/>
              </w:rPr>
            </w:pPr>
          </w:p>
        </w:tc>
        <w:tc>
          <w:tcPr>
            <w:tcW w:w="3000" w:type="dxa"/>
            <w:tcBorders>
              <w:top w:val="nil"/>
              <w:left w:val="nil"/>
              <w:bottom w:val="single" w:color="auto" w:sz="4" w:space="0"/>
              <w:right w:val="single" w:color="auto" w:sz="4" w:space="0"/>
            </w:tcBorders>
            <w:shd w:val="clear" w:color="auto" w:fill="auto"/>
            <w:vAlign w:val="center"/>
          </w:tcPr>
          <w:p w14:paraId="2AC59CD6">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1.44 </w:t>
            </w:r>
          </w:p>
        </w:tc>
      </w:tr>
      <w:tr w14:paraId="4D48D85E">
        <w:tblPrEx>
          <w:tblCellMar>
            <w:top w:w="0" w:type="dxa"/>
            <w:left w:w="108" w:type="dxa"/>
            <w:bottom w:w="0" w:type="dxa"/>
            <w:right w:w="108" w:type="dxa"/>
          </w:tblCellMar>
        </w:tblPrEx>
        <w:trPr>
          <w:trHeight w:val="304"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8479284">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2010299</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544B1FC8">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其他政协事务支出</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5AFD146B">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1.44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8124087">
            <w:pPr>
              <w:widowControl/>
              <w:jc w:val="right"/>
              <w:rPr>
                <w:rFonts w:hint="eastAsia" w:ascii="Times New Roman" w:hAnsi="Times New Roman" w:eastAsia="仿宋_GB2312" w:cs="Times New Roman"/>
                <w:kern w:val="0"/>
                <w:sz w:val="21"/>
                <w:szCs w:val="21"/>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22F7C24">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1.44 </w:t>
            </w:r>
          </w:p>
        </w:tc>
      </w:tr>
      <w:tr w14:paraId="58188449">
        <w:tblPrEx>
          <w:tblCellMar>
            <w:top w:w="0" w:type="dxa"/>
            <w:left w:w="108" w:type="dxa"/>
            <w:bottom w:w="0" w:type="dxa"/>
            <w:right w:w="108" w:type="dxa"/>
          </w:tblCellMar>
        </w:tblPrEx>
        <w:trPr>
          <w:trHeight w:val="303"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46BE178">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20199</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2D277F96">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其他一般公共服务支出</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6EC13F78">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12.26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9A72AB4">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12.26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80C14E6">
            <w:pPr>
              <w:widowControl/>
              <w:jc w:val="right"/>
              <w:rPr>
                <w:rFonts w:hint="eastAsia" w:ascii="Times New Roman" w:hAnsi="Times New Roman" w:eastAsia="仿宋_GB2312" w:cs="Times New Roman"/>
                <w:kern w:val="0"/>
                <w:sz w:val="21"/>
                <w:szCs w:val="21"/>
                <w:lang w:val="en-US" w:eastAsia="zh-CN"/>
              </w:rPr>
            </w:pPr>
          </w:p>
        </w:tc>
      </w:tr>
      <w:tr w14:paraId="0889A24D">
        <w:tblPrEx>
          <w:tblCellMar>
            <w:top w:w="0" w:type="dxa"/>
            <w:left w:w="108" w:type="dxa"/>
            <w:bottom w:w="0" w:type="dxa"/>
            <w:right w:w="108" w:type="dxa"/>
          </w:tblCellMar>
        </w:tblPrEx>
        <w:trPr>
          <w:trHeight w:val="34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F7FC4AD">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2019999</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393402AE">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其他一般公共服务支出</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3E2A7EE0">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12.26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56109C9">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12.26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D76514A">
            <w:pPr>
              <w:widowControl/>
              <w:jc w:val="right"/>
              <w:rPr>
                <w:rFonts w:hint="eastAsia" w:ascii="Times New Roman" w:hAnsi="Times New Roman" w:eastAsia="仿宋_GB2312" w:cs="Times New Roman"/>
                <w:kern w:val="0"/>
                <w:sz w:val="21"/>
                <w:szCs w:val="21"/>
                <w:lang w:val="en-US" w:eastAsia="zh-CN"/>
              </w:rPr>
            </w:pPr>
          </w:p>
        </w:tc>
      </w:tr>
      <w:tr w14:paraId="151848C7">
        <w:tblPrEx>
          <w:tblCellMar>
            <w:top w:w="0" w:type="dxa"/>
            <w:left w:w="108" w:type="dxa"/>
            <w:bottom w:w="0" w:type="dxa"/>
            <w:right w:w="108" w:type="dxa"/>
          </w:tblCellMar>
        </w:tblPrEx>
        <w:trPr>
          <w:trHeight w:val="29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B26D52F">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206</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3D400D0C">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科学技术支出</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4AF9DD84">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619.92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AC304B9">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229.72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73F4BDB">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390.19 </w:t>
            </w:r>
          </w:p>
        </w:tc>
      </w:tr>
      <w:tr w14:paraId="00F67CBB">
        <w:tblPrEx>
          <w:tblCellMar>
            <w:top w:w="0" w:type="dxa"/>
            <w:left w:w="108" w:type="dxa"/>
            <w:bottom w:w="0" w:type="dxa"/>
            <w:right w:w="108" w:type="dxa"/>
          </w:tblCellMar>
        </w:tblPrEx>
        <w:trPr>
          <w:trHeight w:val="24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591747C">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20601</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3976F62A">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i w:val="0"/>
                <w:color w:val="000000"/>
                <w:kern w:val="0"/>
                <w:sz w:val="21"/>
                <w:szCs w:val="21"/>
                <w:u w:val="none"/>
                <w:lang w:val="en-US" w:eastAsia="zh-CN" w:bidi="ar"/>
              </w:rPr>
              <w:t>科学技术管理事务</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5DB94B4F">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203.42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6DD4180">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203.42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7ECD33D">
            <w:pPr>
              <w:widowControl/>
              <w:jc w:val="right"/>
              <w:rPr>
                <w:rFonts w:hint="eastAsia" w:ascii="Times New Roman" w:hAnsi="Times New Roman" w:eastAsia="仿宋_GB2312" w:cs="Times New Roman"/>
                <w:kern w:val="0"/>
                <w:sz w:val="21"/>
                <w:szCs w:val="21"/>
                <w:lang w:val="en-US" w:eastAsia="zh-CN"/>
              </w:rPr>
            </w:pPr>
          </w:p>
        </w:tc>
      </w:tr>
      <w:tr w14:paraId="0FA0A397">
        <w:tblPrEx>
          <w:tblCellMar>
            <w:top w:w="0" w:type="dxa"/>
            <w:left w:w="108" w:type="dxa"/>
            <w:bottom w:w="0" w:type="dxa"/>
            <w:right w:w="108" w:type="dxa"/>
          </w:tblCellMar>
        </w:tblPrEx>
        <w:trPr>
          <w:trHeight w:val="267"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5C7CA21">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2060101</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23B06B7E">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i w:val="0"/>
                <w:color w:val="000000"/>
                <w:kern w:val="0"/>
                <w:sz w:val="21"/>
                <w:szCs w:val="21"/>
                <w:u w:val="none"/>
                <w:lang w:val="en-US" w:eastAsia="zh-CN" w:bidi="ar"/>
              </w:rPr>
              <w:t>行政运行</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2BBA8A3F">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203.42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D6D2508">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203.42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4CE3E4A">
            <w:pPr>
              <w:widowControl/>
              <w:jc w:val="right"/>
              <w:rPr>
                <w:rFonts w:hint="eastAsia" w:ascii="Times New Roman" w:hAnsi="Times New Roman" w:eastAsia="仿宋_GB2312" w:cs="Times New Roman"/>
                <w:kern w:val="0"/>
                <w:sz w:val="21"/>
                <w:szCs w:val="21"/>
                <w:lang w:val="en-US" w:eastAsia="zh-CN"/>
              </w:rPr>
            </w:pPr>
          </w:p>
        </w:tc>
      </w:tr>
      <w:tr w14:paraId="5D2D2060">
        <w:tblPrEx>
          <w:tblCellMar>
            <w:top w:w="0" w:type="dxa"/>
            <w:left w:w="108" w:type="dxa"/>
            <w:bottom w:w="0" w:type="dxa"/>
            <w:right w:w="108" w:type="dxa"/>
          </w:tblCellMar>
        </w:tblPrEx>
        <w:trPr>
          <w:trHeight w:val="267"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401AB89">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20607</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5369344A">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科学技术普及</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38266C22">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406.98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54B48BF">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26.30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A37EEED">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380.68 </w:t>
            </w:r>
          </w:p>
        </w:tc>
      </w:tr>
      <w:tr w14:paraId="24634B55">
        <w:tblPrEx>
          <w:tblCellMar>
            <w:top w:w="0" w:type="dxa"/>
            <w:left w:w="108" w:type="dxa"/>
            <w:bottom w:w="0" w:type="dxa"/>
            <w:right w:w="108" w:type="dxa"/>
          </w:tblCellMar>
        </w:tblPrEx>
        <w:trPr>
          <w:trHeight w:val="304"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55AE64F">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2060701</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2BFA504B">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机构运行</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705C052F">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11.98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9D661FA">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11.98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8634263">
            <w:pPr>
              <w:widowControl/>
              <w:jc w:val="right"/>
              <w:rPr>
                <w:rFonts w:hint="eastAsia" w:ascii="Times New Roman" w:hAnsi="Times New Roman" w:eastAsia="仿宋_GB2312" w:cs="Times New Roman"/>
                <w:kern w:val="0"/>
                <w:sz w:val="21"/>
                <w:szCs w:val="21"/>
                <w:lang w:val="en-US" w:eastAsia="zh-CN"/>
              </w:rPr>
            </w:pPr>
          </w:p>
        </w:tc>
      </w:tr>
      <w:tr w14:paraId="6E70FC9B">
        <w:tblPrEx>
          <w:tblCellMar>
            <w:top w:w="0" w:type="dxa"/>
            <w:left w:w="108" w:type="dxa"/>
            <w:bottom w:w="0" w:type="dxa"/>
            <w:right w:w="108" w:type="dxa"/>
          </w:tblCellMar>
        </w:tblPrEx>
        <w:trPr>
          <w:trHeight w:val="331"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4634C96">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2060704</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77C89AB5">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学术交流活动</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5153B793">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8.94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3341FAB">
            <w:pPr>
              <w:widowControl/>
              <w:jc w:val="right"/>
              <w:rPr>
                <w:rFonts w:hint="eastAsia" w:ascii="Times New Roman" w:hAnsi="Times New Roman" w:eastAsia="仿宋_GB2312" w:cs="Times New Roman"/>
                <w:kern w:val="0"/>
                <w:sz w:val="21"/>
                <w:szCs w:val="21"/>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CDE2422">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8.94 </w:t>
            </w:r>
          </w:p>
        </w:tc>
      </w:tr>
      <w:tr w14:paraId="5842BCAD">
        <w:tblPrEx>
          <w:tblCellMar>
            <w:top w:w="0" w:type="dxa"/>
            <w:left w:w="108" w:type="dxa"/>
            <w:bottom w:w="0" w:type="dxa"/>
            <w:right w:w="108" w:type="dxa"/>
          </w:tblCellMar>
        </w:tblPrEx>
        <w:trPr>
          <w:trHeight w:val="258"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1F904AC">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2060705</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20AE13A3">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科技馆站</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30B97367">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261.00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B4625AF">
            <w:pPr>
              <w:widowControl/>
              <w:jc w:val="right"/>
              <w:rPr>
                <w:rFonts w:hint="eastAsia" w:ascii="Times New Roman" w:hAnsi="Times New Roman" w:eastAsia="仿宋_GB2312" w:cs="Times New Roman"/>
                <w:kern w:val="0"/>
                <w:sz w:val="21"/>
                <w:szCs w:val="21"/>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6B565C6">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261.00 </w:t>
            </w:r>
          </w:p>
        </w:tc>
      </w:tr>
      <w:tr w14:paraId="78F2C933">
        <w:tblPrEx>
          <w:tblCellMar>
            <w:top w:w="0" w:type="dxa"/>
            <w:left w:w="108" w:type="dxa"/>
            <w:bottom w:w="0" w:type="dxa"/>
            <w:right w:w="108" w:type="dxa"/>
          </w:tblCellMar>
        </w:tblPrEx>
        <w:trPr>
          <w:trHeight w:val="313"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B1F14BA">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2060799</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6E7EB33F">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其他科学技术普及支出</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3EF83247">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125.06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BB0E84E">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14.32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2EAE5F5">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110.75 </w:t>
            </w:r>
          </w:p>
        </w:tc>
      </w:tr>
      <w:tr w14:paraId="31423EAA">
        <w:tblPrEx>
          <w:tblCellMar>
            <w:top w:w="0" w:type="dxa"/>
            <w:left w:w="108" w:type="dxa"/>
            <w:bottom w:w="0" w:type="dxa"/>
            <w:right w:w="108" w:type="dxa"/>
          </w:tblCellMar>
        </w:tblPrEx>
        <w:trPr>
          <w:trHeight w:val="258"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EF747DD">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20699</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2173C7B8">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其他科学技术支出</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7C8D4CF5">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9.51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5E98B3C">
            <w:pPr>
              <w:widowControl/>
              <w:jc w:val="right"/>
              <w:rPr>
                <w:rFonts w:hint="eastAsia" w:ascii="Times New Roman" w:hAnsi="Times New Roman" w:eastAsia="仿宋_GB2312" w:cs="Times New Roman"/>
                <w:kern w:val="0"/>
                <w:sz w:val="21"/>
                <w:szCs w:val="21"/>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4E828C5">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9.51 </w:t>
            </w:r>
          </w:p>
        </w:tc>
      </w:tr>
      <w:tr w14:paraId="4341131E">
        <w:tblPrEx>
          <w:tblCellMar>
            <w:top w:w="0" w:type="dxa"/>
            <w:left w:w="108" w:type="dxa"/>
            <w:bottom w:w="0" w:type="dxa"/>
            <w:right w:w="108" w:type="dxa"/>
          </w:tblCellMar>
        </w:tblPrEx>
        <w:trPr>
          <w:trHeight w:val="268"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857D2BD">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2069999</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0377188D">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其他科学技术支出</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7D82210F">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9.51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04E9DCE">
            <w:pPr>
              <w:widowControl/>
              <w:jc w:val="right"/>
              <w:rPr>
                <w:rFonts w:hint="eastAsia" w:ascii="Times New Roman" w:hAnsi="Times New Roman" w:eastAsia="仿宋_GB2312" w:cs="Times New Roman"/>
                <w:kern w:val="0"/>
                <w:sz w:val="21"/>
                <w:szCs w:val="21"/>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1EF9119">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9.51 </w:t>
            </w:r>
          </w:p>
        </w:tc>
      </w:tr>
      <w:tr w14:paraId="7EF2EE5C">
        <w:tblPrEx>
          <w:tblCellMar>
            <w:top w:w="0" w:type="dxa"/>
            <w:left w:w="108" w:type="dxa"/>
            <w:bottom w:w="0" w:type="dxa"/>
            <w:right w:w="108" w:type="dxa"/>
          </w:tblCellMar>
        </w:tblPrEx>
        <w:trPr>
          <w:trHeight w:val="358"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93E03E3">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207</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19DB3795">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文化旅游体育与传媒支出</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78E183CE">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34.00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258E850">
            <w:pPr>
              <w:widowControl/>
              <w:jc w:val="right"/>
              <w:rPr>
                <w:rFonts w:hint="eastAsia" w:ascii="Times New Roman" w:hAnsi="Times New Roman" w:eastAsia="仿宋_GB2312" w:cs="Times New Roman"/>
                <w:kern w:val="0"/>
                <w:sz w:val="21"/>
                <w:szCs w:val="21"/>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30285AF">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34.00 </w:t>
            </w:r>
          </w:p>
        </w:tc>
      </w:tr>
      <w:tr w14:paraId="4B90281D">
        <w:tblPrEx>
          <w:tblCellMar>
            <w:top w:w="0" w:type="dxa"/>
            <w:left w:w="108" w:type="dxa"/>
            <w:bottom w:w="0" w:type="dxa"/>
            <w:right w:w="108" w:type="dxa"/>
          </w:tblCellMar>
        </w:tblPrEx>
        <w:trPr>
          <w:trHeight w:val="34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10DF6DC">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20799</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79550F28">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其他文化旅游体育与传媒支出</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27675D9E">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34.00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472F4FB">
            <w:pPr>
              <w:widowControl/>
              <w:jc w:val="right"/>
              <w:rPr>
                <w:rFonts w:hint="eastAsia" w:ascii="Times New Roman" w:hAnsi="Times New Roman" w:eastAsia="仿宋_GB2312" w:cs="Times New Roman"/>
                <w:kern w:val="0"/>
                <w:sz w:val="21"/>
                <w:szCs w:val="21"/>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FC8A9E0">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34.00 </w:t>
            </w:r>
          </w:p>
        </w:tc>
      </w:tr>
      <w:tr w14:paraId="790C0AD4">
        <w:tblPrEx>
          <w:tblCellMar>
            <w:top w:w="0" w:type="dxa"/>
            <w:left w:w="108" w:type="dxa"/>
            <w:bottom w:w="0" w:type="dxa"/>
            <w:right w:w="108" w:type="dxa"/>
          </w:tblCellMar>
        </w:tblPrEx>
        <w:trPr>
          <w:trHeight w:val="276"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52D8774">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2079999</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2CB53A2D">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其他文化旅游体育与传媒支出</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2362568E">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34.00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BC8B929">
            <w:pPr>
              <w:widowControl/>
              <w:jc w:val="right"/>
              <w:rPr>
                <w:rFonts w:hint="eastAsia" w:ascii="Times New Roman" w:hAnsi="Times New Roman" w:eastAsia="仿宋_GB2312" w:cs="Times New Roman"/>
                <w:kern w:val="0"/>
                <w:sz w:val="21"/>
                <w:szCs w:val="21"/>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7AD6F95">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34.00 </w:t>
            </w:r>
          </w:p>
        </w:tc>
      </w:tr>
      <w:tr w14:paraId="314577B1">
        <w:tblPrEx>
          <w:tblCellMar>
            <w:top w:w="0" w:type="dxa"/>
            <w:left w:w="108" w:type="dxa"/>
            <w:bottom w:w="0" w:type="dxa"/>
            <w:right w:w="108" w:type="dxa"/>
          </w:tblCellMar>
        </w:tblPrEx>
        <w:trPr>
          <w:trHeight w:val="286"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91803E6">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208</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65CE7880">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社会保障和就业支出</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0EC4F97B">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45.68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0EE0D23">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45.68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1793743">
            <w:pPr>
              <w:widowControl/>
              <w:jc w:val="right"/>
              <w:rPr>
                <w:rFonts w:hint="eastAsia" w:ascii="Times New Roman" w:hAnsi="Times New Roman" w:eastAsia="仿宋_GB2312" w:cs="Times New Roman"/>
                <w:kern w:val="0"/>
                <w:sz w:val="21"/>
                <w:szCs w:val="21"/>
                <w:lang w:val="en-US" w:eastAsia="zh-CN"/>
              </w:rPr>
            </w:pPr>
          </w:p>
        </w:tc>
      </w:tr>
      <w:tr w14:paraId="5FA4AB99">
        <w:tblPrEx>
          <w:tblCellMar>
            <w:top w:w="0" w:type="dxa"/>
            <w:left w:w="108" w:type="dxa"/>
            <w:bottom w:w="0" w:type="dxa"/>
            <w:right w:w="108" w:type="dxa"/>
          </w:tblCellMar>
        </w:tblPrEx>
        <w:trPr>
          <w:trHeight w:val="231"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499D09A">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20805</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5A36EB4F">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行政事业单位养老支出</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2C10C53D">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45.68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F44CD1D">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45.68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60455C4">
            <w:pPr>
              <w:widowControl/>
              <w:jc w:val="right"/>
              <w:rPr>
                <w:rFonts w:hint="eastAsia" w:ascii="Times New Roman" w:hAnsi="Times New Roman" w:eastAsia="仿宋_GB2312" w:cs="Times New Roman"/>
                <w:kern w:val="0"/>
                <w:sz w:val="21"/>
                <w:szCs w:val="21"/>
                <w:lang w:val="en-US" w:eastAsia="zh-CN"/>
              </w:rPr>
            </w:pPr>
          </w:p>
        </w:tc>
      </w:tr>
      <w:tr w14:paraId="689E6D7E">
        <w:tblPrEx>
          <w:tblCellMar>
            <w:top w:w="0" w:type="dxa"/>
            <w:left w:w="108" w:type="dxa"/>
            <w:bottom w:w="0" w:type="dxa"/>
            <w:right w:w="108" w:type="dxa"/>
          </w:tblCellMar>
        </w:tblPrEx>
        <w:trPr>
          <w:trHeight w:val="267"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28E2328">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2080502</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583308C4">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事业单位离退休</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65D5046B">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2.15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7D9FA96">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2.15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7553738">
            <w:pPr>
              <w:widowControl/>
              <w:jc w:val="right"/>
              <w:rPr>
                <w:rFonts w:hint="eastAsia" w:ascii="Times New Roman" w:hAnsi="Times New Roman" w:eastAsia="仿宋_GB2312" w:cs="Times New Roman"/>
                <w:kern w:val="0"/>
                <w:sz w:val="21"/>
                <w:szCs w:val="21"/>
                <w:lang w:val="en-US" w:eastAsia="zh-CN"/>
              </w:rPr>
            </w:pPr>
          </w:p>
        </w:tc>
      </w:tr>
      <w:tr w14:paraId="1AA16ECF">
        <w:tblPrEx>
          <w:tblCellMar>
            <w:top w:w="0" w:type="dxa"/>
            <w:left w:w="108" w:type="dxa"/>
            <w:bottom w:w="0" w:type="dxa"/>
            <w:right w:w="108" w:type="dxa"/>
          </w:tblCellMar>
        </w:tblPrEx>
        <w:trPr>
          <w:trHeight w:val="276"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DD6D5F3">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2080505</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60A3FFAA">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机关事业单位基本养老保险缴费支出</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44A60AF7">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24.66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07E5482">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24.66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E4E5F25">
            <w:pPr>
              <w:widowControl/>
              <w:jc w:val="right"/>
              <w:rPr>
                <w:rFonts w:hint="eastAsia" w:ascii="Times New Roman" w:hAnsi="Times New Roman" w:eastAsia="仿宋_GB2312" w:cs="Times New Roman"/>
                <w:kern w:val="0"/>
                <w:sz w:val="21"/>
                <w:szCs w:val="21"/>
                <w:lang w:val="en-US" w:eastAsia="zh-CN"/>
              </w:rPr>
            </w:pPr>
          </w:p>
        </w:tc>
      </w:tr>
      <w:tr w14:paraId="6D6A77FD">
        <w:tblPrEx>
          <w:tblCellMar>
            <w:top w:w="0" w:type="dxa"/>
            <w:left w:w="108" w:type="dxa"/>
            <w:bottom w:w="0" w:type="dxa"/>
            <w:right w:w="108" w:type="dxa"/>
          </w:tblCellMar>
        </w:tblPrEx>
        <w:trPr>
          <w:trHeight w:val="222"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11267CE">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2080599</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0F898752">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其他行政事业单位养老支出</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22CED8BD">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18.88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2ED356B">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18.88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F316F8B">
            <w:pPr>
              <w:widowControl/>
              <w:jc w:val="right"/>
              <w:rPr>
                <w:rFonts w:hint="eastAsia" w:ascii="Times New Roman" w:hAnsi="Times New Roman" w:eastAsia="仿宋_GB2312" w:cs="Times New Roman"/>
                <w:kern w:val="0"/>
                <w:sz w:val="21"/>
                <w:szCs w:val="21"/>
                <w:lang w:val="en-US" w:eastAsia="zh-CN"/>
              </w:rPr>
            </w:pPr>
          </w:p>
        </w:tc>
      </w:tr>
      <w:tr w14:paraId="7D0D0E7A">
        <w:tblPrEx>
          <w:tblCellMar>
            <w:top w:w="0" w:type="dxa"/>
            <w:left w:w="108" w:type="dxa"/>
            <w:bottom w:w="0" w:type="dxa"/>
            <w:right w:w="108" w:type="dxa"/>
          </w:tblCellMar>
        </w:tblPrEx>
        <w:trPr>
          <w:trHeight w:val="303"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BF23E8B">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210</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1B5D52ED">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卫生健康支出</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3C936C06">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9.77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DBFE43F">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9.77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3E90913">
            <w:pPr>
              <w:widowControl/>
              <w:jc w:val="right"/>
              <w:rPr>
                <w:rFonts w:hint="eastAsia" w:ascii="Times New Roman" w:hAnsi="Times New Roman" w:eastAsia="仿宋_GB2312" w:cs="Times New Roman"/>
                <w:kern w:val="0"/>
                <w:sz w:val="21"/>
                <w:szCs w:val="21"/>
                <w:lang w:val="en-US" w:eastAsia="zh-CN"/>
              </w:rPr>
            </w:pPr>
          </w:p>
        </w:tc>
      </w:tr>
      <w:tr w14:paraId="13C709B7">
        <w:tblPrEx>
          <w:tblCellMar>
            <w:top w:w="0" w:type="dxa"/>
            <w:left w:w="108" w:type="dxa"/>
            <w:bottom w:w="0" w:type="dxa"/>
            <w:right w:w="108" w:type="dxa"/>
          </w:tblCellMar>
        </w:tblPrEx>
        <w:trPr>
          <w:trHeight w:val="28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FA948AD">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21011</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49EBB15D">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行政事业单位医疗</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42C0FE3E">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9.77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2621395">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9.77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BA1C6CA">
            <w:pPr>
              <w:widowControl/>
              <w:jc w:val="right"/>
              <w:rPr>
                <w:rFonts w:hint="eastAsia" w:ascii="Times New Roman" w:hAnsi="Times New Roman" w:eastAsia="仿宋_GB2312" w:cs="Times New Roman"/>
                <w:kern w:val="0"/>
                <w:sz w:val="21"/>
                <w:szCs w:val="21"/>
                <w:lang w:val="en-US" w:eastAsia="zh-CN"/>
              </w:rPr>
            </w:pPr>
          </w:p>
        </w:tc>
      </w:tr>
      <w:tr w14:paraId="10940574">
        <w:tblPrEx>
          <w:tblCellMar>
            <w:top w:w="0" w:type="dxa"/>
            <w:left w:w="108" w:type="dxa"/>
            <w:bottom w:w="0" w:type="dxa"/>
            <w:right w:w="108" w:type="dxa"/>
          </w:tblCellMar>
        </w:tblPrEx>
        <w:trPr>
          <w:trHeight w:val="276"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00AB316">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2101101</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55C82E5A">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行政单位医疗</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008BCF78">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9.77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4E95AAE">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9.77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F5F0EAC">
            <w:pPr>
              <w:widowControl/>
              <w:jc w:val="right"/>
              <w:rPr>
                <w:rFonts w:hint="eastAsia" w:ascii="Times New Roman" w:hAnsi="Times New Roman" w:eastAsia="仿宋_GB2312" w:cs="Times New Roman"/>
                <w:kern w:val="0"/>
                <w:sz w:val="21"/>
                <w:szCs w:val="21"/>
                <w:lang w:val="en-US" w:eastAsia="zh-CN"/>
              </w:rPr>
            </w:pPr>
          </w:p>
        </w:tc>
      </w:tr>
      <w:tr w14:paraId="170B8277">
        <w:tblPrEx>
          <w:tblCellMar>
            <w:top w:w="0" w:type="dxa"/>
            <w:left w:w="108" w:type="dxa"/>
            <w:bottom w:w="0" w:type="dxa"/>
            <w:right w:w="108" w:type="dxa"/>
          </w:tblCellMar>
        </w:tblPrEx>
        <w:trPr>
          <w:trHeight w:val="213"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2AA3F00">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221</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554FC029">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住房保障支出</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776DA5A9">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3.00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3902B81">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3.00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92C0BFE">
            <w:pPr>
              <w:widowControl/>
              <w:jc w:val="right"/>
              <w:rPr>
                <w:rFonts w:hint="eastAsia" w:ascii="Times New Roman" w:hAnsi="Times New Roman" w:eastAsia="仿宋_GB2312" w:cs="Times New Roman"/>
                <w:kern w:val="0"/>
                <w:sz w:val="21"/>
                <w:szCs w:val="21"/>
                <w:lang w:val="en-US" w:eastAsia="zh-CN"/>
              </w:rPr>
            </w:pPr>
          </w:p>
        </w:tc>
      </w:tr>
      <w:tr w14:paraId="1DCD0562">
        <w:tblPrEx>
          <w:tblCellMar>
            <w:top w:w="0" w:type="dxa"/>
            <w:left w:w="108" w:type="dxa"/>
            <w:bottom w:w="0" w:type="dxa"/>
            <w:right w:w="108" w:type="dxa"/>
          </w:tblCellMar>
        </w:tblPrEx>
        <w:trPr>
          <w:trHeight w:val="29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B2AA006">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22102</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7109BDF2">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住房改革支出</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42B0DBB4">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3.00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714E703">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3.00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83AB425">
            <w:pPr>
              <w:widowControl/>
              <w:jc w:val="right"/>
              <w:rPr>
                <w:rFonts w:hint="eastAsia" w:ascii="Times New Roman" w:hAnsi="Times New Roman" w:eastAsia="仿宋_GB2312" w:cs="Times New Roman"/>
                <w:kern w:val="0"/>
                <w:sz w:val="21"/>
                <w:szCs w:val="21"/>
                <w:lang w:val="en-US" w:eastAsia="zh-CN"/>
              </w:rPr>
            </w:pPr>
          </w:p>
        </w:tc>
      </w:tr>
      <w:tr w14:paraId="1F633988">
        <w:tblPrEx>
          <w:tblCellMar>
            <w:top w:w="0" w:type="dxa"/>
            <w:left w:w="108" w:type="dxa"/>
            <w:bottom w:w="0" w:type="dxa"/>
            <w:right w:w="108" w:type="dxa"/>
          </w:tblCellMar>
        </w:tblPrEx>
        <w:trPr>
          <w:trHeight w:val="303"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7EBC418">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2210201</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0663F3F0">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住房公积金</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1CA7BE01">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3.00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0E43F0B">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3.00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00F1DB3">
            <w:pPr>
              <w:widowControl/>
              <w:jc w:val="right"/>
              <w:rPr>
                <w:rFonts w:hint="eastAsia" w:ascii="Times New Roman" w:hAnsi="Times New Roman" w:eastAsia="仿宋_GB2312" w:cs="Times New Roman"/>
                <w:kern w:val="0"/>
                <w:sz w:val="21"/>
                <w:szCs w:val="21"/>
                <w:lang w:val="en-US" w:eastAsia="zh-CN"/>
              </w:rPr>
            </w:pPr>
          </w:p>
        </w:tc>
      </w:tr>
      <w:tr w14:paraId="7BB0EC1B">
        <w:tblPrEx>
          <w:tblCellMar>
            <w:top w:w="0" w:type="dxa"/>
            <w:left w:w="108" w:type="dxa"/>
            <w:bottom w:w="0" w:type="dxa"/>
            <w:right w:w="108" w:type="dxa"/>
          </w:tblCellMar>
        </w:tblPrEx>
        <w:trPr>
          <w:trHeight w:val="267"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39C98C7">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2080502</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613A249D">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事业单位离退休</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3349E2B4">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2.15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0CAE89F">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2.15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618A9D8">
            <w:pPr>
              <w:widowControl/>
              <w:jc w:val="right"/>
              <w:rPr>
                <w:rFonts w:hint="eastAsia" w:ascii="Times New Roman" w:hAnsi="Times New Roman" w:eastAsia="仿宋_GB2312" w:cs="Times New Roman"/>
                <w:kern w:val="0"/>
                <w:sz w:val="21"/>
                <w:szCs w:val="21"/>
                <w:lang w:val="en-US" w:eastAsia="zh-CN"/>
              </w:rPr>
            </w:pPr>
          </w:p>
        </w:tc>
      </w:tr>
      <w:tr w14:paraId="266BA1F0">
        <w:tblPrEx>
          <w:tblCellMar>
            <w:top w:w="0" w:type="dxa"/>
            <w:left w:w="108" w:type="dxa"/>
            <w:bottom w:w="0" w:type="dxa"/>
            <w:right w:w="108" w:type="dxa"/>
          </w:tblCellMar>
        </w:tblPrEx>
        <w:trPr>
          <w:trHeight w:val="331"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7C0A171">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2080505</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49A02CCF">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机关事业单位基本养老保险缴费支出</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6786CB03">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24.66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936B987">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24.66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C96CF0C">
            <w:pPr>
              <w:widowControl/>
              <w:jc w:val="right"/>
              <w:rPr>
                <w:rFonts w:hint="eastAsia" w:ascii="Times New Roman" w:hAnsi="Times New Roman" w:eastAsia="仿宋_GB2312" w:cs="Times New Roman"/>
                <w:kern w:val="0"/>
                <w:sz w:val="21"/>
                <w:szCs w:val="21"/>
                <w:lang w:val="en-US" w:eastAsia="zh-CN"/>
              </w:rPr>
            </w:pPr>
          </w:p>
        </w:tc>
      </w:tr>
      <w:tr w14:paraId="6D25B0D6">
        <w:tblPrEx>
          <w:tblCellMar>
            <w:top w:w="0" w:type="dxa"/>
            <w:left w:w="108" w:type="dxa"/>
            <w:bottom w:w="0" w:type="dxa"/>
            <w:right w:w="108" w:type="dxa"/>
          </w:tblCellMar>
        </w:tblPrEx>
        <w:trPr>
          <w:trHeight w:val="331"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A1B5128">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2080599</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546386A9">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其他行政事业单位养老支出</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0D87A334">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18.88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192885C">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18.88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DCA3C5D">
            <w:pPr>
              <w:widowControl/>
              <w:jc w:val="right"/>
              <w:rPr>
                <w:rFonts w:hint="eastAsia" w:ascii="Times New Roman" w:hAnsi="Times New Roman" w:eastAsia="仿宋_GB2312" w:cs="Times New Roman"/>
                <w:kern w:val="0"/>
                <w:sz w:val="21"/>
                <w:szCs w:val="21"/>
                <w:lang w:val="en-US" w:eastAsia="zh-CN"/>
              </w:rPr>
            </w:pPr>
          </w:p>
        </w:tc>
      </w:tr>
      <w:tr w14:paraId="24C95C17">
        <w:tblPrEx>
          <w:tblCellMar>
            <w:top w:w="0" w:type="dxa"/>
            <w:left w:w="108" w:type="dxa"/>
            <w:bottom w:w="0" w:type="dxa"/>
            <w:right w:w="108" w:type="dxa"/>
          </w:tblCellMar>
        </w:tblPrEx>
        <w:trPr>
          <w:trHeight w:val="313"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06C2EE6">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210</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38CA2163">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卫生健康支出</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2444FCC3">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9.77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0F53085">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9.77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D25A02E">
            <w:pPr>
              <w:widowControl/>
              <w:jc w:val="right"/>
              <w:rPr>
                <w:rFonts w:hint="eastAsia" w:ascii="Times New Roman" w:hAnsi="Times New Roman" w:eastAsia="仿宋_GB2312" w:cs="Times New Roman"/>
                <w:kern w:val="0"/>
                <w:sz w:val="21"/>
                <w:szCs w:val="21"/>
                <w:lang w:val="en-US" w:eastAsia="zh-CN"/>
              </w:rPr>
            </w:pPr>
          </w:p>
        </w:tc>
      </w:tr>
      <w:tr w14:paraId="5F7A1995">
        <w:tblPrEx>
          <w:tblCellMar>
            <w:top w:w="0" w:type="dxa"/>
            <w:left w:w="108" w:type="dxa"/>
            <w:bottom w:w="0" w:type="dxa"/>
            <w:right w:w="108" w:type="dxa"/>
          </w:tblCellMar>
        </w:tblPrEx>
        <w:trPr>
          <w:trHeight w:val="248"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C3D2202">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21011</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1B91E4E6">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行政事业单位医疗</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40FE7031">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9.77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BA22DF5">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9.77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72FBC7A">
            <w:pPr>
              <w:widowControl/>
              <w:jc w:val="right"/>
              <w:rPr>
                <w:rFonts w:hint="eastAsia" w:ascii="Times New Roman" w:hAnsi="Times New Roman" w:eastAsia="仿宋_GB2312" w:cs="Times New Roman"/>
                <w:kern w:val="0"/>
                <w:sz w:val="21"/>
                <w:szCs w:val="21"/>
                <w:lang w:val="en-US" w:eastAsia="zh-CN"/>
              </w:rPr>
            </w:pPr>
          </w:p>
        </w:tc>
      </w:tr>
      <w:tr w14:paraId="31204234">
        <w:tblPrEx>
          <w:tblCellMar>
            <w:top w:w="0" w:type="dxa"/>
            <w:left w:w="108" w:type="dxa"/>
            <w:bottom w:w="0" w:type="dxa"/>
            <w:right w:w="108" w:type="dxa"/>
          </w:tblCellMar>
        </w:tblPrEx>
        <w:trPr>
          <w:trHeight w:val="29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D6A3EF5">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2101101</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2C0C2921">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行政单位医疗</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392D796E">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9.77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21E1C4E">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9.77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3D3EE8B">
            <w:pPr>
              <w:widowControl/>
              <w:jc w:val="right"/>
              <w:rPr>
                <w:rFonts w:hint="eastAsia" w:ascii="Times New Roman" w:hAnsi="Times New Roman" w:eastAsia="仿宋_GB2312" w:cs="Times New Roman"/>
                <w:kern w:val="0"/>
                <w:sz w:val="21"/>
                <w:szCs w:val="21"/>
                <w:lang w:val="en-US" w:eastAsia="zh-CN"/>
              </w:rPr>
            </w:pPr>
          </w:p>
        </w:tc>
      </w:tr>
      <w:tr w14:paraId="24C2CB26">
        <w:tblPrEx>
          <w:tblCellMar>
            <w:top w:w="0" w:type="dxa"/>
            <w:left w:w="108" w:type="dxa"/>
            <w:bottom w:w="0" w:type="dxa"/>
            <w:right w:w="108" w:type="dxa"/>
          </w:tblCellMar>
        </w:tblPrEx>
        <w:trPr>
          <w:trHeight w:val="331"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6EECC5D">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221</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6D11A488">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住房保障支出</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2CDC79CD">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3.00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997B21B">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3.00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B46D81D">
            <w:pPr>
              <w:widowControl/>
              <w:jc w:val="right"/>
              <w:rPr>
                <w:rFonts w:hint="eastAsia" w:ascii="Times New Roman" w:hAnsi="Times New Roman" w:eastAsia="仿宋_GB2312" w:cs="Times New Roman"/>
                <w:kern w:val="0"/>
                <w:sz w:val="21"/>
                <w:szCs w:val="21"/>
                <w:lang w:val="en-US" w:eastAsia="zh-CN"/>
              </w:rPr>
            </w:pPr>
          </w:p>
        </w:tc>
      </w:tr>
      <w:tr w14:paraId="105C0CB4">
        <w:tblPrEx>
          <w:tblCellMar>
            <w:top w:w="0" w:type="dxa"/>
            <w:left w:w="108" w:type="dxa"/>
            <w:bottom w:w="0" w:type="dxa"/>
            <w:right w:w="108" w:type="dxa"/>
          </w:tblCellMar>
        </w:tblPrEx>
        <w:trPr>
          <w:trHeight w:val="276"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6EAFC96">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22102</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39778EA6">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住房改革支出</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3DFCBA33">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3.00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41B6EB2">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3.00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4A909E8">
            <w:pPr>
              <w:widowControl/>
              <w:jc w:val="right"/>
              <w:rPr>
                <w:rFonts w:hint="eastAsia" w:ascii="Times New Roman" w:hAnsi="Times New Roman" w:eastAsia="仿宋_GB2312" w:cs="Times New Roman"/>
                <w:kern w:val="0"/>
                <w:sz w:val="21"/>
                <w:szCs w:val="21"/>
                <w:lang w:val="en-US" w:eastAsia="zh-CN"/>
              </w:rPr>
            </w:pPr>
          </w:p>
        </w:tc>
      </w:tr>
      <w:tr w14:paraId="0A0C350D">
        <w:tblPrEx>
          <w:tblCellMar>
            <w:top w:w="0" w:type="dxa"/>
            <w:left w:w="108" w:type="dxa"/>
            <w:bottom w:w="0" w:type="dxa"/>
            <w:right w:w="108" w:type="dxa"/>
          </w:tblCellMar>
        </w:tblPrEx>
        <w:trPr>
          <w:trHeight w:val="332"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6BA6EE6">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2210201</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14:paraId="14DEA9F7">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住房公积金</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080AE6A3">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3.00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143BA64">
            <w:pPr>
              <w:widowControl/>
              <w:jc w:val="right"/>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 xml:space="preserve">3.00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ABC7350">
            <w:pPr>
              <w:widowControl/>
              <w:jc w:val="right"/>
              <w:rPr>
                <w:rFonts w:hint="eastAsia" w:ascii="Times New Roman" w:hAnsi="Times New Roman" w:eastAsia="仿宋_GB2312" w:cs="Times New Roman"/>
                <w:kern w:val="0"/>
                <w:sz w:val="21"/>
                <w:szCs w:val="21"/>
                <w:lang w:val="en-US" w:eastAsia="zh-CN"/>
              </w:rPr>
            </w:pPr>
          </w:p>
        </w:tc>
      </w:tr>
    </w:tbl>
    <w:p w14:paraId="39546D0B">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8C09006">
      <w:pPr>
        <w:widowControl/>
        <w:jc w:val="left"/>
        <w:rPr>
          <w:rFonts w:ascii="Times New Roman" w:hAnsi="Times New Roman" w:eastAsia="仿宋_GB2312" w:cs="Times New Roman"/>
          <w:bCs/>
          <w:kern w:val="0"/>
          <w:szCs w:val="21"/>
        </w:rPr>
      </w:pPr>
    </w:p>
    <w:p w14:paraId="28BAAB51">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602B9339">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3F002EAD">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怀化市科学技术协会</w:t>
      </w:r>
      <w:r>
        <w:rPr>
          <w:rFonts w:ascii="Times New Roman" w:hAnsi="Times New Roman" w:eastAsia="仿宋_GB2312" w:cs="Times New Roman"/>
          <w:color w:val="000000"/>
          <w:kern w:val="0"/>
          <w:szCs w:val="21"/>
        </w:rPr>
        <w:t xml:space="preserve">                                                                                                   公开06表</w:t>
      </w:r>
    </w:p>
    <w:p w14:paraId="76252890">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3"/>
        <w:tblW w:w="14627" w:type="dxa"/>
        <w:jc w:val="center"/>
        <w:tblLayout w:type="fixed"/>
        <w:tblCellMar>
          <w:top w:w="0" w:type="dxa"/>
          <w:left w:w="108" w:type="dxa"/>
          <w:bottom w:w="0" w:type="dxa"/>
          <w:right w:w="108" w:type="dxa"/>
        </w:tblCellMar>
      </w:tblPr>
      <w:tblGrid>
        <w:gridCol w:w="1081"/>
        <w:gridCol w:w="2798"/>
        <w:gridCol w:w="1018"/>
        <w:gridCol w:w="1116"/>
        <w:gridCol w:w="2018"/>
        <w:gridCol w:w="933"/>
        <w:gridCol w:w="1217"/>
        <w:gridCol w:w="3517"/>
        <w:gridCol w:w="929"/>
      </w:tblGrid>
      <w:tr w14:paraId="28B2D2A6">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742665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798" w:type="dxa"/>
            <w:tcBorders>
              <w:top w:val="single" w:color="auto" w:sz="4" w:space="0"/>
              <w:left w:val="nil"/>
              <w:bottom w:val="single" w:color="auto" w:sz="4" w:space="0"/>
              <w:right w:val="single" w:color="auto" w:sz="4" w:space="0"/>
            </w:tcBorders>
            <w:shd w:val="clear" w:color="auto" w:fill="auto"/>
            <w:vAlign w:val="center"/>
          </w:tcPr>
          <w:p w14:paraId="6AA70D7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018" w:type="dxa"/>
            <w:tcBorders>
              <w:top w:val="single" w:color="auto" w:sz="4" w:space="0"/>
              <w:left w:val="nil"/>
              <w:bottom w:val="single" w:color="auto" w:sz="4" w:space="0"/>
              <w:right w:val="single" w:color="auto" w:sz="4" w:space="0"/>
            </w:tcBorders>
            <w:shd w:val="clear" w:color="auto" w:fill="auto"/>
            <w:vAlign w:val="center"/>
          </w:tcPr>
          <w:p w14:paraId="1CB847C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48B75C8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78F023A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056816E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1B4F91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09C392D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55690E6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31593D91">
        <w:tblPrEx>
          <w:tblCellMar>
            <w:top w:w="0" w:type="dxa"/>
            <w:left w:w="108" w:type="dxa"/>
            <w:bottom w:w="0" w:type="dxa"/>
            <w:right w:w="108" w:type="dxa"/>
          </w:tblCellMar>
        </w:tblPrEx>
        <w:trPr>
          <w:trHeight w:val="282"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00EB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798" w:type="dxa"/>
            <w:tcBorders>
              <w:top w:val="nil"/>
              <w:left w:val="nil"/>
              <w:bottom w:val="single" w:color="auto" w:sz="4" w:space="0"/>
              <w:right w:val="single" w:color="auto" w:sz="4" w:space="0"/>
            </w:tcBorders>
            <w:shd w:val="clear" w:color="auto" w:fill="auto"/>
            <w:noWrap/>
            <w:vAlign w:val="center"/>
          </w:tcPr>
          <w:p w14:paraId="5613C2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018" w:type="dxa"/>
            <w:tcBorders>
              <w:top w:val="nil"/>
              <w:left w:val="nil"/>
              <w:bottom w:val="single" w:color="auto" w:sz="4" w:space="0"/>
              <w:right w:val="single" w:color="auto" w:sz="4" w:space="0"/>
            </w:tcBorders>
            <w:shd w:val="clear" w:color="auto" w:fill="auto"/>
            <w:noWrap/>
            <w:vAlign w:val="center"/>
          </w:tcPr>
          <w:p w14:paraId="490F94CB">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255.04</w:t>
            </w:r>
          </w:p>
        </w:tc>
        <w:tc>
          <w:tcPr>
            <w:tcW w:w="1116" w:type="dxa"/>
            <w:tcBorders>
              <w:top w:val="nil"/>
              <w:left w:val="nil"/>
              <w:bottom w:val="single" w:color="auto" w:sz="4" w:space="0"/>
              <w:right w:val="single" w:color="auto" w:sz="4" w:space="0"/>
            </w:tcBorders>
            <w:shd w:val="clear" w:color="auto" w:fill="auto"/>
            <w:noWrap/>
            <w:vAlign w:val="center"/>
          </w:tcPr>
          <w:p w14:paraId="581839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46D85D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411AAF3">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25.16</w:t>
            </w:r>
          </w:p>
        </w:tc>
        <w:tc>
          <w:tcPr>
            <w:tcW w:w="1217" w:type="dxa"/>
            <w:tcBorders>
              <w:top w:val="nil"/>
              <w:left w:val="nil"/>
              <w:bottom w:val="single" w:color="auto" w:sz="4" w:space="0"/>
              <w:right w:val="single" w:color="auto" w:sz="4" w:space="0"/>
            </w:tcBorders>
            <w:shd w:val="clear" w:color="auto" w:fill="auto"/>
            <w:noWrap/>
            <w:vAlign w:val="center"/>
          </w:tcPr>
          <w:p w14:paraId="66FF4A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638033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2E2F0C45">
            <w:pPr>
              <w:widowControl/>
              <w:ind w:firstLine="210" w:firstLineChars="100"/>
              <w:jc w:val="left"/>
              <w:rPr>
                <w:rFonts w:hint="eastAsia" w:ascii="Times New Roman" w:hAnsi="Times New Roman" w:eastAsia="仿宋_GB2312" w:cs="Times New Roman"/>
                <w:color w:val="000000"/>
                <w:kern w:val="0"/>
                <w:szCs w:val="20"/>
                <w:lang w:val="en-US" w:eastAsia="zh-CN"/>
              </w:rPr>
            </w:pPr>
          </w:p>
        </w:tc>
      </w:tr>
      <w:tr w14:paraId="479F7CD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E37A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798" w:type="dxa"/>
            <w:tcBorders>
              <w:top w:val="nil"/>
              <w:left w:val="nil"/>
              <w:bottom w:val="single" w:color="auto" w:sz="4" w:space="0"/>
              <w:right w:val="single" w:color="auto" w:sz="4" w:space="0"/>
            </w:tcBorders>
            <w:shd w:val="clear" w:color="auto" w:fill="auto"/>
            <w:noWrap/>
            <w:vAlign w:val="center"/>
          </w:tcPr>
          <w:p w14:paraId="4B5E47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018" w:type="dxa"/>
            <w:tcBorders>
              <w:top w:val="nil"/>
              <w:left w:val="nil"/>
              <w:bottom w:val="single" w:color="auto" w:sz="4" w:space="0"/>
              <w:right w:val="single" w:color="auto" w:sz="4" w:space="0"/>
            </w:tcBorders>
            <w:shd w:val="clear" w:color="auto" w:fill="auto"/>
            <w:noWrap/>
            <w:vAlign w:val="center"/>
          </w:tcPr>
          <w:p w14:paraId="543085C3">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90.45</w:t>
            </w:r>
          </w:p>
        </w:tc>
        <w:tc>
          <w:tcPr>
            <w:tcW w:w="1116" w:type="dxa"/>
            <w:tcBorders>
              <w:top w:val="nil"/>
              <w:left w:val="nil"/>
              <w:bottom w:val="single" w:color="auto" w:sz="4" w:space="0"/>
              <w:right w:val="single" w:color="auto" w:sz="4" w:space="0"/>
            </w:tcBorders>
            <w:shd w:val="clear" w:color="auto" w:fill="auto"/>
            <w:noWrap/>
            <w:vAlign w:val="center"/>
          </w:tcPr>
          <w:p w14:paraId="4F747C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7753A1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45018EE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0.30</w:t>
            </w:r>
          </w:p>
        </w:tc>
        <w:tc>
          <w:tcPr>
            <w:tcW w:w="1217" w:type="dxa"/>
            <w:tcBorders>
              <w:top w:val="nil"/>
              <w:left w:val="nil"/>
              <w:bottom w:val="single" w:color="auto" w:sz="4" w:space="0"/>
              <w:right w:val="single" w:color="auto" w:sz="4" w:space="0"/>
            </w:tcBorders>
            <w:shd w:val="clear" w:color="auto" w:fill="auto"/>
            <w:noWrap/>
            <w:vAlign w:val="center"/>
          </w:tcPr>
          <w:p w14:paraId="44200A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0FB645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3B27B243">
            <w:pPr>
              <w:widowControl/>
              <w:ind w:firstLine="210" w:firstLineChars="100"/>
              <w:jc w:val="left"/>
              <w:rPr>
                <w:rFonts w:hint="eastAsia" w:ascii="Times New Roman" w:hAnsi="Times New Roman" w:eastAsia="仿宋_GB2312" w:cs="Times New Roman"/>
                <w:color w:val="000000"/>
                <w:kern w:val="0"/>
                <w:szCs w:val="20"/>
                <w:lang w:val="en-US" w:eastAsia="zh-CN"/>
              </w:rPr>
            </w:pPr>
          </w:p>
        </w:tc>
      </w:tr>
      <w:tr w14:paraId="19A8B7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89FC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798" w:type="dxa"/>
            <w:tcBorders>
              <w:top w:val="nil"/>
              <w:left w:val="nil"/>
              <w:bottom w:val="single" w:color="auto" w:sz="4" w:space="0"/>
              <w:right w:val="single" w:color="auto" w:sz="4" w:space="0"/>
            </w:tcBorders>
            <w:shd w:val="clear" w:color="auto" w:fill="auto"/>
            <w:noWrap/>
            <w:vAlign w:val="center"/>
          </w:tcPr>
          <w:p w14:paraId="0255B6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018" w:type="dxa"/>
            <w:tcBorders>
              <w:top w:val="nil"/>
              <w:left w:val="nil"/>
              <w:bottom w:val="single" w:color="auto" w:sz="4" w:space="0"/>
              <w:right w:val="single" w:color="auto" w:sz="4" w:space="0"/>
            </w:tcBorders>
            <w:shd w:val="clear" w:color="auto" w:fill="auto"/>
            <w:noWrap/>
            <w:vAlign w:val="center"/>
          </w:tcPr>
          <w:p w14:paraId="74E1941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41.30</w:t>
            </w:r>
          </w:p>
        </w:tc>
        <w:tc>
          <w:tcPr>
            <w:tcW w:w="1116" w:type="dxa"/>
            <w:tcBorders>
              <w:top w:val="nil"/>
              <w:left w:val="nil"/>
              <w:bottom w:val="single" w:color="auto" w:sz="4" w:space="0"/>
              <w:right w:val="single" w:color="auto" w:sz="4" w:space="0"/>
            </w:tcBorders>
            <w:shd w:val="clear" w:color="auto" w:fill="auto"/>
            <w:noWrap/>
            <w:vAlign w:val="center"/>
          </w:tcPr>
          <w:p w14:paraId="745128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022978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6C8A2654">
            <w:pPr>
              <w:widowControl/>
              <w:jc w:val="left"/>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13AB51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208B8E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62621090">
            <w:pPr>
              <w:jc w:val="center"/>
              <w:rPr>
                <w:rFonts w:hint="eastAsia" w:ascii="Times New Roman" w:hAnsi="Times New Roman" w:eastAsia="仿宋_GB2312" w:cs="Times New Roman"/>
                <w:color w:val="000000"/>
                <w:kern w:val="0"/>
                <w:sz w:val="21"/>
                <w:szCs w:val="20"/>
                <w:lang w:val="en-US" w:eastAsia="zh-CN" w:bidi="ar-SA"/>
              </w:rPr>
            </w:pPr>
          </w:p>
        </w:tc>
      </w:tr>
      <w:tr w14:paraId="20A760D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200EB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798" w:type="dxa"/>
            <w:tcBorders>
              <w:top w:val="nil"/>
              <w:left w:val="nil"/>
              <w:bottom w:val="single" w:color="auto" w:sz="4" w:space="0"/>
              <w:right w:val="single" w:color="auto" w:sz="4" w:space="0"/>
            </w:tcBorders>
            <w:shd w:val="clear" w:color="auto" w:fill="auto"/>
            <w:noWrap/>
            <w:vAlign w:val="center"/>
          </w:tcPr>
          <w:p w14:paraId="15DDF9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018" w:type="dxa"/>
            <w:tcBorders>
              <w:top w:val="nil"/>
              <w:left w:val="nil"/>
              <w:bottom w:val="single" w:color="auto" w:sz="4" w:space="0"/>
              <w:right w:val="single" w:color="auto" w:sz="4" w:space="0"/>
            </w:tcBorders>
            <w:shd w:val="clear" w:color="auto" w:fill="auto"/>
            <w:noWrap/>
            <w:vAlign w:val="center"/>
          </w:tcPr>
          <w:p w14:paraId="07AB95D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61.08</w:t>
            </w:r>
          </w:p>
        </w:tc>
        <w:tc>
          <w:tcPr>
            <w:tcW w:w="1116" w:type="dxa"/>
            <w:tcBorders>
              <w:top w:val="nil"/>
              <w:left w:val="nil"/>
              <w:bottom w:val="single" w:color="auto" w:sz="4" w:space="0"/>
              <w:right w:val="single" w:color="auto" w:sz="4" w:space="0"/>
            </w:tcBorders>
            <w:shd w:val="clear" w:color="auto" w:fill="auto"/>
            <w:noWrap/>
            <w:vAlign w:val="center"/>
          </w:tcPr>
          <w:p w14:paraId="5B9FB4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1611F2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6A7FE755">
            <w:pPr>
              <w:widowControl/>
              <w:jc w:val="left"/>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00B302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1F1D17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050CBB0E">
            <w:pPr>
              <w:jc w:val="center"/>
              <w:rPr>
                <w:rFonts w:hint="eastAsia" w:ascii="Times New Roman" w:hAnsi="Times New Roman" w:eastAsia="仿宋_GB2312" w:cs="Times New Roman"/>
                <w:color w:val="000000"/>
                <w:kern w:val="0"/>
                <w:sz w:val="21"/>
                <w:szCs w:val="20"/>
                <w:lang w:val="en-US" w:eastAsia="zh-CN" w:bidi="ar-SA"/>
              </w:rPr>
            </w:pPr>
          </w:p>
        </w:tc>
      </w:tr>
      <w:tr w14:paraId="18AA922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041E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798" w:type="dxa"/>
            <w:tcBorders>
              <w:top w:val="nil"/>
              <w:left w:val="nil"/>
              <w:bottom w:val="single" w:color="auto" w:sz="4" w:space="0"/>
              <w:right w:val="single" w:color="auto" w:sz="4" w:space="0"/>
            </w:tcBorders>
            <w:shd w:val="clear" w:color="auto" w:fill="auto"/>
            <w:noWrap/>
            <w:vAlign w:val="center"/>
          </w:tcPr>
          <w:p w14:paraId="788DED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018" w:type="dxa"/>
            <w:tcBorders>
              <w:top w:val="nil"/>
              <w:left w:val="nil"/>
              <w:bottom w:val="single" w:color="auto" w:sz="4" w:space="0"/>
              <w:right w:val="single" w:color="auto" w:sz="4" w:space="0"/>
            </w:tcBorders>
            <w:shd w:val="clear" w:color="auto" w:fill="auto"/>
            <w:noWrap/>
            <w:vAlign w:val="center"/>
          </w:tcPr>
          <w:p w14:paraId="01FE2C8A">
            <w:pPr>
              <w:widowControl/>
              <w:jc w:val="left"/>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5DD3E9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70B143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6F0FD56A">
            <w:pPr>
              <w:widowControl/>
              <w:jc w:val="left"/>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0187E3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289A2F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2D32772A">
            <w:pPr>
              <w:jc w:val="center"/>
              <w:rPr>
                <w:rFonts w:hint="eastAsia" w:ascii="Times New Roman" w:hAnsi="Times New Roman" w:eastAsia="仿宋_GB2312" w:cs="Times New Roman"/>
                <w:color w:val="000000"/>
                <w:kern w:val="0"/>
                <w:sz w:val="21"/>
                <w:szCs w:val="20"/>
                <w:lang w:val="en-US" w:eastAsia="zh-CN" w:bidi="ar-SA"/>
              </w:rPr>
            </w:pPr>
          </w:p>
        </w:tc>
      </w:tr>
      <w:tr w14:paraId="0C3301E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839E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798" w:type="dxa"/>
            <w:tcBorders>
              <w:top w:val="nil"/>
              <w:left w:val="nil"/>
              <w:bottom w:val="single" w:color="auto" w:sz="4" w:space="0"/>
              <w:right w:val="single" w:color="auto" w:sz="4" w:space="0"/>
            </w:tcBorders>
            <w:shd w:val="clear" w:color="auto" w:fill="auto"/>
            <w:noWrap/>
            <w:vAlign w:val="center"/>
          </w:tcPr>
          <w:p w14:paraId="0B9424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018" w:type="dxa"/>
            <w:tcBorders>
              <w:top w:val="nil"/>
              <w:left w:val="nil"/>
              <w:bottom w:val="single" w:color="auto" w:sz="4" w:space="0"/>
              <w:right w:val="single" w:color="auto" w:sz="4" w:space="0"/>
            </w:tcBorders>
            <w:shd w:val="clear" w:color="auto" w:fill="auto"/>
            <w:noWrap/>
            <w:vAlign w:val="center"/>
          </w:tcPr>
          <w:p w14:paraId="17074443">
            <w:pPr>
              <w:widowControl/>
              <w:jc w:val="left"/>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7E0DD0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33C2E8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6E218FF3">
            <w:pPr>
              <w:widowControl/>
              <w:jc w:val="left"/>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7B80DF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663721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25B27077">
            <w:pPr>
              <w:jc w:val="center"/>
              <w:rPr>
                <w:rFonts w:hint="eastAsia" w:ascii="Times New Roman" w:hAnsi="Times New Roman" w:eastAsia="仿宋_GB2312" w:cs="Times New Roman"/>
                <w:color w:val="000000"/>
                <w:kern w:val="0"/>
                <w:sz w:val="21"/>
                <w:szCs w:val="20"/>
                <w:lang w:val="en-US" w:eastAsia="zh-CN" w:bidi="ar-SA"/>
              </w:rPr>
            </w:pPr>
          </w:p>
        </w:tc>
      </w:tr>
      <w:tr w14:paraId="4D80178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1B49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798" w:type="dxa"/>
            <w:tcBorders>
              <w:top w:val="nil"/>
              <w:left w:val="nil"/>
              <w:bottom w:val="single" w:color="auto" w:sz="4" w:space="0"/>
              <w:right w:val="single" w:color="auto" w:sz="4" w:space="0"/>
            </w:tcBorders>
            <w:shd w:val="clear" w:color="auto" w:fill="auto"/>
            <w:noWrap/>
            <w:vAlign w:val="center"/>
          </w:tcPr>
          <w:p w14:paraId="3B9D9A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018" w:type="dxa"/>
            <w:tcBorders>
              <w:top w:val="nil"/>
              <w:left w:val="nil"/>
              <w:bottom w:val="single" w:color="auto" w:sz="4" w:space="0"/>
              <w:right w:val="single" w:color="auto" w:sz="4" w:space="0"/>
            </w:tcBorders>
            <w:shd w:val="clear" w:color="auto" w:fill="auto"/>
            <w:noWrap/>
            <w:vAlign w:val="center"/>
          </w:tcPr>
          <w:p w14:paraId="325BCBEF">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24.74</w:t>
            </w:r>
          </w:p>
        </w:tc>
        <w:tc>
          <w:tcPr>
            <w:tcW w:w="1116" w:type="dxa"/>
            <w:tcBorders>
              <w:top w:val="nil"/>
              <w:left w:val="nil"/>
              <w:bottom w:val="single" w:color="auto" w:sz="4" w:space="0"/>
              <w:right w:val="single" w:color="auto" w:sz="4" w:space="0"/>
            </w:tcBorders>
            <w:shd w:val="clear" w:color="auto" w:fill="auto"/>
            <w:noWrap/>
            <w:vAlign w:val="center"/>
          </w:tcPr>
          <w:p w14:paraId="159157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7CF802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1CCF32AB">
            <w:pPr>
              <w:widowControl/>
              <w:jc w:val="left"/>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22E97E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58C8AF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22C91195">
            <w:pPr>
              <w:widowControl/>
              <w:ind w:firstLine="210" w:firstLineChars="100"/>
              <w:jc w:val="left"/>
              <w:rPr>
                <w:rFonts w:hint="eastAsia" w:ascii="Times New Roman" w:hAnsi="Times New Roman" w:eastAsia="仿宋_GB2312" w:cs="Times New Roman"/>
                <w:color w:val="000000"/>
                <w:kern w:val="0"/>
                <w:sz w:val="21"/>
                <w:szCs w:val="20"/>
                <w:lang w:val="en-US" w:eastAsia="zh-CN" w:bidi="ar-SA"/>
              </w:rPr>
            </w:pPr>
          </w:p>
        </w:tc>
      </w:tr>
      <w:tr w14:paraId="08090C2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215C6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798" w:type="dxa"/>
            <w:tcBorders>
              <w:top w:val="nil"/>
              <w:left w:val="nil"/>
              <w:bottom w:val="single" w:color="auto" w:sz="4" w:space="0"/>
              <w:right w:val="single" w:color="auto" w:sz="4" w:space="0"/>
            </w:tcBorders>
            <w:shd w:val="clear" w:color="auto" w:fill="auto"/>
            <w:noWrap/>
            <w:vAlign w:val="center"/>
          </w:tcPr>
          <w:p w14:paraId="4DCAA5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018" w:type="dxa"/>
            <w:tcBorders>
              <w:top w:val="nil"/>
              <w:left w:val="nil"/>
              <w:bottom w:val="single" w:color="auto" w:sz="4" w:space="0"/>
              <w:right w:val="single" w:color="auto" w:sz="4" w:space="0"/>
            </w:tcBorders>
            <w:shd w:val="clear" w:color="auto" w:fill="auto"/>
            <w:noWrap/>
            <w:vAlign w:val="center"/>
          </w:tcPr>
          <w:p w14:paraId="401FCB6A">
            <w:pPr>
              <w:widowControl/>
              <w:jc w:val="left"/>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55C01F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1C0D61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7C16A02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0.24</w:t>
            </w:r>
          </w:p>
        </w:tc>
        <w:tc>
          <w:tcPr>
            <w:tcW w:w="1217" w:type="dxa"/>
            <w:tcBorders>
              <w:top w:val="nil"/>
              <w:left w:val="nil"/>
              <w:bottom w:val="single" w:color="auto" w:sz="4" w:space="0"/>
              <w:right w:val="single" w:color="auto" w:sz="4" w:space="0"/>
            </w:tcBorders>
            <w:shd w:val="clear" w:color="auto" w:fill="auto"/>
            <w:noWrap/>
            <w:vAlign w:val="center"/>
          </w:tcPr>
          <w:p w14:paraId="4877DB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677AF2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11F2299F">
            <w:pPr>
              <w:jc w:val="center"/>
              <w:rPr>
                <w:rFonts w:hint="eastAsia" w:ascii="Times New Roman" w:hAnsi="Times New Roman" w:eastAsia="仿宋_GB2312" w:cs="Times New Roman"/>
                <w:color w:val="000000"/>
                <w:kern w:val="0"/>
                <w:sz w:val="21"/>
                <w:szCs w:val="20"/>
                <w:lang w:val="en-US" w:eastAsia="zh-CN" w:bidi="ar-SA"/>
              </w:rPr>
            </w:pPr>
          </w:p>
        </w:tc>
      </w:tr>
      <w:tr w14:paraId="150224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3B87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798" w:type="dxa"/>
            <w:tcBorders>
              <w:top w:val="nil"/>
              <w:left w:val="nil"/>
              <w:bottom w:val="single" w:color="auto" w:sz="4" w:space="0"/>
              <w:right w:val="single" w:color="auto" w:sz="4" w:space="0"/>
            </w:tcBorders>
            <w:shd w:val="clear" w:color="auto" w:fill="auto"/>
            <w:noWrap/>
            <w:vAlign w:val="center"/>
          </w:tcPr>
          <w:p w14:paraId="0ABE6A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018" w:type="dxa"/>
            <w:tcBorders>
              <w:top w:val="nil"/>
              <w:left w:val="nil"/>
              <w:bottom w:val="single" w:color="auto" w:sz="4" w:space="0"/>
              <w:right w:val="single" w:color="auto" w:sz="4" w:space="0"/>
            </w:tcBorders>
            <w:shd w:val="clear" w:color="auto" w:fill="auto"/>
            <w:noWrap/>
            <w:vAlign w:val="center"/>
          </w:tcPr>
          <w:p w14:paraId="6CB5977D">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11.19</w:t>
            </w:r>
          </w:p>
        </w:tc>
        <w:tc>
          <w:tcPr>
            <w:tcW w:w="1116" w:type="dxa"/>
            <w:tcBorders>
              <w:top w:val="nil"/>
              <w:left w:val="nil"/>
              <w:bottom w:val="single" w:color="auto" w:sz="4" w:space="0"/>
              <w:right w:val="single" w:color="auto" w:sz="4" w:space="0"/>
            </w:tcBorders>
            <w:shd w:val="clear" w:color="auto" w:fill="auto"/>
            <w:noWrap/>
            <w:vAlign w:val="center"/>
          </w:tcPr>
          <w:p w14:paraId="1452F0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066856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1D609860">
            <w:pPr>
              <w:widowControl/>
              <w:jc w:val="left"/>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03803B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3FE5C4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8143ED2">
            <w:pPr>
              <w:jc w:val="center"/>
              <w:rPr>
                <w:rFonts w:hint="eastAsia" w:ascii="Times New Roman" w:hAnsi="Times New Roman" w:eastAsia="仿宋_GB2312" w:cs="Times New Roman"/>
                <w:color w:val="000000"/>
                <w:kern w:val="0"/>
                <w:sz w:val="21"/>
                <w:szCs w:val="20"/>
                <w:lang w:val="en-US" w:eastAsia="zh-CN" w:bidi="ar-SA"/>
              </w:rPr>
            </w:pPr>
          </w:p>
        </w:tc>
      </w:tr>
      <w:tr w14:paraId="35A69C4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007A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798" w:type="dxa"/>
            <w:tcBorders>
              <w:top w:val="nil"/>
              <w:left w:val="nil"/>
              <w:bottom w:val="single" w:color="auto" w:sz="4" w:space="0"/>
              <w:right w:val="single" w:color="auto" w:sz="4" w:space="0"/>
            </w:tcBorders>
            <w:shd w:val="clear" w:color="auto" w:fill="auto"/>
            <w:noWrap/>
            <w:vAlign w:val="center"/>
          </w:tcPr>
          <w:p w14:paraId="180587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018" w:type="dxa"/>
            <w:tcBorders>
              <w:top w:val="nil"/>
              <w:left w:val="nil"/>
              <w:bottom w:val="single" w:color="auto" w:sz="4" w:space="0"/>
              <w:right w:val="single" w:color="auto" w:sz="4" w:space="0"/>
            </w:tcBorders>
            <w:shd w:val="clear" w:color="auto" w:fill="auto"/>
            <w:noWrap/>
            <w:vAlign w:val="center"/>
          </w:tcPr>
          <w:p w14:paraId="4EF686FE">
            <w:pPr>
              <w:widowControl/>
              <w:jc w:val="left"/>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62CE9B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7EE003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764EE6C2">
            <w:pPr>
              <w:widowControl/>
              <w:jc w:val="left"/>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614633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04DE7D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64E774F3">
            <w:pPr>
              <w:widowControl/>
              <w:ind w:firstLine="210" w:firstLineChars="100"/>
              <w:jc w:val="left"/>
              <w:rPr>
                <w:rFonts w:hint="eastAsia" w:ascii="Times New Roman" w:hAnsi="Times New Roman" w:eastAsia="仿宋_GB2312" w:cs="Times New Roman"/>
                <w:color w:val="000000"/>
                <w:kern w:val="0"/>
                <w:sz w:val="21"/>
                <w:szCs w:val="20"/>
                <w:lang w:val="en-US" w:eastAsia="zh-CN" w:bidi="ar-SA"/>
              </w:rPr>
            </w:pPr>
          </w:p>
        </w:tc>
      </w:tr>
      <w:tr w14:paraId="3396546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3A8F9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798" w:type="dxa"/>
            <w:tcBorders>
              <w:top w:val="nil"/>
              <w:left w:val="nil"/>
              <w:bottom w:val="single" w:color="auto" w:sz="4" w:space="0"/>
              <w:right w:val="single" w:color="auto" w:sz="4" w:space="0"/>
            </w:tcBorders>
            <w:shd w:val="clear" w:color="auto" w:fill="auto"/>
            <w:noWrap/>
            <w:vAlign w:val="center"/>
          </w:tcPr>
          <w:p w14:paraId="5E55B8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018" w:type="dxa"/>
            <w:tcBorders>
              <w:top w:val="nil"/>
              <w:left w:val="nil"/>
              <w:bottom w:val="single" w:color="auto" w:sz="4" w:space="0"/>
              <w:right w:val="single" w:color="auto" w:sz="4" w:space="0"/>
            </w:tcBorders>
            <w:shd w:val="clear" w:color="auto" w:fill="auto"/>
            <w:noWrap/>
            <w:vAlign w:val="center"/>
          </w:tcPr>
          <w:p w14:paraId="5A84CD7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1.56</w:t>
            </w:r>
          </w:p>
        </w:tc>
        <w:tc>
          <w:tcPr>
            <w:tcW w:w="1116" w:type="dxa"/>
            <w:tcBorders>
              <w:top w:val="nil"/>
              <w:left w:val="nil"/>
              <w:bottom w:val="single" w:color="auto" w:sz="4" w:space="0"/>
              <w:right w:val="single" w:color="auto" w:sz="4" w:space="0"/>
            </w:tcBorders>
            <w:shd w:val="clear" w:color="auto" w:fill="auto"/>
            <w:noWrap/>
            <w:vAlign w:val="center"/>
          </w:tcPr>
          <w:p w14:paraId="27906D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7ACAE6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1F448D29">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33CAF3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41A4D5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09E70577">
            <w:pPr>
              <w:jc w:val="center"/>
              <w:rPr>
                <w:rFonts w:hint="eastAsia" w:ascii="Times New Roman" w:hAnsi="Times New Roman" w:eastAsia="仿宋_GB2312" w:cs="Times New Roman"/>
                <w:color w:val="000000"/>
                <w:kern w:val="0"/>
                <w:sz w:val="21"/>
                <w:szCs w:val="20"/>
                <w:lang w:val="en-US" w:eastAsia="zh-CN" w:bidi="ar-SA"/>
              </w:rPr>
            </w:pPr>
          </w:p>
        </w:tc>
      </w:tr>
      <w:tr w14:paraId="71A3A5D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D8521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798" w:type="dxa"/>
            <w:tcBorders>
              <w:top w:val="nil"/>
              <w:left w:val="nil"/>
              <w:bottom w:val="single" w:color="auto" w:sz="4" w:space="0"/>
              <w:right w:val="single" w:color="auto" w:sz="4" w:space="0"/>
            </w:tcBorders>
            <w:shd w:val="clear" w:color="auto" w:fill="auto"/>
            <w:noWrap/>
            <w:vAlign w:val="center"/>
          </w:tcPr>
          <w:p w14:paraId="04201A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018" w:type="dxa"/>
            <w:tcBorders>
              <w:top w:val="nil"/>
              <w:left w:val="nil"/>
              <w:bottom w:val="single" w:color="auto" w:sz="4" w:space="0"/>
              <w:right w:val="single" w:color="auto" w:sz="4" w:space="0"/>
            </w:tcBorders>
            <w:shd w:val="clear" w:color="auto" w:fill="auto"/>
            <w:noWrap/>
            <w:vAlign w:val="center"/>
          </w:tcPr>
          <w:p w14:paraId="651ECDD3">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21.67</w:t>
            </w:r>
          </w:p>
        </w:tc>
        <w:tc>
          <w:tcPr>
            <w:tcW w:w="1116" w:type="dxa"/>
            <w:tcBorders>
              <w:top w:val="nil"/>
              <w:left w:val="nil"/>
              <w:bottom w:val="single" w:color="auto" w:sz="4" w:space="0"/>
              <w:right w:val="single" w:color="auto" w:sz="4" w:space="0"/>
            </w:tcBorders>
            <w:shd w:val="clear" w:color="auto" w:fill="auto"/>
            <w:noWrap/>
            <w:vAlign w:val="center"/>
          </w:tcPr>
          <w:p w14:paraId="1621A2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1DCC27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7FF7ECF5">
            <w:pPr>
              <w:widowControl/>
              <w:jc w:val="left"/>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18C157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3B6869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14C1AD27">
            <w:pPr>
              <w:widowControl/>
              <w:ind w:firstLine="210" w:firstLineChars="100"/>
              <w:jc w:val="left"/>
              <w:rPr>
                <w:rFonts w:hint="eastAsia" w:ascii="Times New Roman" w:hAnsi="Times New Roman" w:eastAsia="仿宋_GB2312" w:cs="Times New Roman"/>
                <w:color w:val="000000"/>
                <w:kern w:val="0"/>
                <w:sz w:val="21"/>
                <w:szCs w:val="20"/>
                <w:lang w:val="en-US" w:eastAsia="zh-CN" w:bidi="ar-SA"/>
              </w:rPr>
            </w:pPr>
          </w:p>
        </w:tc>
      </w:tr>
      <w:tr w14:paraId="3043ED1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122B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798" w:type="dxa"/>
            <w:tcBorders>
              <w:top w:val="nil"/>
              <w:left w:val="nil"/>
              <w:bottom w:val="single" w:color="auto" w:sz="4" w:space="0"/>
              <w:right w:val="single" w:color="auto" w:sz="4" w:space="0"/>
            </w:tcBorders>
            <w:shd w:val="clear" w:color="auto" w:fill="auto"/>
            <w:noWrap/>
            <w:vAlign w:val="center"/>
          </w:tcPr>
          <w:p w14:paraId="6C382E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018" w:type="dxa"/>
            <w:tcBorders>
              <w:top w:val="nil"/>
              <w:left w:val="nil"/>
              <w:bottom w:val="single" w:color="auto" w:sz="4" w:space="0"/>
              <w:right w:val="single" w:color="auto" w:sz="4" w:space="0"/>
            </w:tcBorders>
            <w:shd w:val="clear" w:color="auto" w:fill="auto"/>
            <w:noWrap/>
            <w:vAlign w:val="center"/>
          </w:tcPr>
          <w:p w14:paraId="40DF17D6">
            <w:pPr>
              <w:widowControl/>
              <w:jc w:val="left"/>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44106B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29B903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3F7DE5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0.25</w:t>
            </w:r>
          </w:p>
        </w:tc>
        <w:tc>
          <w:tcPr>
            <w:tcW w:w="1217" w:type="dxa"/>
            <w:tcBorders>
              <w:top w:val="nil"/>
              <w:left w:val="nil"/>
              <w:bottom w:val="single" w:color="auto" w:sz="4" w:space="0"/>
              <w:right w:val="single" w:color="auto" w:sz="4" w:space="0"/>
            </w:tcBorders>
            <w:shd w:val="clear" w:color="auto" w:fill="auto"/>
            <w:noWrap/>
            <w:vAlign w:val="center"/>
          </w:tcPr>
          <w:p w14:paraId="4CB826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1634D3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28777B31">
            <w:pPr>
              <w:jc w:val="center"/>
              <w:rPr>
                <w:rFonts w:hint="eastAsia" w:ascii="Times New Roman" w:hAnsi="Times New Roman" w:eastAsia="仿宋_GB2312" w:cs="Times New Roman"/>
                <w:color w:val="000000"/>
                <w:kern w:val="0"/>
                <w:sz w:val="21"/>
                <w:szCs w:val="20"/>
                <w:lang w:val="en-US" w:eastAsia="zh-CN" w:bidi="ar-SA"/>
              </w:rPr>
            </w:pPr>
          </w:p>
        </w:tc>
      </w:tr>
      <w:tr w14:paraId="1055E51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29591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798" w:type="dxa"/>
            <w:tcBorders>
              <w:top w:val="nil"/>
              <w:left w:val="nil"/>
              <w:bottom w:val="single" w:color="auto" w:sz="4" w:space="0"/>
              <w:right w:val="single" w:color="auto" w:sz="4" w:space="0"/>
            </w:tcBorders>
            <w:shd w:val="clear" w:color="auto" w:fill="auto"/>
            <w:noWrap/>
            <w:vAlign w:val="center"/>
          </w:tcPr>
          <w:p w14:paraId="6604F6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018" w:type="dxa"/>
            <w:tcBorders>
              <w:top w:val="nil"/>
              <w:left w:val="nil"/>
              <w:bottom w:val="single" w:color="auto" w:sz="4" w:space="0"/>
              <w:right w:val="single" w:color="auto" w:sz="4" w:space="0"/>
            </w:tcBorders>
            <w:shd w:val="clear" w:color="auto" w:fill="auto"/>
            <w:noWrap/>
            <w:vAlign w:val="center"/>
          </w:tcPr>
          <w:p w14:paraId="6CAE27D9">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3.06</w:t>
            </w:r>
          </w:p>
        </w:tc>
        <w:tc>
          <w:tcPr>
            <w:tcW w:w="1116" w:type="dxa"/>
            <w:tcBorders>
              <w:top w:val="nil"/>
              <w:left w:val="nil"/>
              <w:bottom w:val="single" w:color="auto" w:sz="4" w:space="0"/>
              <w:right w:val="single" w:color="auto" w:sz="4" w:space="0"/>
            </w:tcBorders>
            <w:shd w:val="clear" w:color="auto" w:fill="auto"/>
            <w:noWrap/>
            <w:vAlign w:val="center"/>
          </w:tcPr>
          <w:p w14:paraId="29ABAA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1026BD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230F55CB">
            <w:pPr>
              <w:widowControl/>
              <w:jc w:val="left"/>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082E8B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17BE61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52CD9BE2">
            <w:pPr>
              <w:jc w:val="center"/>
              <w:rPr>
                <w:rFonts w:hint="eastAsia" w:ascii="Times New Roman" w:hAnsi="Times New Roman" w:eastAsia="仿宋_GB2312" w:cs="Times New Roman"/>
                <w:color w:val="000000"/>
                <w:kern w:val="0"/>
                <w:sz w:val="21"/>
                <w:szCs w:val="20"/>
                <w:lang w:val="en-US" w:eastAsia="zh-CN" w:bidi="ar-SA"/>
              </w:rPr>
            </w:pPr>
          </w:p>
        </w:tc>
      </w:tr>
      <w:tr w14:paraId="29A3579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04065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798" w:type="dxa"/>
            <w:tcBorders>
              <w:top w:val="nil"/>
              <w:left w:val="nil"/>
              <w:bottom w:val="single" w:color="auto" w:sz="4" w:space="0"/>
              <w:right w:val="single" w:color="auto" w:sz="4" w:space="0"/>
            </w:tcBorders>
            <w:shd w:val="clear" w:color="auto" w:fill="auto"/>
            <w:noWrap/>
            <w:vAlign w:val="center"/>
          </w:tcPr>
          <w:p w14:paraId="11F25CE4">
            <w:pPr>
              <w:widowControl/>
              <w:ind w:firstLine="210" w:firstLineChars="100"/>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018" w:type="dxa"/>
            <w:tcBorders>
              <w:top w:val="nil"/>
              <w:left w:val="nil"/>
              <w:bottom w:val="single" w:color="auto" w:sz="4" w:space="0"/>
              <w:right w:val="single" w:color="auto" w:sz="4" w:space="0"/>
            </w:tcBorders>
            <w:shd w:val="clear" w:color="auto" w:fill="auto"/>
            <w:noWrap/>
            <w:vAlign w:val="center"/>
          </w:tcPr>
          <w:p w14:paraId="7620A39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20.23</w:t>
            </w:r>
          </w:p>
        </w:tc>
        <w:tc>
          <w:tcPr>
            <w:tcW w:w="1116" w:type="dxa"/>
            <w:tcBorders>
              <w:top w:val="nil"/>
              <w:left w:val="nil"/>
              <w:bottom w:val="single" w:color="auto" w:sz="4" w:space="0"/>
              <w:right w:val="single" w:color="auto" w:sz="4" w:space="0"/>
            </w:tcBorders>
            <w:shd w:val="clear" w:color="auto" w:fill="auto"/>
            <w:noWrap/>
            <w:vAlign w:val="center"/>
          </w:tcPr>
          <w:p w14:paraId="1D45E4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589AC6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473C3B08">
            <w:pPr>
              <w:widowControl/>
              <w:jc w:val="left"/>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0799FB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78A33B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6C4A3BEF">
            <w:pPr>
              <w:widowControl/>
              <w:ind w:firstLine="210" w:firstLineChars="100"/>
              <w:jc w:val="left"/>
              <w:rPr>
                <w:rFonts w:hint="eastAsia" w:ascii="Times New Roman" w:hAnsi="Times New Roman" w:eastAsia="仿宋_GB2312" w:cs="Times New Roman"/>
                <w:color w:val="000000"/>
                <w:kern w:val="0"/>
                <w:sz w:val="21"/>
                <w:szCs w:val="20"/>
                <w:lang w:val="en-US" w:eastAsia="zh-CN" w:bidi="ar-SA"/>
              </w:rPr>
            </w:pPr>
          </w:p>
        </w:tc>
      </w:tr>
      <w:tr w14:paraId="342D03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4D85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798" w:type="dxa"/>
            <w:tcBorders>
              <w:top w:val="nil"/>
              <w:left w:val="nil"/>
              <w:bottom w:val="single" w:color="auto" w:sz="4" w:space="0"/>
              <w:right w:val="single" w:color="auto" w:sz="4" w:space="0"/>
            </w:tcBorders>
            <w:shd w:val="clear" w:color="auto" w:fill="auto"/>
            <w:noWrap/>
            <w:vAlign w:val="center"/>
          </w:tcPr>
          <w:p w14:paraId="0B1D14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018" w:type="dxa"/>
            <w:tcBorders>
              <w:top w:val="nil"/>
              <w:left w:val="nil"/>
              <w:bottom w:val="single" w:color="auto" w:sz="4" w:space="0"/>
              <w:right w:val="single" w:color="auto" w:sz="4" w:space="0"/>
            </w:tcBorders>
            <w:shd w:val="clear" w:color="auto" w:fill="auto"/>
            <w:noWrap/>
            <w:vAlign w:val="center"/>
          </w:tcPr>
          <w:p w14:paraId="28BBDE2E">
            <w:pPr>
              <w:widowControl/>
              <w:jc w:val="left"/>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3B19A5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2AEA54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45A1180D">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0.07</w:t>
            </w:r>
          </w:p>
        </w:tc>
        <w:tc>
          <w:tcPr>
            <w:tcW w:w="1217" w:type="dxa"/>
            <w:tcBorders>
              <w:top w:val="nil"/>
              <w:left w:val="nil"/>
              <w:bottom w:val="single" w:color="auto" w:sz="4" w:space="0"/>
              <w:right w:val="single" w:color="auto" w:sz="4" w:space="0"/>
            </w:tcBorders>
            <w:shd w:val="clear" w:color="auto" w:fill="auto"/>
            <w:noWrap/>
            <w:vAlign w:val="center"/>
          </w:tcPr>
          <w:p w14:paraId="68F853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3BE38D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0F21F72E">
            <w:pPr>
              <w:widowControl/>
              <w:ind w:firstLine="210" w:firstLineChars="100"/>
              <w:jc w:val="left"/>
              <w:rPr>
                <w:rFonts w:hint="eastAsia" w:ascii="Times New Roman" w:hAnsi="Times New Roman" w:eastAsia="仿宋_GB2312" w:cs="Times New Roman"/>
                <w:color w:val="000000"/>
                <w:kern w:val="0"/>
                <w:sz w:val="21"/>
                <w:szCs w:val="20"/>
                <w:lang w:val="en-US" w:eastAsia="zh-CN" w:bidi="ar-SA"/>
              </w:rPr>
            </w:pPr>
          </w:p>
        </w:tc>
      </w:tr>
      <w:tr w14:paraId="270B261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61F7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798" w:type="dxa"/>
            <w:tcBorders>
              <w:top w:val="nil"/>
              <w:left w:val="nil"/>
              <w:bottom w:val="single" w:color="auto" w:sz="4" w:space="0"/>
              <w:right w:val="single" w:color="auto" w:sz="4" w:space="0"/>
            </w:tcBorders>
            <w:shd w:val="clear" w:color="auto" w:fill="auto"/>
            <w:noWrap/>
            <w:vAlign w:val="center"/>
          </w:tcPr>
          <w:p w14:paraId="096A70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018" w:type="dxa"/>
            <w:tcBorders>
              <w:top w:val="nil"/>
              <w:left w:val="nil"/>
              <w:bottom w:val="single" w:color="auto" w:sz="4" w:space="0"/>
              <w:right w:val="single" w:color="auto" w:sz="4" w:space="0"/>
            </w:tcBorders>
            <w:shd w:val="clear" w:color="auto" w:fill="auto"/>
            <w:noWrap/>
            <w:vAlign w:val="center"/>
          </w:tcPr>
          <w:p w14:paraId="2B751312">
            <w:pPr>
              <w:widowControl/>
              <w:jc w:val="left"/>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369E7D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6BBC68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342F912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0.16</w:t>
            </w:r>
          </w:p>
        </w:tc>
        <w:tc>
          <w:tcPr>
            <w:tcW w:w="1217" w:type="dxa"/>
            <w:tcBorders>
              <w:top w:val="nil"/>
              <w:left w:val="nil"/>
              <w:bottom w:val="single" w:color="auto" w:sz="4" w:space="0"/>
              <w:right w:val="single" w:color="auto" w:sz="4" w:space="0"/>
            </w:tcBorders>
            <w:shd w:val="clear" w:color="auto" w:fill="auto"/>
            <w:noWrap/>
            <w:vAlign w:val="center"/>
          </w:tcPr>
          <w:p w14:paraId="476E6F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62284E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18439FA7">
            <w:pPr>
              <w:jc w:val="center"/>
              <w:rPr>
                <w:rFonts w:hint="eastAsia" w:ascii="Times New Roman" w:hAnsi="Times New Roman" w:eastAsia="仿宋_GB2312" w:cs="Times New Roman"/>
                <w:color w:val="000000"/>
                <w:kern w:val="0"/>
                <w:sz w:val="21"/>
                <w:szCs w:val="20"/>
                <w:lang w:val="en-US" w:eastAsia="zh-CN" w:bidi="ar-SA"/>
              </w:rPr>
            </w:pPr>
          </w:p>
        </w:tc>
      </w:tr>
      <w:tr w14:paraId="27651DF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34783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798" w:type="dxa"/>
            <w:tcBorders>
              <w:top w:val="nil"/>
              <w:left w:val="nil"/>
              <w:bottom w:val="single" w:color="auto" w:sz="4" w:space="0"/>
              <w:right w:val="single" w:color="auto" w:sz="4" w:space="0"/>
            </w:tcBorders>
            <w:shd w:val="clear" w:color="auto" w:fill="auto"/>
            <w:noWrap/>
            <w:vAlign w:val="center"/>
          </w:tcPr>
          <w:p w14:paraId="0B9D6A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018" w:type="dxa"/>
            <w:tcBorders>
              <w:top w:val="nil"/>
              <w:left w:val="nil"/>
              <w:bottom w:val="single" w:color="auto" w:sz="4" w:space="0"/>
              <w:right w:val="single" w:color="auto" w:sz="4" w:space="0"/>
            </w:tcBorders>
            <w:shd w:val="clear" w:color="auto" w:fill="auto"/>
            <w:noWrap/>
            <w:vAlign w:val="center"/>
          </w:tcPr>
          <w:p w14:paraId="1A7881D6">
            <w:pPr>
              <w:widowControl/>
              <w:jc w:val="left"/>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0FBB85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2395AD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74A76306">
            <w:pPr>
              <w:widowControl/>
              <w:jc w:val="left"/>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60D2C8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240535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09B3D55D">
            <w:pPr>
              <w:jc w:val="center"/>
              <w:rPr>
                <w:rFonts w:hint="eastAsia" w:ascii="Times New Roman" w:hAnsi="Times New Roman" w:eastAsia="仿宋_GB2312" w:cs="Times New Roman"/>
                <w:color w:val="000000"/>
                <w:kern w:val="0"/>
                <w:sz w:val="21"/>
                <w:szCs w:val="20"/>
                <w:lang w:val="en-US" w:eastAsia="zh-CN" w:bidi="ar-SA"/>
              </w:rPr>
            </w:pPr>
          </w:p>
        </w:tc>
      </w:tr>
      <w:tr w14:paraId="74B221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74140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798" w:type="dxa"/>
            <w:tcBorders>
              <w:top w:val="nil"/>
              <w:left w:val="nil"/>
              <w:bottom w:val="single" w:color="auto" w:sz="4" w:space="0"/>
              <w:right w:val="single" w:color="auto" w:sz="4" w:space="0"/>
            </w:tcBorders>
            <w:shd w:val="clear" w:color="auto" w:fill="auto"/>
            <w:noWrap/>
            <w:vAlign w:val="center"/>
          </w:tcPr>
          <w:p w14:paraId="48DA23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018" w:type="dxa"/>
            <w:tcBorders>
              <w:top w:val="nil"/>
              <w:left w:val="nil"/>
              <w:bottom w:val="single" w:color="auto" w:sz="4" w:space="0"/>
              <w:right w:val="single" w:color="auto" w:sz="4" w:space="0"/>
            </w:tcBorders>
            <w:shd w:val="clear" w:color="auto" w:fill="auto"/>
            <w:noWrap/>
            <w:vAlign w:val="center"/>
          </w:tcPr>
          <w:p w14:paraId="57815264">
            <w:pPr>
              <w:widowControl/>
              <w:jc w:val="left"/>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4020F4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5C3FBE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627A35A5">
            <w:pPr>
              <w:widowControl/>
              <w:jc w:val="left"/>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0497D8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32F2F5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768D7129">
            <w:pPr>
              <w:jc w:val="center"/>
              <w:rPr>
                <w:rFonts w:hint="eastAsia" w:ascii="Times New Roman" w:hAnsi="Times New Roman" w:eastAsia="仿宋_GB2312" w:cs="Times New Roman"/>
                <w:color w:val="000000"/>
                <w:kern w:val="0"/>
                <w:sz w:val="21"/>
                <w:szCs w:val="20"/>
                <w:lang w:val="en-US" w:eastAsia="zh-CN" w:bidi="ar-SA"/>
              </w:rPr>
            </w:pPr>
          </w:p>
        </w:tc>
      </w:tr>
      <w:tr w14:paraId="1633A9D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5BA9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798" w:type="dxa"/>
            <w:tcBorders>
              <w:top w:val="nil"/>
              <w:left w:val="nil"/>
              <w:bottom w:val="single" w:color="auto" w:sz="4" w:space="0"/>
              <w:right w:val="single" w:color="auto" w:sz="4" w:space="0"/>
            </w:tcBorders>
            <w:shd w:val="clear" w:color="auto" w:fill="auto"/>
            <w:noWrap/>
            <w:vAlign w:val="center"/>
          </w:tcPr>
          <w:p w14:paraId="00DA7A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018" w:type="dxa"/>
            <w:tcBorders>
              <w:top w:val="nil"/>
              <w:left w:val="nil"/>
              <w:bottom w:val="single" w:color="auto" w:sz="4" w:space="0"/>
              <w:right w:val="single" w:color="auto" w:sz="4" w:space="0"/>
            </w:tcBorders>
            <w:shd w:val="clear" w:color="auto" w:fill="auto"/>
            <w:noWrap/>
            <w:vAlign w:val="center"/>
          </w:tcPr>
          <w:p w14:paraId="1B46376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20.23</w:t>
            </w:r>
          </w:p>
        </w:tc>
        <w:tc>
          <w:tcPr>
            <w:tcW w:w="1116" w:type="dxa"/>
            <w:tcBorders>
              <w:top w:val="nil"/>
              <w:left w:val="nil"/>
              <w:bottom w:val="single" w:color="auto" w:sz="4" w:space="0"/>
              <w:right w:val="single" w:color="auto" w:sz="4" w:space="0"/>
            </w:tcBorders>
            <w:shd w:val="clear" w:color="auto" w:fill="auto"/>
            <w:noWrap/>
            <w:vAlign w:val="center"/>
          </w:tcPr>
          <w:p w14:paraId="60FD29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240920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6D09B831">
            <w:pPr>
              <w:widowControl/>
              <w:jc w:val="left"/>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2895DE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4C847B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32A20A5F">
            <w:pPr>
              <w:widowControl/>
              <w:ind w:firstLine="210" w:firstLineChars="100"/>
              <w:jc w:val="left"/>
              <w:rPr>
                <w:rFonts w:hint="eastAsia" w:ascii="Times New Roman" w:hAnsi="Times New Roman" w:eastAsia="仿宋_GB2312" w:cs="Times New Roman"/>
                <w:color w:val="000000"/>
                <w:kern w:val="0"/>
                <w:sz w:val="21"/>
                <w:szCs w:val="20"/>
                <w:lang w:val="en-US" w:eastAsia="zh-CN" w:bidi="ar-SA"/>
              </w:rPr>
            </w:pPr>
          </w:p>
        </w:tc>
      </w:tr>
      <w:tr w14:paraId="0FB7DF6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1175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798" w:type="dxa"/>
            <w:tcBorders>
              <w:top w:val="nil"/>
              <w:left w:val="nil"/>
              <w:bottom w:val="single" w:color="auto" w:sz="4" w:space="0"/>
              <w:right w:val="single" w:color="auto" w:sz="4" w:space="0"/>
            </w:tcBorders>
            <w:shd w:val="clear" w:color="auto" w:fill="auto"/>
            <w:noWrap/>
            <w:vAlign w:val="center"/>
          </w:tcPr>
          <w:p w14:paraId="57F6E8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018" w:type="dxa"/>
            <w:tcBorders>
              <w:top w:val="nil"/>
              <w:left w:val="nil"/>
              <w:bottom w:val="single" w:color="auto" w:sz="4" w:space="0"/>
              <w:right w:val="single" w:color="auto" w:sz="4" w:space="0"/>
            </w:tcBorders>
            <w:shd w:val="clear" w:color="auto" w:fill="auto"/>
            <w:noWrap/>
            <w:vAlign w:val="center"/>
          </w:tcPr>
          <w:p w14:paraId="47D0183B">
            <w:pPr>
              <w:widowControl/>
              <w:jc w:val="left"/>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002FC2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48113D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3D1F386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0.64</w:t>
            </w:r>
          </w:p>
        </w:tc>
        <w:tc>
          <w:tcPr>
            <w:tcW w:w="1217" w:type="dxa"/>
            <w:tcBorders>
              <w:top w:val="nil"/>
              <w:left w:val="nil"/>
              <w:bottom w:val="single" w:color="auto" w:sz="4" w:space="0"/>
              <w:right w:val="single" w:color="auto" w:sz="4" w:space="0"/>
            </w:tcBorders>
            <w:shd w:val="clear" w:color="auto" w:fill="auto"/>
            <w:noWrap/>
            <w:vAlign w:val="center"/>
          </w:tcPr>
          <w:p w14:paraId="041569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3B3014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15303A34">
            <w:pPr>
              <w:widowControl/>
              <w:ind w:firstLine="210" w:firstLineChars="100"/>
              <w:jc w:val="left"/>
              <w:rPr>
                <w:rFonts w:hint="eastAsia" w:ascii="Times New Roman" w:hAnsi="Times New Roman" w:eastAsia="仿宋_GB2312" w:cs="Times New Roman"/>
                <w:color w:val="000000"/>
                <w:kern w:val="0"/>
                <w:sz w:val="21"/>
                <w:szCs w:val="20"/>
                <w:lang w:val="en-US" w:eastAsia="zh-CN" w:bidi="ar-SA"/>
              </w:rPr>
            </w:pPr>
          </w:p>
        </w:tc>
      </w:tr>
      <w:tr w14:paraId="29726E8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51C3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798" w:type="dxa"/>
            <w:tcBorders>
              <w:top w:val="nil"/>
              <w:left w:val="nil"/>
              <w:bottom w:val="single" w:color="auto" w:sz="4" w:space="0"/>
              <w:right w:val="single" w:color="auto" w:sz="4" w:space="0"/>
            </w:tcBorders>
            <w:shd w:val="clear" w:color="auto" w:fill="auto"/>
            <w:noWrap/>
            <w:vAlign w:val="center"/>
          </w:tcPr>
          <w:p w14:paraId="184880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018" w:type="dxa"/>
            <w:tcBorders>
              <w:top w:val="nil"/>
              <w:left w:val="nil"/>
              <w:bottom w:val="single" w:color="auto" w:sz="4" w:space="0"/>
              <w:right w:val="single" w:color="auto" w:sz="4" w:space="0"/>
            </w:tcBorders>
            <w:shd w:val="clear" w:color="auto" w:fill="auto"/>
            <w:noWrap/>
            <w:vAlign w:val="center"/>
          </w:tcPr>
          <w:p w14:paraId="6023B967">
            <w:pPr>
              <w:widowControl/>
              <w:jc w:val="left"/>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2145BF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6A7461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0879CB7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1.50</w:t>
            </w:r>
          </w:p>
        </w:tc>
        <w:tc>
          <w:tcPr>
            <w:tcW w:w="1217" w:type="dxa"/>
            <w:tcBorders>
              <w:top w:val="nil"/>
              <w:left w:val="nil"/>
              <w:bottom w:val="single" w:color="auto" w:sz="4" w:space="0"/>
              <w:right w:val="single" w:color="auto" w:sz="4" w:space="0"/>
            </w:tcBorders>
            <w:shd w:val="clear" w:color="auto" w:fill="auto"/>
            <w:noWrap/>
            <w:vAlign w:val="center"/>
          </w:tcPr>
          <w:p w14:paraId="1367EE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206FD5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7FCECF67">
            <w:pPr>
              <w:widowControl/>
              <w:ind w:firstLine="210" w:firstLineChars="100"/>
              <w:jc w:val="left"/>
              <w:rPr>
                <w:rFonts w:hint="eastAsia" w:ascii="Times New Roman" w:hAnsi="Times New Roman" w:eastAsia="仿宋_GB2312" w:cs="Times New Roman"/>
                <w:color w:val="000000"/>
                <w:kern w:val="0"/>
                <w:sz w:val="21"/>
                <w:szCs w:val="20"/>
                <w:lang w:val="en-US" w:eastAsia="zh-CN" w:bidi="ar-SA"/>
              </w:rPr>
            </w:pPr>
          </w:p>
        </w:tc>
      </w:tr>
      <w:tr w14:paraId="1EE3B644">
        <w:tblPrEx>
          <w:tblCellMar>
            <w:top w:w="0" w:type="dxa"/>
            <w:left w:w="108" w:type="dxa"/>
            <w:bottom w:w="0" w:type="dxa"/>
            <w:right w:w="108" w:type="dxa"/>
          </w:tblCellMar>
        </w:tblPrEx>
        <w:trPr>
          <w:trHeight w:val="226"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7CD61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798" w:type="dxa"/>
            <w:tcBorders>
              <w:top w:val="nil"/>
              <w:left w:val="nil"/>
              <w:bottom w:val="single" w:color="auto" w:sz="4" w:space="0"/>
              <w:right w:val="single" w:color="auto" w:sz="4" w:space="0"/>
            </w:tcBorders>
            <w:shd w:val="clear" w:color="auto" w:fill="auto"/>
            <w:noWrap/>
            <w:vAlign w:val="center"/>
          </w:tcPr>
          <w:p w14:paraId="193222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018" w:type="dxa"/>
            <w:tcBorders>
              <w:top w:val="nil"/>
              <w:left w:val="nil"/>
              <w:bottom w:val="single" w:color="auto" w:sz="4" w:space="0"/>
              <w:right w:val="single" w:color="auto" w:sz="4" w:space="0"/>
            </w:tcBorders>
            <w:shd w:val="clear" w:color="auto" w:fill="auto"/>
            <w:noWrap/>
            <w:vAlign w:val="center"/>
          </w:tcPr>
          <w:p w14:paraId="1F192952">
            <w:pPr>
              <w:widowControl/>
              <w:jc w:val="left"/>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643B9E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706255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61A177B3">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3.81</w:t>
            </w:r>
          </w:p>
        </w:tc>
        <w:tc>
          <w:tcPr>
            <w:tcW w:w="1217" w:type="dxa"/>
            <w:tcBorders>
              <w:top w:val="nil"/>
              <w:left w:val="nil"/>
              <w:bottom w:val="single" w:color="auto" w:sz="4" w:space="0"/>
              <w:right w:val="single" w:color="auto" w:sz="4" w:space="0"/>
            </w:tcBorders>
            <w:shd w:val="clear" w:color="auto" w:fill="auto"/>
            <w:noWrap/>
            <w:vAlign w:val="center"/>
          </w:tcPr>
          <w:p w14:paraId="46238A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570983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0A2B12FF">
            <w:pPr>
              <w:widowControl/>
              <w:ind w:firstLine="210" w:firstLineChars="100"/>
              <w:jc w:val="left"/>
              <w:rPr>
                <w:rFonts w:hint="eastAsia" w:ascii="Times New Roman" w:hAnsi="Times New Roman" w:eastAsia="仿宋_GB2312" w:cs="Times New Roman"/>
                <w:color w:val="000000"/>
                <w:kern w:val="0"/>
                <w:sz w:val="21"/>
                <w:szCs w:val="20"/>
                <w:lang w:val="en-US" w:eastAsia="zh-CN" w:bidi="ar-SA"/>
              </w:rPr>
            </w:pPr>
          </w:p>
        </w:tc>
      </w:tr>
      <w:tr w14:paraId="66B78F3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4332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798" w:type="dxa"/>
            <w:tcBorders>
              <w:top w:val="nil"/>
              <w:left w:val="nil"/>
              <w:bottom w:val="single" w:color="auto" w:sz="4" w:space="0"/>
              <w:right w:val="single" w:color="auto" w:sz="4" w:space="0"/>
            </w:tcBorders>
            <w:shd w:val="clear" w:color="auto" w:fill="auto"/>
            <w:noWrap/>
            <w:vAlign w:val="center"/>
          </w:tcPr>
          <w:p w14:paraId="0C5F9A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018" w:type="dxa"/>
            <w:tcBorders>
              <w:top w:val="nil"/>
              <w:left w:val="nil"/>
              <w:bottom w:val="single" w:color="auto" w:sz="4" w:space="0"/>
              <w:right w:val="single" w:color="auto" w:sz="4" w:space="0"/>
            </w:tcBorders>
            <w:shd w:val="clear" w:color="auto" w:fill="auto"/>
            <w:noWrap/>
            <w:vAlign w:val="center"/>
          </w:tcPr>
          <w:p w14:paraId="1173CC85">
            <w:pPr>
              <w:widowControl/>
              <w:jc w:val="left"/>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6437BA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26952A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3F3E9C2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0.28</w:t>
            </w:r>
          </w:p>
        </w:tc>
        <w:tc>
          <w:tcPr>
            <w:tcW w:w="1217" w:type="dxa"/>
            <w:tcBorders>
              <w:top w:val="nil"/>
              <w:left w:val="nil"/>
              <w:bottom w:val="single" w:color="auto" w:sz="4" w:space="0"/>
              <w:right w:val="single" w:color="auto" w:sz="4" w:space="0"/>
            </w:tcBorders>
            <w:shd w:val="clear" w:color="auto" w:fill="auto"/>
            <w:noWrap/>
            <w:vAlign w:val="center"/>
          </w:tcPr>
          <w:p w14:paraId="422A41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2B408D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49B8ED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0636E219">
            <w:pPr>
              <w:widowControl/>
              <w:jc w:val="left"/>
              <w:rPr>
                <w:rFonts w:ascii="Times New Roman" w:hAnsi="Times New Roman" w:eastAsia="仿宋_GB2312" w:cs="Times New Roman"/>
                <w:color w:val="000000"/>
                <w:kern w:val="0"/>
                <w:szCs w:val="20"/>
              </w:rPr>
            </w:pPr>
          </w:p>
          <w:tbl>
            <w:tblPr>
              <w:tblStyle w:val="13"/>
              <w:tblW w:w="3946" w:type="dxa"/>
              <w:tblInd w:w="0" w:type="dxa"/>
              <w:tblLayout w:type="fixed"/>
              <w:tblCellMar>
                <w:top w:w="0" w:type="dxa"/>
                <w:left w:w="108" w:type="dxa"/>
                <w:bottom w:w="0" w:type="dxa"/>
                <w:right w:w="108" w:type="dxa"/>
              </w:tblCellMar>
            </w:tblPr>
            <w:tblGrid>
              <w:gridCol w:w="3946"/>
            </w:tblGrid>
            <w:tr w14:paraId="5565A577">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CEFA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710BD184">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A34B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6E9FBF75">
            <w:pPr>
              <w:widowControl/>
              <w:jc w:val="left"/>
              <w:rPr>
                <w:rFonts w:ascii="Times New Roman" w:hAnsi="Times New Roman" w:eastAsia="仿宋_GB2312" w:cs="Times New Roman"/>
                <w:color w:val="000000"/>
                <w:kern w:val="0"/>
                <w:szCs w:val="20"/>
              </w:rPr>
            </w:pPr>
          </w:p>
          <w:tbl>
            <w:tblPr>
              <w:tblStyle w:val="13"/>
              <w:tblW w:w="3946" w:type="dxa"/>
              <w:tblInd w:w="0" w:type="dxa"/>
              <w:tblLayout w:type="fixed"/>
              <w:tblCellMar>
                <w:top w:w="0" w:type="dxa"/>
                <w:left w:w="108" w:type="dxa"/>
                <w:bottom w:w="0" w:type="dxa"/>
                <w:right w:w="108" w:type="dxa"/>
              </w:tblCellMar>
            </w:tblPr>
            <w:tblGrid>
              <w:gridCol w:w="3946"/>
            </w:tblGrid>
            <w:tr w14:paraId="653CB5FD">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3BEF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71B012F5">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E682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77E0F191">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7AE36065">
            <w:pPr>
              <w:widowControl/>
              <w:ind w:firstLine="210" w:firstLineChars="100"/>
              <w:jc w:val="left"/>
              <w:rPr>
                <w:rFonts w:hint="eastAsia" w:ascii="Times New Roman" w:hAnsi="Times New Roman" w:eastAsia="仿宋_GB2312" w:cs="Times New Roman"/>
                <w:color w:val="000000"/>
                <w:kern w:val="0"/>
                <w:sz w:val="21"/>
                <w:szCs w:val="20"/>
                <w:lang w:val="en-US" w:eastAsia="zh-CN" w:bidi="ar-SA"/>
              </w:rPr>
            </w:pPr>
          </w:p>
        </w:tc>
      </w:tr>
      <w:tr w14:paraId="5DA8F8E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D694B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798" w:type="dxa"/>
            <w:tcBorders>
              <w:top w:val="nil"/>
              <w:left w:val="nil"/>
              <w:bottom w:val="single" w:color="auto" w:sz="4" w:space="0"/>
              <w:right w:val="single" w:color="auto" w:sz="4" w:space="0"/>
            </w:tcBorders>
            <w:shd w:val="clear" w:color="auto" w:fill="auto"/>
            <w:noWrap/>
            <w:vAlign w:val="center"/>
          </w:tcPr>
          <w:p w14:paraId="335439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018" w:type="dxa"/>
            <w:tcBorders>
              <w:top w:val="nil"/>
              <w:left w:val="nil"/>
              <w:bottom w:val="single" w:color="auto" w:sz="4" w:space="0"/>
              <w:right w:val="single" w:color="auto" w:sz="4" w:space="0"/>
            </w:tcBorders>
            <w:shd w:val="clear" w:color="auto" w:fill="auto"/>
            <w:noWrap/>
            <w:vAlign w:val="center"/>
          </w:tcPr>
          <w:p w14:paraId="3E1DA652">
            <w:pPr>
              <w:widowControl/>
              <w:jc w:val="left"/>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1426AF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048663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530713A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4.18</w:t>
            </w:r>
          </w:p>
        </w:tc>
        <w:tc>
          <w:tcPr>
            <w:tcW w:w="1217" w:type="dxa"/>
            <w:tcBorders>
              <w:top w:val="nil"/>
              <w:left w:val="nil"/>
              <w:bottom w:val="single" w:color="auto" w:sz="4" w:space="0"/>
              <w:right w:val="single" w:color="auto" w:sz="4" w:space="0"/>
            </w:tcBorders>
            <w:shd w:val="clear" w:color="auto" w:fill="auto"/>
            <w:noWrap/>
            <w:vAlign w:val="center"/>
          </w:tcPr>
          <w:p w14:paraId="56B405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721708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41F6F848">
            <w:pPr>
              <w:widowControl/>
              <w:ind w:firstLine="210" w:firstLineChars="100"/>
              <w:jc w:val="left"/>
              <w:rPr>
                <w:rFonts w:hint="eastAsia" w:ascii="Times New Roman" w:hAnsi="Times New Roman" w:eastAsia="仿宋_GB2312" w:cs="Times New Roman"/>
                <w:color w:val="000000"/>
                <w:kern w:val="0"/>
                <w:sz w:val="21"/>
                <w:szCs w:val="20"/>
                <w:lang w:val="en-US" w:eastAsia="zh-CN" w:bidi="ar-SA"/>
              </w:rPr>
            </w:pPr>
          </w:p>
        </w:tc>
      </w:tr>
      <w:tr w14:paraId="271BE8E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EACC2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798" w:type="dxa"/>
            <w:tcBorders>
              <w:top w:val="nil"/>
              <w:left w:val="nil"/>
              <w:bottom w:val="single" w:color="auto" w:sz="4" w:space="0"/>
              <w:right w:val="single" w:color="auto" w:sz="4" w:space="0"/>
            </w:tcBorders>
            <w:shd w:val="clear" w:color="auto" w:fill="auto"/>
            <w:noWrap/>
            <w:vAlign w:val="center"/>
          </w:tcPr>
          <w:p w14:paraId="70E3C5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018" w:type="dxa"/>
            <w:tcBorders>
              <w:top w:val="nil"/>
              <w:left w:val="nil"/>
              <w:bottom w:val="single" w:color="auto" w:sz="4" w:space="0"/>
              <w:right w:val="single" w:color="auto" w:sz="4" w:space="0"/>
            </w:tcBorders>
            <w:shd w:val="clear" w:color="auto" w:fill="auto"/>
            <w:noWrap/>
            <w:vAlign w:val="center"/>
          </w:tcPr>
          <w:p w14:paraId="64569062">
            <w:pPr>
              <w:widowControl/>
              <w:jc w:val="left"/>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6BA9EF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07CA7C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5E07EC47">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13.09</w:t>
            </w:r>
          </w:p>
        </w:tc>
        <w:tc>
          <w:tcPr>
            <w:tcW w:w="1217" w:type="dxa"/>
            <w:tcBorders>
              <w:top w:val="nil"/>
              <w:left w:val="nil"/>
              <w:bottom w:val="single" w:color="auto" w:sz="4" w:space="0"/>
              <w:right w:val="single" w:color="auto" w:sz="4" w:space="0"/>
            </w:tcBorders>
            <w:shd w:val="clear" w:color="auto" w:fill="auto"/>
            <w:noWrap/>
            <w:vAlign w:val="center"/>
          </w:tcPr>
          <w:p w14:paraId="108788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5C454B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05806C24">
            <w:pPr>
              <w:jc w:val="center"/>
              <w:rPr>
                <w:rFonts w:hint="eastAsia" w:ascii="Times New Roman" w:hAnsi="Times New Roman" w:eastAsia="仿宋_GB2312" w:cs="Times New Roman"/>
                <w:color w:val="000000"/>
                <w:kern w:val="0"/>
                <w:sz w:val="21"/>
                <w:szCs w:val="20"/>
                <w:lang w:val="en-US" w:eastAsia="zh-CN" w:bidi="ar-SA"/>
              </w:rPr>
            </w:pPr>
          </w:p>
        </w:tc>
      </w:tr>
      <w:tr w14:paraId="3C1B241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DC4A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798" w:type="dxa"/>
            <w:tcBorders>
              <w:top w:val="nil"/>
              <w:left w:val="nil"/>
              <w:bottom w:val="single" w:color="auto" w:sz="4" w:space="0"/>
              <w:right w:val="single" w:color="auto" w:sz="4" w:space="0"/>
            </w:tcBorders>
            <w:shd w:val="clear" w:color="auto" w:fill="auto"/>
            <w:noWrap/>
            <w:vAlign w:val="center"/>
          </w:tcPr>
          <w:p w14:paraId="7F10DC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018" w:type="dxa"/>
            <w:tcBorders>
              <w:top w:val="nil"/>
              <w:left w:val="nil"/>
              <w:bottom w:val="single" w:color="auto" w:sz="4" w:space="0"/>
              <w:right w:val="single" w:color="auto" w:sz="4" w:space="0"/>
            </w:tcBorders>
            <w:shd w:val="clear" w:color="auto" w:fill="auto"/>
            <w:noWrap/>
            <w:vAlign w:val="center"/>
          </w:tcPr>
          <w:p w14:paraId="417BAB6B">
            <w:pPr>
              <w:widowControl/>
              <w:jc w:val="left"/>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147DFC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0AF839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63143B04">
            <w:pPr>
              <w:widowControl/>
              <w:jc w:val="left"/>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678F719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78AFDEB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32E0CC92">
            <w:pPr>
              <w:widowControl/>
              <w:ind w:firstLine="210" w:firstLineChars="100"/>
              <w:jc w:val="left"/>
              <w:rPr>
                <w:rFonts w:hint="eastAsia" w:ascii="Times New Roman" w:hAnsi="Times New Roman" w:eastAsia="仿宋_GB2312" w:cs="Times New Roman"/>
                <w:color w:val="000000"/>
                <w:kern w:val="0"/>
                <w:sz w:val="21"/>
                <w:szCs w:val="20"/>
                <w:lang w:val="en-US" w:eastAsia="zh-CN" w:bidi="ar-SA"/>
              </w:rPr>
            </w:pPr>
          </w:p>
        </w:tc>
      </w:tr>
      <w:tr w14:paraId="3D26B36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A1F9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798" w:type="dxa"/>
            <w:tcBorders>
              <w:top w:val="nil"/>
              <w:left w:val="nil"/>
              <w:bottom w:val="single" w:color="auto" w:sz="4" w:space="0"/>
              <w:right w:val="single" w:color="auto" w:sz="4" w:space="0"/>
            </w:tcBorders>
            <w:shd w:val="clear" w:color="auto" w:fill="auto"/>
            <w:noWrap/>
            <w:vAlign w:val="center"/>
          </w:tcPr>
          <w:p w14:paraId="1B1090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8" w:type="dxa"/>
            <w:tcBorders>
              <w:top w:val="nil"/>
              <w:left w:val="nil"/>
              <w:bottom w:val="single" w:color="auto" w:sz="4" w:space="0"/>
              <w:right w:val="single" w:color="auto" w:sz="4" w:space="0"/>
            </w:tcBorders>
            <w:shd w:val="clear" w:color="auto" w:fill="auto"/>
            <w:noWrap/>
            <w:vAlign w:val="center"/>
          </w:tcPr>
          <w:p w14:paraId="60A03749">
            <w:pPr>
              <w:widowControl/>
              <w:jc w:val="left"/>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3F28CD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6E7A56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36A54A9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0.63</w:t>
            </w:r>
          </w:p>
        </w:tc>
        <w:tc>
          <w:tcPr>
            <w:tcW w:w="1217" w:type="dxa"/>
            <w:tcBorders>
              <w:top w:val="nil"/>
              <w:left w:val="nil"/>
              <w:bottom w:val="single" w:color="auto" w:sz="4" w:space="0"/>
              <w:right w:val="single" w:color="auto" w:sz="4" w:space="0"/>
            </w:tcBorders>
            <w:shd w:val="clear" w:color="auto" w:fill="auto"/>
            <w:noWrap/>
            <w:vAlign w:val="center"/>
          </w:tcPr>
          <w:p w14:paraId="0789E84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5BB59E2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DF503EE">
            <w:pPr>
              <w:widowControl/>
              <w:ind w:firstLine="210" w:firstLineChars="100"/>
              <w:jc w:val="left"/>
              <w:rPr>
                <w:rFonts w:hint="eastAsia" w:ascii="Times New Roman" w:hAnsi="Times New Roman" w:eastAsia="仿宋_GB2312" w:cs="Times New Roman"/>
                <w:color w:val="000000"/>
                <w:kern w:val="0"/>
                <w:sz w:val="21"/>
                <w:szCs w:val="20"/>
                <w:lang w:val="en-US" w:eastAsia="zh-CN" w:bidi="ar-SA"/>
              </w:rPr>
            </w:pPr>
          </w:p>
        </w:tc>
      </w:tr>
      <w:tr w14:paraId="104A942C">
        <w:tblPrEx>
          <w:tblCellMar>
            <w:top w:w="0" w:type="dxa"/>
            <w:left w:w="108" w:type="dxa"/>
            <w:bottom w:w="0" w:type="dxa"/>
            <w:right w:w="108" w:type="dxa"/>
          </w:tblCellMar>
        </w:tblPrEx>
        <w:trPr>
          <w:trHeight w:val="291" w:hRule="exact"/>
          <w:jc w:val="center"/>
        </w:trPr>
        <w:tc>
          <w:tcPr>
            <w:tcW w:w="38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16D813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018" w:type="dxa"/>
            <w:tcBorders>
              <w:top w:val="nil"/>
              <w:left w:val="nil"/>
              <w:bottom w:val="single" w:color="auto" w:sz="4" w:space="0"/>
              <w:right w:val="single" w:color="auto" w:sz="4" w:space="0"/>
            </w:tcBorders>
            <w:shd w:val="clear" w:color="auto" w:fill="auto"/>
            <w:noWrap/>
            <w:vAlign w:val="center"/>
          </w:tcPr>
          <w:p w14:paraId="71AC9C8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275.28275.28275.28</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710834D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32FD7F5E">
            <w:pPr>
              <w:widowControl/>
              <w:ind w:firstLine="210" w:firstLineChars="100"/>
              <w:jc w:val="left"/>
              <w:rPr>
                <w:rFonts w:hint="default"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 w:val="21"/>
                <w:szCs w:val="20"/>
                <w:lang w:val="en-US" w:eastAsia="zh-CN" w:bidi="ar-SA"/>
              </w:rPr>
              <w:t>25.16</w:t>
            </w:r>
          </w:p>
        </w:tc>
      </w:tr>
    </w:tbl>
    <w:p w14:paraId="551CEFB8">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5E331B41">
      <w:pPr>
        <w:widowControl/>
        <w:spacing w:line="400" w:lineRule="exact"/>
        <w:jc w:val="center"/>
        <w:textAlignment w:val="center"/>
        <w:rPr>
          <w:rFonts w:ascii="Times New Roman" w:hAnsi="Times New Roman" w:eastAsia="仿宋_GB2312" w:cs="Times New Roman"/>
          <w:color w:val="000000"/>
          <w:kern w:val="0"/>
          <w:sz w:val="32"/>
          <w:szCs w:val="32"/>
        </w:rPr>
      </w:pPr>
    </w:p>
    <w:p w14:paraId="216E1E7B">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5D985104">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20F51CC6">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怀化市科学技术协会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3"/>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72746472">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B4AB7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20"/>
                <w:rFonts w:hint="default" w:ascii="Times New Roman" w:hAnsi="Times New Roman" w:eastAsia="仿宋_GB2312" w:cs="Times New Roman"/>
                <w:b/>
                <w:bCs/>
              </w:rPr>
              <w:t xml:space="preserve">   </w:t>
            </w:r>
            <w:r>
              <w:rPr>
                <w:rStyle w:val="21"/>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1F568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0B488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F0633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86C80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4CD9CFD2">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F7A9A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87664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5F5C8">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398E5">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6A010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D1BA2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EB9B5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1864E">
            <w:pPr>
              <w:widowControl/>
              <w:jc w:val="center"/>
              <w:rPr>
                <w:rFonts w:ascii="Times New Roman" w:hAnsi="Times New Roman" w:eastAsia="仿宋_GB2312" w:cs="Times New Roman"/>
                <w:color w:val="000000"/>
                <w:sz w:val="24"/>
                <w:szCs w:val="24"/>
              </w:rPr>
            </w:pPr>
          </w:p>
        </w:tc>
      </w:tr>
      <w:tr w14:paraId="1698100D">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6779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B7E6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9C9D3">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FD99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ADE67">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5BB7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4A10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1A710">
            <w:pPr>
              <w:jc w:val="center"/>
              <w:rPr>
                <w:rFonts w:ascii="Times New Roman" w:hAnsi="Times New Roman" w:eastAsia="仿宋_GB2312" w:cs="Times New Roman"/>
                <w:color w:val="000000"/>
                <w:sz w:val="24"/>
                <w:szCs w:val="24"/>
              </w:rPr>
            </w:pPr>
          </w:p>
        </w:tc>
      </w:tr>
      <w:tr w14:paraId="13AD0685">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4DF85">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0DA2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AC7F2">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3894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26CEF">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731E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05C9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8AE57">
            <w:pPr>
              <w:jc w:val="center"/>
              <w:rPr>
                <w:rFonts w:ascii="Times New Roman" w:hAnsi="Times New Roman" w:eastAsia="仿宋_GB2312" w:cs="Times New Roman"/>
                <w:color w:val="000000"/>
                <w:sz w:val="24"/>
                <w:szCs w:val="24"/>
              </w:rPr>
            </w:pPr>
          </w:p>
        </w:tc>
      </w:tr>
      <w:tr w14:paraId="214CB9D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B7558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1655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591E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6352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0B10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4EBE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6C39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1226095C">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B28B9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90901">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C47FB">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1069E">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i w:val="0"/>
                <w:color w:val="000000"/>
                <w:kern w:val="0"/>
                <w:sz w:val="22"/>
                <w:szCs w:val="22"/>
                <w:u w:val="none"/>
                <w:lang w:val="en-US" w:eastAsia="zh-CN" w:bidi="ar"/>
              </w:rPr>
              <w:t xml:space="preserve">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ADA83">
            <w:pPr>
              <w:keepNext w:val="0"/>
              <w:keepLines w:val="0"/>
              <w:widowControl/>
              <w:suppressLineNumbers w:val="0"/>
              <w:jc w:val="right"/>
              <w:textAlignment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B0290">
            <w:pPr>
              <w:keepNext w:val="0"/>
              <w:keepLines w:val="0"/>
              <w:widowControl/>
              <w:suppressLineNumbers w:val="0"/>
              <w:jc w:val="right"/>
              <w:textAlignment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D9561">
            <w:pPr>
              <w:jc w:val="center"/>
              <w:rPr>
                <w:rFonts w:ascii="Times New Roman" w:hAnsi="Times New Roman" w:eastAsia="仿宋_GB2312" w:cs="Times New Roman"/>
                <w:color w:val="000000"/>
                <w:sz w:val="24"/>
                <w:szCs w:val="24"/>
              </w:rPr>
            </w:pPr>
          </w:p>
        </w:tc>
      </w:tr>
      <w:tr w14:paraId="4A1572D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7235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11F77">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FF36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E8A7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5D39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2AC6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6BB6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0AFDD">
            <w:pPr>
              <w:rPr>
                <w:rFonts w:ascii="Times New Roman" w:hAnsi="Times New Roman" w:eastAsia="仿宋_GB2312" w:cs="Times New Roman"/>
                <w:color w:val="000000"/>
                <w:sz w:val="24"/>
                <w:szCs w:val="24"/>
              </w:rPr>
            </w:pPr>
          </w:p>
        </w:tc>
      </w:tr>
      <w:tr w14:paraId="4F0F84D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7B62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4F10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C341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BFFA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296D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9F00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2AD8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07491">
            <w:pPr>
              <w:rPr>
                <w:rFonts w:ascii="Times New Roman" w:hAnsi="Times New Roman" w:eastAsia="仿宋_GB2312" w:cs="Times New Roman"/>
                <w:color w:val="000000"/>
                <w:sz w:val="24"/>
                <w:szCs w:val="24"/>
              </w:rPr>
            </w:pPr>
          </w:p>
        </w:tc>
      </w:tr>
      <w:tr w14:paraId="6427C08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9AC8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88694">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06A3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7847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8CB6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EBDF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D731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28E6D">
            <w:pPr>
              <w:rPr>
                <w:rFonts w:ascii="Times New Roman" w:hAnsi="Times New Roman" w:eastAsia="仿宋_GB2312" w:cs="Times New Roman"/>
                <w:color w:val="000000"/>
                <w:sz w:val="24"/>
                <w:szCs w:val="24"/>
              </w:rPr>
            </w:pPr>
          </w:p>
        </w:tc>
      </w:tr>
      <w:tr w14:paraId="379FBE4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5350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B9C7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31EC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A496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DF02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08D3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865D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9C5E5">
            <w:pPr>
              <w:rPr>
                <w:rFonts w:ascii="Times New Roman" w:hAnsi="Times New Roman" w:eastAsia="仿宋_GB2312" w:cs="Times New Roman"/>
                <w:color w:val="000000"/>
                <w:sz w:val="24"/>
                <w:szCs w:val="24"/>
              </w:rPr>
            </w:pPr>
          </w:p>
        </w:tc>
      </w:tr>
      <w:tr w14:paraId="57CF2AE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9A85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38E6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A229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E138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7105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8167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D1C6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5BC70">
            <w:pPr>
              <w:rPr>
                <w:rFonts w:ascii="Times New Roman" w:hAnsi="Times New Roman" w:eastAsia="仿宋_GB2312" w:cs="Times New Roman"/>
                <w:color w:val="000000"/>
                <w:sz w:val="24"/>
                <w:szCs w:val="24"/>
              </w:rPr>
            </w:pPr>
          </w:p>
        </w:tc>
      </w:tr>
      <w:tr w14:paraId="0D66D53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4C33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28EF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F04A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838F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2198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1E2B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352B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87B15">
            <w:pPr>
              <w:rPr>
                <w:rFonts w:ascii="Times New Roman" w:hAnsi="Times New Roman" w:eastAsia="仿宋_GB2312" w:cs="Times New Roman"/>
                <w:color w:val="000000"/>
                <w:sz w:val="24"/>
                <w:szCs w:val="24"/>
              </w:rPr>
            </w:pPr>
          </w:p>
        </w:tc>
      </w:tr>
    </w:tbl>
    <w:p w14:paraId="084B4264">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2AA63A61">
      <w:pPr>
        <w:widowControl/>
        <w:jc w:val="left"/>
        <w:textAlignment w:val="center"/>
        <w:rPr>
          <w:rFonts w:ascii="Times New Roman" w:hAnsi="Times New Roman" w:eastAsia="仿宋_GB2312" w:cs="Times New Roman"/>
          <w:color w:val="000000"/>
          <w:kern w:val="0"/>
          <w:sz w:val="24"/>
          <w:szCs w:val="24"/>
        </w:rPr>
      </w:pPr>
    </w:p>
    <w:p w14:paraId="69A3F6C6">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w:t>
      </w:r>
    </w:p>
    <w:p w14:paraId="17CC244F">
      <w:pPr>
        <w:widowControl/>
        <w:jc w:val="center"/>
        <w:rPr>
          <w:rFonts w:ascii="Times New Roman" w:hAnsi="Times New Roman" w:eastAsia="方正小标宋_GBK" w:cs="Times New Roman"/>
          <w:color w:val="000000"/>
          <w:kern w:val="0"/>
          <w:sz w:val="36"/>
          <w:szCs w:val="36"/>
        </w:rPr>
      </w:pPr>
    </w:p>
    <w:p w14:paraId="03428C19">
      <w:pPr>
        <w:widowControl/>
        <w:spacing w:line="400" w:lineRule="exact"/>
        <w:textAlignment w:val="center"/>
        <w:rPr>
          <w:rFonts w:ascii="Times New Roman" w:hAnsi="Times New Roman" w:eastAsia="黑体" w:cs="Times New Roman"/>
          <w:color w:val="000000"/>
          <w:kern w:val="0"/>
          <w:sz w:val="36"/>
          <w:szCs w:val="36"/>
        </w:rPr>
      </w:pPr>
    </w:p>
    <w:p w14:paraId="4DDA68B1">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0D50BBA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公开08表</w:t>
      </w:r>
    </w:p>
    <w:p w14:paraId="4F7371B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怀化市科学技术协会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3"/>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3D13FC6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56B24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22"/>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2AD11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758A0DF4">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392E7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0C38B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E5459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31312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CE221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2F28E921">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FA5E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1F2A6">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1A7C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AE15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34DEA">
            <w:pPr>
              <w:jc w:val="center"/>
              <w:rPr>
                <w:rFonts w:ascii="Times New Roman" w:hAnsi="Times New Roman" w:eastAsia="仿宋_GB2312" w:cs="Times New Roman"/>
                <w:color w:val="000000"/>
                <w:sz w:val="24"/>
                <w:szCs w:val="24"/>
              </w:rPr>
            </w:pPr>
          </w:p>
        </w:tc>
      </w:tr>
      <w:tr w14:paraId="20266BF6">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2DC1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3D9E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1E38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876F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10AC4">
            <w:pPr>
              <w:jc w:val="center"/>
              <w:rPr>
                <w:rFonts w:ascii="Times New Roman" w:hAnsi="Times New Roman" w:eastAsia="仿宋_GB2312" w:cs="Times New Roman"/>
                <w:color w:val="000000"/>
                <w:sz w:val="24"/>
                <w:szCs w:val="24"/>
              </w:rPr>
            </w:pPr>
          </w:p>
        </w:tc>
      </w:tr>
      <w:tr w14:paraId="4879447B">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55E35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8E81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52A2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EDC8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5A1350B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FF79E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8C20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13A5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45CB3">
            <w:pPr>
              <w:jc w:val="center"/>
              <w:rPr>
                <w:rFonts w:ascii="Times New Roman" w:hAnsi="Times New Roman" w:eastAsia="仿宋_GB2312" w:cs="Times New Roman"/>
                <w:color w:val="000000"/>
                <w:sz w:val="24"/>
                <w:szCs w:val="24"/>
              </w:rPr>
            </w:pPr>
          </w:p>
        </w:tc>
      </w:tr>
      <w:tr w14:paraId="7323454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8E56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A7E05">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F842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5175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24E59">
            <w:pPr>
              <w:rPr>
                <w:rFonts w:ascii="Times New Roman" w:hAnsi="Times New Roman" w:eastAsia="仿宋_GB2312" w:cs="Times New Roman"/>
                <w:color w:val="000000"/>
                <w:sz w:val="24"/>
                <w:szCs w:val="24"/>
              </w:rPr>
            </w:pPr>
          </w:p>
        </w:tc>
      </w:tr>
      <w:tr w14:paraId="3DE39AD1">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527F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E6F94">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B3DE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EC60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0130C">
            <w:pPr>
              <w:rPr>
                <w:rFonts w:ascii="Times New Roman" w:hAnsi="Times New Roman" w:eastAsia="仿宋_GB2312" w:cs="Times New Roman"/>
                <w:color w:val="000000"/>
                <w:sz w:val="24"/>
                <w:szCs w:val="24"/>
              </w:rPr>
            </w:pPr>
          </w:p>
        </w:tc>
      </w:tr>
      <w:tr w14:paraId="4BFA938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7A5E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3A5BE">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1FA7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8DCE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99F26">
            <w:pPr>
              <w:rPr>
                <w:rFonts w:ascii="Times New Roman" w:hAnsi="Times New Roman" w:eastAsia="宋体" w:cs="Times New Roman"/>
                <w:color w:val="000000"/>
                <w:sz w:val="24"/>
                <w:szCs w:val="24"/>
              </w:rPr>
            </w:pPr>
          </w:p>
        </w:tc>
      </w:tr>
      <w:tr w14:paraId="69E4476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2485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F382C">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9353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0FDA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C7067">
            <w:pPr>
              <w:rPr>
                <w:rFonts w:ascii="Times New Roman" w:hAnsi="Times New Roman" w:eastAsia="宋体" w:cs="Times New Roman"/>
                <w:color w:val="000000"/>
                <w:sz w:val="24"/>
                <w:szCs w:val="24"/>
              </w:rPr>
            </w:pPr>
          </w:p>
        </w:tc>
      </w:tr>
      <w:tr w14:paraId="67FB6EB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0039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C93A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9D9D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B1A3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E4E2D">
            <w:pPr>
              <w:rPr>
                <w:rFonts w:ascii="Times New Roman" w:hAnsi="Times New Roman" w:eastAsia="宋体" w:cs="Times New Roman"/>
                <w:color w:val="000000"/>
                <w:sz w:val="24"/>
                <w:szCs w:val="24"/>
              </w:rPr>
            </w:pPr>
          </w:p>
        </w:tc>
      </w:tr>
      <w:tr w14:paraId="6F63CFB6">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4BD7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88143">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5BF0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3C36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27407">
            <w:pPr>
              <w:rPr>
                <w:rFonts w:ascii="Times New Roman" w:hAnsi="Times New Roman" w:eastAsia="宋体" w:cs="Times New Roman"/>
                <w:color w:val="000000"/>
                <w:sz w:val="24"/>
                <w:szCs w:val="24"/>
              </w:rPr>
            </w:pPr>
          </w:p>
        </w:tc>
      </w:tr>
    </w:tbl>
    <w:p w14:paraId="3AD8C444">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56E943A8">
      <w:pPr>
        <w:widowControl/>
        <w:jc w:val="left"/>
        <w:textAlignment w:val="center"/>
        <w:rPr>
          <w:rFonts w:ascii="Times New Roman" w:hAnsi="Times New Roman" w:eastAsia="宋体" w:cs="Times New Roman"/>
          <w:color w:val="000000"/>
          <w:kern w:val="0"/>
          <w:sz w:val="24"/>
          <w:szCs w:val="24"/>
        </w:rPr>
      </w:pPr>
    </w:p>
    <w:p w14:paraId="2992BB3B">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09F4BBED">
      <w:pPr>
        <w:widowControl/>
        <w:jc w:val="center"/>
        <w:rPr>
          <w:rFonts w:ascii="Times New Roman" w:hAnsi="Times New Roman" w:eastAsia="方正小标宋_GBK" w:cs="Times New Roman"/>
          <w:color w:val="000000"/>
          <w:kern w:val="0"/>
          <w:sz w:val="36"/>
          <w:szCs w:val="36"/>
        </w:rPr>
      </w:pPr>
    </w:p>
    <w:p w14:paraId="16713F00">
      <w:pPr>
        <w:pStyle w:val="11"/>
        <w:spacing w:line="400" w:lineRule="exact"/>
        <w:rPr>
          <w:rFonts w:ascii="Times New Roman" w:hAnsi="Times New Roman" w:eastAsia="华文中宋" w:cs="Times New Roman"/>
          <w:color w:val="000000"/>
          <w:kern w:val="0"/>
          <w:sz w:val="32"/>
          <w:szCs w:val="32"/>
        </w:rPr>
      </w:pPr>
    </w:p>
    <w:p w14:paraId="3E3D49B5">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2BF3EA79">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kern w:val="0"/>
          <w:sz w:val="20"/>
          <w:szCs w:val="20"/>
        </w:rPr>
        <w:t>公开09表</w:t>
      </w:r>
    </w:p>
    <w:p w14:paraId="7B9A1BD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lang w:eastAsia="zh-CN"/>
        </w:rPr>
        <w:t>怀化市科学技术协会</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rPr>
        <w:t>单位：万元</w:t>
      </w:r>
    </w:p>
    <w:tbl>
      <w:tblPr>
        <w:tblStyle w:val="13"/>
        <w:tblW w:w="5113" w:type="pct"/>
        <w:jc w:val="center"/>
        <w:tblLayout w:type="autofit"/>
        <w:tblCellMar>
          <w:top w:w="0" w:type="dxa"/>
          <w:left w:w="108" w:type="dxa"/>
          <w:bottom w:w="0" w:type="dxa"/>
          <w:right w:w="108" w:type="dxa"/>
        </w:tblCellMar>
      </w:tblPr>
      <w:tblGrid>
        <w:gridCol w:w="934"/>
        <w:gridCol w:w="1227"/>
        <w:gridCol w:w="1085"/>
        <w:gridCol w:w="1187"/>
        <w:gridCol w:w="1422"/>
        <w:gridCol w:w="1381"/>
        <w:gridCol w:w="1047"/>
        <w:gridCol w:w="1163"/>
        <w:gridCol w:w="1163"/>
        <w:gridCol w:w="1163"/>
        <w:gridCol w:w="1361"/>
        <w:gridCol w:w="1408"/>
      </w:tblGrid>
      <w:tr w14:paraId="24CAE531">
        <w:tblPrEx>
          <w:tblCellMar>
            <w:top w:w="0" w:type="dxa"/>
            <w:left w:w="108" w:type="dxa"/>
            <w:bottom w:w="0" w:type="dxa"/>
            <w:right w:w="108" w:type="dxa"/>
          </w:tblCellMar>
        </w:tblPrEx>
        <w:trPr>
          <w:trHeight w:val="606" w:hRule="atLeast"/>
          <w:jc w:val="center"/>
        </w:trPr>
        <w:tc>
          <w:tcPr>
            <w:tcW w:w="248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185C8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D2E0C6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65B18E8C">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84683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AF39F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478A2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8FFC2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30A27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0ED57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B0F4D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77EF2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10F856FE">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3619D">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8D25F">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D966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FDAB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1624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66AB7">
            <w:pPr>
              <w:jc w:val="center"/>
              <w:rPr>
                <w:rFonts w:ascii="Times New Roman" w:hAnsi="Times New Roman" w:eastAsia="仿宋_GB2312" w:cs="Times New Roman"/>
                <w:color w:val="000000"/>
                <w:sz w:val="22"/>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2825D">
            <w:pPr>
              <w:jc w:val="center"/>
              <w:rPr>
                <w:rFonts w:ascii="Times New Roman" w:hAnsi="Times New Roman" w:eastAsia="仿宋_GB2312" w:cs="Times New Roman"/>
                <w:color w:val="000000"/>
                <w:sz w:val="22"/>
              </w:rPr>
            </w:pPr>
          </w:p>
        </w:tc>
        <w:tc>
          <w:tcPr>
            <w:tcW w:w="4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61D44">
            <w:pPr>
              <w:jc w:val="center"/>
              <w:rPr>
                <w:rFonts w:ascii="Times New Roman" w:hAnsi="Times New Roman" w:eastAsia="仿宋_GB2312" w:cs="Times New Roman"/>
                <w:color w:val="000000"/>
                <w:sz w:val="22"/>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0D6F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84B3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7733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A7085">
            <w:pPr>
              <w:jc w:val="center"/>
              <w:rPr>
                <w:rFonts w:ascii="Times New Roman" w:hAnsi="Times New Roman" w:eastAsia="仿宋_GB2312" w:cs="Times New Roman"/>
                <w:color w:val="000000"/>
                <w:sz w:val="22"/>
              </w:rPr>
            </w:pPr>
          </w:p>
        </w:tc>
      </w:tr>
      <w:tr w14:paraId="4716ADBA">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788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2BD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B56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C9EE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2134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857D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005F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17FD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8592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1CDF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058B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4F5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134C75A6">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5FFB5">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 xml:space="preserve">10.00 </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5C60A">
            <w:pPr>
              <w:widowControl/>
              <w:jc w:val="center"/>
              <w:textAlignment w:val="center"/>
              <w:rPr>
                <w:rFonts w:ascii="Times New Roman" w:hAnsi="Times New Roman" w:eastAsia="仿宋_GB2312" w:cs="Times New Roman"/>
                <w:color w:val="000000"/>
                <w:kern w:val="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60AA8">
            <w:pPr>
              <w:widowControl/>
              <w:jc w:val="center"/>
              <w:textAlignment w:val="center"/>
              <w:rPr>
                <w:rFonts w:hint="default" w:ascii="Times New Roman" w:hAnsi="Times New Roman" w:eastAsia="仿宋_GB2312" w:cs="Times New Roman"/>
                <w:color w:val="000000"/>
                <w:kern w:val="0"/>
                <w:sz w:val="22"/>
                <w:lang w:val="en-US"/>
              </w:rPr>
            </w:pPr>
            <w:r>
              <w:rPr>
                <w:rFonts w:hint="eastAsia" w:ascii="Times New Roman" w:hAnsi="Times New Roman" w:eastAsia="仿宋_GB2312" w:cs="Times New Roman"/>
                <w:color w:val="000000"/>
                <w:kern w:val="0"/>
                <w:sz w:val="22"/>
                <w:lang w:val="en-US" w:eastAsia="zh-CN"/>
              </w:rPr>
              <w:t>10.00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6EDC9">
            <w:pPr>
              <w:widowControl/>
              <w:jc w:val="center"/>
              <w:textAlignment w:val="center"/>
              <w:rPr>
                <w:rFonts w:ascii="Times New Roman" w:hAnsi="Times New Roman" w:eastAsia="仿宋_GB2312" w:cs="Times New Roman"/>
                <w:color w:val="000000"/>
                <w:kern w:val="0"/>
                <w:sz w:val="22"/>
              </w:rPr>
            </w:pPr>
          </w:p>
        </w:tc>
        <w:tc>
          <w:tcPr>
            <w:tcW w:w="1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8736B">
            <w:pPr>
              <w:widowControl/>
              <w:jc w:val="center"/>
              <w:textAlignment w:val="center"/>
              <w:rPr>
                <w:rFonts w:hint="default" w:ascii="Times New Roman" w:hAnsi="Times New Roman" w:eastAsia="仿宋_GB2312" w:cs="Times New Roman"/>
                <w:color w:val="000000"/>
                <w:kern w:val="0"/>
                <w:sz w:val="22"/>
                <w:lang w:val="en-US"/>
              </w:rPr>
            </w:pPr>
            <w:r>
              <w:rPr>
                <w:rFonts w:hint="eastAsia" w:ascii="Times New Roman" w:hAnsi="Times New Roman" w:eastAsia="仿宋_GB2312" w:cs="Times New Roman"/>
                <w:color w:val="000000"/>
                <w:kern w:val="0"/>
                <w:sz w:val="22"/>
                <w:lang w:val="en-US" w:eastAsia="zh-CN"/>
              </w:rPr>
              <w:t>5.00</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73CE5">
            <w:pPr>
              <w:widowControl/>
              <w:jc w:val="center"/>
              <w:textAlignment w:val="center"/>
              <w:rPr>
                <w:rFonts w:hint="default" w:ascii="Times New Roman" w:hAnsi="Times New Roman" w:eastAsia="仿宋_GB2312" w:cs="Times New Roman"/>
                <w:color w:val="000000"/>
                <w:kern w:val="0"/>
                <w:sz w:val="22"/>
                <w:lang w:val="en-US"/>
              </w:rPr>
            </w:pPr>
            <w:r>
              <w:rPr>
                <w:rFonts w:hint="eastAsia" w:ascii="Times New Roman" w:hAnsi="Times New Roman" w:eastAsia="仿宋_GB2312" w:cs="Times New Roman"/>
                <w:color w:val="000000"/>
                <w:kern w:val="0"/>
                <w:sz w:val="22"/>
                <w:lang w:val="en-US" w:eastAsia="zh-CN"/>
              </w:rPr>
              <w:t>5.00</w:t>
            </w:r>
          </w:p>
        </w:tc>
        <w:tc>
          <w:tcPr>
            <w:tcW w:w="1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51CAF">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 xml:space="preserve">4.34 </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59E6D">
            <w:pPr>
              <w:widowControl/>
              <w:jc w:val="center"/>
              <w:textAlignment w:val="center"/>
              <w:rPr>
                <w:rFonts w:ascii="Times New Roman" w:hAnsi="Times New Roman" w:eastAsia="仿宋_GB2312" w:cs="Times New Roman"/>
                <w:color w:val="000000"/>
                <w:kern w:val="0"/>
                <w:sz w:val="22"/>
              </w:rPr>
            </w:pP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C90AE">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 xml:space="preserve">4.18 </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95CCB">
            <w:pPr>
              <w:widowControl/>
              <w:jc w:val="center"/>
              <w:textAlignment w:val="center"/>
              <w:rPr>
                <w:rFonts w:ascii="Times New Roman" w:hAnsi="Times New Roman" w:eastAsia="仿宋_GB2312" w:cs="Times New Roman"/>
                <w:color w:val="000000"/>
                <w:kern w:val="0"/>
                <w:sz w:val="22"/>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797D9">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 xml:space="preserve">4.18 </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695AD">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 xml:space="preserve">0.16 </w:t>
            </w:r>
          </w:p>
        </w:tc>
      </w:tr>
    </w:tbl>
    <w:p w14:paraId="56389A6C">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24700457">
      <w:pPr>
        <w:autoSpaceDE w:val="0"/>
        <w:autoSpaceDN w:val="0"/>
        <w:adjustRightInd w:val="0"/>
        <w:ind w:left="315" w:leftChars="150"/>
        <w:jc w:val="left"/>
        <w:rPr>
          <w:rFonts w:ascii="Times New Roman" w:hAnsi="Times New Roman" w:eastAsia="宋体" w:cs="Times New Roman"/>
          <w:kern w:val="0"/>
          <w:sz w:val="24"/>
          <w:szCs w:val="24"/>
        </w:rPr>
      </w:pPr>
    </w:p>
    <w:p w14:paraId="256E9C8C">
      <w:pPr>
        <w:autoSpaceDE w:val="0"/>
        <w:autoSpaceDN w:val="0"/>
        <w:adjustRightInd w:val="0"/>
        <w:ind w:left="315" w:leftChars="150"/>
        <w:jc w:val="left"/>
        <w:rPr>
          <w:rFonts w:ascii="Times New Roman" w:hAnsi="Times New Roman" w:eastAsia="宋体" w:cs="Times New Roman"/>
          <w:kern w:val="0"/>
          <w:sz w:val="24"/>
          <w:szCs w:val="24"/>
        </w:rPr>
      </w:pPr>
    </w:p>
    <w:p w14:paraId="516AB344">
      <w:pPr>
        <w:autoSpaceDE w:val="0"/>
        <w:autoSpaceDN w:val="0"/>
        <w:adjustRightInd w:val="0"/>
        <w:ind w:left="315" w:leftChars="150"/>
        <w:jc w:val="left"/>
        <w:rPr>
          <w:rFonts w:ascii="Times New Roman" w:hAnsi="Times New Roman" w:eastAsia="宋体" w:cs="Times New Roman"/>
          <w:kern w:val="0"/>
          <w:sz w:val="24"/>
          <w:szCs w:val="24"/>
        </w:rPr>
      </w:pPr>
    </w:p>
    <w:p w14:paraId="797C7B03">
      <w:pPr>
        <w:autoSpaceDE w:val="0"/>
        <w:autoSpaceDN w:val="0"/>
        <w:adjustRightInd w:val="0"/>
        <w:ind w:left="315" w:leftChars="150"/>
        <w:jc w:val="left"/>
        <w:rPr>
          <w:rFonts w:ascii="Times New Roman" w:hAnsi="Times New Roman" w:eastAsia="宋体" w:cs="Times New Roman"/>
          <w:kern w:val="0"/>
          <w:sz w:val="24"/>
          <w:szCs w:val="24"/>
        </w:rPr>
      </w:pPr>
    </w:p>
    <w:p w14:paraId="7084DCAE">
      <w:pPr>
        <w:autoSpaceDE w:val="0"/>
        <w:autoSpaceDN w:val="0"/>
        <w:adjustRightInd w:val="0"/>
        <w:ind w:left="315" w:leftChars="150"/>
        <w:jc w:val="left"/>
        <w:rPr>
          <w:rFonts w:ascii="Times New Roman" w:hAnsi="Times New Roman" w:eastAsia="宋体" w:cs="Times New Roman"/>
          <w:kern w:val="0"/>
          <w:sz w:val="24"/>
          <w:szCs w:val="24"/>
        </w:rPr>
      </w:pPr>
    </w:p>
    <w:p w14:paraId="49DE7DD0">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547CF533">
      <w:pPr>
        <w:pStyle w:val="17"/>
        <w:rPr>
          <w:rFonts w:ascii="Times New Roman" w:hAnsi="Times New Roman" w:cs="Times New Roman"/>
          <w:sz w:val="72"/>
          <w:szCs w:val="72"/>
        </w:rPr>
      </w:pPr>
    </w:p>
    <w:p w14:paraId="512AA895">
      <w:pPr>
        <w:pStyle w:val="17"/>
        <w:rPr>
          <w:rFonts w:ascii="Times New Roman" w:hAnsi="Times New Roman" w:cs="Times New Roman"/>
          <w:sz w:val="72"/>
          <w:szCs w:val="72"/>
        </w:rPr>
      </w:pPr>
    </w:p>
    <w:p w14:paraId="465784E6">
      <w:pPr>
        <w:pStyle w:val="17"/>
        <w:rPr>
          <w:rFonts w:ascii="Times New Roman" w:hAnsi="Times New Roman" w:cs="Times New Roman"/>
          <w:sz w:val="72"/>
          <w:szCs w:val="72"/>
        </w:rPr>
      </w:pPr>
    </w:p>
    <w:p w14:paraId="51405F54">
      <w:pPr>
        <w:pStyle w:val="17"/>
        <w:jc w:val="center"/>
        <w:rPr>
          <w:rFonts w:ascii="Times New Roman" w:hAnsi="Times New Roman" w:cs="Times New Roman"/>
          <w:sz w:val="72"/>
          <w:szCs w:val="72"/>
        </w:rPr>
      </w:pPr>
    </w:p>
    <w:p w14:paraId="5F2A9D35">
      <w:pPr>
        <w:pStyle w:val="17"/>
        <w:jc w:val="center"/>
        <w:rPr>
          <w:rFonts w:ascii="Times New Roman" w:hAnsi="Times New Roman" w:eastAsia="方正小标宋_GBK" w:cs="Times New Roman"/>
          <w:sz w:val="72"/>
          <w:szCs w:val="72"/>
        </w:rPr>
      </w:pPr>
    </w:p>
    <w:p w14:paraId="58CD1140">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5C3BB6A">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68EF9C8A">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7056FF82">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9BCBD4F">
      <w:pPr>
        <w:pStyle w:val="17"/>
        <w:spacing w:line="600" w:lineRule="exact"/>
        <w:ind w:firstLine="800" w:firstLineChars="250"/>
        <w:rPr>
          <w:rFonts w:hint="eastAsia" w:ascii="仿宋" w:hAnsi="仿宋" w:eastAsia="仿宋" w:cs="仿宋"/>
          <w:sz w:val="32"/>
          <w:szCs w:val="32"/>
        </w:rPr>
      </w:pPr>
      <w:r>
        <w:rPr>
          <w:rFonts w:hint="eastAsia" w:ascii="仿宋" w:hAnsi="仿宋" w:eastAsia="仿宋" w:cs="仿宋"/>
          <w:sz w:val="32"/>
          <w:szCs w:val="32"/>
        </w:rPr>
        <w:t>2025年度收、支总计</w:t>
      </w:r>
      <w:r>
        <w:rPr>
          <w:rFonts w:hint="eastAsia" w:ascii="仿宋" w:hAnsi="仿宋" w:eastAsia="仿宋" w:cs="仿宋"/>
          <w:sz w:val="32"/>
          <w:szCs w:val="32"/>
          <w:lang w:val="en-US" w:eastAsia="zh-CN"/>
        </w:rPr>
        <w:t>726.07</w:t>
      </w:r>
      <w:r>
        <w:rPr>
          <w:rFonts w:hint="eastAsia" w:ascii="仿宋" w:hAnsi="仿宋" w:eastAsia="仿宋" w:cs="仿宋"/>
          <w:sz w:val="32"/>
          <w:szCs w:val="32"/>
        </w:rPr>
        <w:t>万元。与上年相比，减少</w:t>
      </w:r>
      <w:r>
        <w:rPr>
          <w:rFonts w:hint="eastAsia" w:ascii="仿宋" w:hAnsi="仿宋" w:eastAsia="仿宋" w:cs="仿宋"/>
          <w:sz w:val="32"/>
          <w:szCs w:val="32"/>
          <w:lang w:val="en-US" w:eastAsia="zh-CN"/>
        </w:rPr>
        <w:t>29.21</w:t>
      </w:r>
      <w:r>
        <w:rPr>
          <w:rFonts w:hint="eastAsia" w:ascii="仿宋" w:hAnsi="仿宋" w:eastAsia="仿宋" w:cs="仿宋"/>
          <w:sz w:val="32"/>
          <w:szCs w:val="32"/>
        </w:rPr>
        <w:t>万元，降低</w:t>
      </w:r>
      <w:r>
        <w:rPr>
          <w:rFonts w:hint="eastAsia" w:ascii="仿宋" w:hAnsi="仿宋" w:eastAsia="仿宋" w:cs="仿宋"/>
          <w:sz w:val="32"/>
          <w:szCs w:val="32"/>
          <w:lang w:val="en-US" w:eastAsia="zh-CN"/>
        </w:rPr>
        <w:t>3.87</w:t>
      </w:r>
      <w:r>
        <w:rPr>
          <w:rFonts w:hint="eastAsia" w:ascii="仿宋" w:hAnsi="仿宋" w:eastAsia="仿宋" w:cs="仿宋"/>
          <w:sz w:val="32"/>
          <w:szCs w:val="32"/>
        </w:rPr>
        <w:t>%，主要是因为项目支出拨款减少。</w:t>
      </w:r>
    </w:p>
    <w:p w14:paraId="1B6C6F83">
      <w:pPr>
        <w:pStyle w:val="17"/>
        <w:spacing w:line="600" w:lineRule="exact"/>
        <w:ind w:firstLine="800" w:firstLineChars="250"/>
        <w:rPr>
          <w:rFonts w:hint="eastAsia" w:ascii="仿宋" w:hAnsi="仿宋" w:eastAsia="仿宋" w:cs="仿宋"/>
          <w:sz w:val="32"/>
          <w:szCs w:val="32"/>
        </w:rPr>
      </w:pPr>
      <w:r>
        <w:rPr>
          <w:rFonts w:hint="eastAsia" w:ascii="仿宋" w:hAnsi="仿宋" w:eastAsia="仿宋" w:cs="仿宋"/>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科学技术</w:t>
      </w:r>
      <w:r>
        <w:rPr>
          <w:rFonts w:hint="eastAsia" w:ascii="仿宋" w:hAnsi="仿宋" w:eastAsia="仿宋" w:cs="仿宋"/>
          <w:sz w:val="32"/>
          <w:szCs w:val="32"/>
          <w:lang w:eastAsia="zh-CN"/>
        </w:rPr>
        <w:t>（类）</w:t>
      </w:r>
      <w:r>
        <w:rPr>
          <w:rFonts w:hint="eastAsia" w:ascii="仿宋" w:hAnsi="仿宋" w:eastAsia="仿宋" w:cs="仿宋"/>
          <w:sz w:val="32"/>
          <w:szCs w:val="32"/>
        </w:rPr>
        <w:t>支出、社会保障和就业（类）支出等重点支出，体现在有关支出科目中。</w:t>
      </w:r>
    </w:p>
    <w:p w14:paraId="3A6DB658">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5E272475">
      <w:pPr>
        <w:pStyle w:val="17"/>
        <w:spacing w:line="600" w:lineRule="exact"/>
        <w:ind w:firstLine="800" w:firstLineChars="250"/>
        <w:rPr>
          <w:rFonts w:hint="eastAsia" w:ascii="仿宋" w:hAnsi="仿宋" w:eastAsia="仿宋" w:cs="仿宋"/>
          <w:sz w:val="32"/>
          <w:szCs w:val="32"/>
        </w:rPr>
      </w:pPr>
      <w:r>
        <w:rPr>
          <w:rFonts w:hint="eastAsia" w:ascii="仿宋" w:hAnsi="仿宋" w:eastAsia="仿宋" w:cs="仿宋"/>
          <w:sz w:val="32"/>
          <w:szCs w:val="32"/>
        </w:rPr>
        <w:t>2025年度收入合计</w:t>
      </w:r>
      <w:r>
        <w:rPr>
          <w:rFonts w:hint="eastAsia" w:ascii="仿宋" w:hAnsi="仿宋" w:eastAsia="仿宋" w:cs="仿宋"/>
          <w:sz w:val="32"/>
          <w:szCs w:val="32"/>
          <w:lang w:val="en-US" w:eastAsia="zh-CN"/>
        </w:rPr>
        <w:t>726.07万</w:t>
      </w:r>
      <w:r>
        <w:rPr>
          <w:rFonts w:hint="eastAsia" w:ascii="仿宋" w:hAnsi="仿宋" w:eastAsia="仿宋" w:cs="仿宋"/>
          <w:sz w:val="32"/>
          <w:szCs w:val="32"/>
        </w:rPr>
        <w:t>元，其中：财政拨款收入</w:t>
      </w:r>
      <w:r>
        <w:rPr>
          <w:rFonts w:hint="eastAsia" w:ascii="仿宋" w:hAnsi="仿宋" w:eastAsia="仿宋" w:cs="仿宋"/>
          <w:sz w:val="32"/>
          <w:szCs w:val="32"/>
          <w:lang w:val="en-US" w:eastAsia="zh-CN"/>
        </w:rPr>
        <w:t>726.07</w:t>
      </w:r>
      <w:r>
        <w:rPr>
          <w:rFonts w:hint="eastAsia" w:ascii="仿宋" w:hAnsi="仿宋" w:eastAsia="仿宋" w:cs="仿宋"/>
          <w:sz w:val="32"/>
          <w:szCs w:val="32"/>
        </w:rPr>
        <w:t>万元，占</w:t>
      </w:r>
      <w:r>
        <w:rPr>
          <w:rFonts w:hint="eastAsia" w:ascii="仿宋" w:hAnsi="仿宋" w:eastAsia="仿宋" w:cs="仿宋"/>
          <w:sz w:val="32"/>
          <w:szCs w:val="32"/>
          <w:lang w:val="en-US" w:eastAsia="zh-CN"/>
        </w:rPr>
        <w:t>100</w:t>
      </w:r>
      <w:r>
        <w:rPr>
          <w:rFonts w:hint="eastAsia" w:ascii="仿宋" w:hAnsi="仿宋" w:eastAsia="仿宋" w:cs="仿宋"/>
          <w:sz w:val="32"/>
          <w:szCs w:val="32"/>
        </w:rPr>
        <w:t>%；上级补助收入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%；事业收入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%；经营收入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%；附属单位上缴收入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%；其他收入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w:t>
      </w:r>
    </w:p>
    <w:p w14:paraId="3B2B8496">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CB4E5E0">
      <w:pPr>
        <w:pStyle w:val="17"/>
        <w:spacing w:line="600" w:lineRule="exact"/>
        <w:ind w:firstLine="800" w:firstLineChars="250"/>
        <w:rPr>
          <w:rFonts w:hint="eastAsia" w:ascii="仿宋" w:hAnsi="仿宋" w:eastAsia="仿宋" w:cs="仿宋"/>
          <w:sz w:val="32"/>
          <w:szCs w:val="32"/>
        </w:rPr>
      </w:pPr>
      <w:r>
        <w:rPr>
          <w:rFonts w:hint="eastAsia" w:ascii="仿宋" w:hAnsi="仿宋" w:eastAsia="仿宋" w:cs="仿宋"/>
          <w:sz w:val="32"/>
          <w:szCs w:val="32"/>
        </w:rPr>
        <w:t>2025年度支出合计</w:t>
      </w:r>
      <w:r>
        <w:rPr>
          <w:rFonts w:hint="eastAsia" w:ascii="仿宋" w:hAnsi="仿宋" w:eastAsia="仿宋" w:cs="仿宋"/>
          <w:sz w:val="32"/>
          <w:szCs w:val="32"/>
          <w:lang w:val="en-US" w:eastAsia="zh-CN"/>
        </w:rPr>
        <w:t>726.07</w:t>
      </w:r>
      <w:r>
        <w:rPr>
          <w:rFonts w:hint="eastAsia" w:ascii="仿宋" w:hAnsi="仿宋" w:eastAsia="仿宋" w:cs="仿宋"/>
          <w:sz w:val="32"/>
          <w:szCs w:val="32"/>
        </w:rPr>
        <w:t>万元，其中：基本支出</w:t>
      </w:r>
      <w:r>
        <w:rPr>
          <w:rFonts w:hint="eastAsia" w:ascii="仿宋" w:hAnsi="仿宋" w:eastAsia="仿宋" w:cs="仿宋"/>
          <w:sz w:val="32"/>
          <w:szCs w:val="32"/>
          <w:lang w:val="en-US" w:eastAsia="zh-CN"/>
        </w:rPr>
        <w:t>300.44</w:t>
      </w:r>
      <w:r>
        <w:rPr>
          <w:rFonts w:hint="eastAsia" w:ascii="仿宋" w:hAnsi="仿宋" w:eastAsia="仿宋" w:cs="仿宋"/>
          <w:sz w:val="32"/>
          <w:szCs w:val="32"/>
        </w:rPr>
        <w:t>万元，占</w:t>
      </w:r>
      <w:r>
        <w:rPr>
          <w:rFonts w:hint="eastAsia" w:ascii="仿宋" w:hAnsi="仿宋" w:eastAsia="仿宋" w:cs="仿宋"/>
          <w:sz w:val="32"/>
          <w:szCs w:val="32"/>
          <w:lang w:val="en-US" w:eastAsia="zh-CN"/>
        </w:rPr>
        <w:t>41.38</w:t>
      </w:r>
      <w:r>
        <w:rPr>
          <w:rFonts w:hint="eastAsia" w:ascii="仿宋" w:hAnsi="仿宋" w:eastAsia="仿宋" w:cs="仿宋"/>
          <w:sz w:val="32"/>
          <w:szCs w:val="32"/>
        </w:rPr>
        <w:t>%；项目支出</w:t>
      </w:r>
      <w:r>
        <w:rPr>
          <w:rFonts w:hint="eastAsia" w:ascii="仿宋" w:hAnsi="仿宋" w:eastAsia="仿宋" w:cs="仿宋"/>
          <w:sz w:val="32"/>
          <w:szCs w:val="32"/>
          <w:lang w:val="en-US" w:eastAsia="zh-CN"/>
        </w:rPr>
        <w:t>425.63</w:t>
      </w:r>
      <w:r>
        <w:rPr>
          <w:rFonts w:hint="eastAsia" w:ascii="仿宋" w:hAnsi="仿宋" w:eastAsia="仿宋" w:cs="仿宋"/>
          <w:sz w:val="32"/>
          <w:szCs w:val="32"/>
        </w:rPr>
        <w:t>万元，占</w:t>
      </w:r>
      <w:r>
        <w:rPr>
          <w:rFonts w:hint="eastAsia" w:ascii="仿宋" w:hAnsi="仿宋" w:eastAsia="仿宋" w:cs="仿宋"/>
          <w:sz w:val="32"/>
          <w:szCs w:val="32"/>
          <w:lang w:val="en-US" w:eastAsia="zh-CN"/>
        </w:rPr>
        <w:t>58.62</w:t>
      </w:r>
      <w:r>
        <w:rPr>
          <w:rFonts w:hint="eastAsia" w:ascii="仿宋" w:hAnsi="仿宋" w:eastAsia="仿宋" w:cs="仿宋"/>
          <w:sz w:val="32"/>
          <w:szCs w:val="32"/>
        </w:rPr>
        <w:t>%；上缴上级支出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%；经营支出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%；对附属单位补助支出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w:t>
      </w:r>
    </w:p>
    <w:p w14:paraId="6EAFA403">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DB3A7A5">
      <w:pPr>
        <w:pStyle w:val="17"/>
        <w:spacing w:line="600" w:lineRule="exact"/>
        <w:ind w:firstLine="800" w:firstLineChars="250"/>
        <w:rPr>
          <w:rFonts w:hint="eastAsia" w:ascii="仿宋" w:hAnsi="仿宋" w:eastAsia="仿宋" w:cs="仿宋"/>
          <w:sz w:val="32"/>
          <w:szCs w:val="32"/>
        </w:rPr>
      </w:pPr>
      <w:r>
        <w:rPr>
          <w:rFonts w:hint="eastAsia" w:ascii="仿宋" w:hAnsi="仿宋" w:eastAsia="仿宋" w:cs="仿宋"/>
          <w:sz w:val="32"/>
          <w:szCs w:val="32"/>
        </w:rPr>
        <w:t>2025年度财政拨款收、支总计</w:t>
      </w:r>
      <w:r>
        <w:rPr>
          <w:rFonts w:hint="eastAsia" w:ascii="仿宋" w:hAnsi="仿宋" w:eastAsia="仿宋" w:cs="仿宋"/>
          <w:sz w:val="32"/>
          <w:szCs w:val="32"/>
          <w:lang w:val="en-US" w:eastAsia="zh-CN"/>
        </w:rPr>
        <w:t>726.07</w:t>
      </w:r>
      <w:r>
        <w:rPr>
          <w:rFonts w:hint="eastAsia" w:ascii="仿宋" w:hAnsi="仿宋" w:eastAsia="仿宋" w:cs="仿宋"/>
          <w:sz w:val="32"/>
          <w:szCs w:val="32"/>
        </w:rPr>
        <w:t>万元，与上年相比，减少</w:t>
      </w:r>
      <w:r>
        <w:rPr>
          <w:rFonts w:hint="eastAsia" w:ascii="仿宋" w:hAnsi="仿宋" w:eastAsia="仿宋" w:cs="仿宋"/>
          <w:sz w:val="32"/>
          <w:szCs w:val="32"/>
          <w:lang w:val="en-US" w:eastAsia="zh-CN"/>
        </w:rPr>
        <w:t>29.21</w:t>
      </w:r>
      <w:r>
        <w:rPr>
          <w:rFonts w:hint="eastAsia" w:ascii="仿宋" w:hAnsi="仿宋" w:eastAsia="仿宋" w:cs="仿宋"/>
          <w:sz w:val="32"/>
          <w:szCs w:val="32"/>
        </w:rPr>
        <w:t>万元，降低</w:t>
      </w:r>
      <w:r>
        <w:rPr>
          <w:rFonts w:hint="eastAsia" w:ascii="仿宋" w:hAnsi="仿宋" w:eastAsia="仿宋" w:cs="仿宋"/>
          <w:sz w:val="32"/>
          <w:szCs w:val="32"/>
          <w:lang w:val="en-US" w:eastAsia="zh-CN"/>
        </w:rPr>
        <w:t>3.87</w:t>
      </w:r>
      <w:r>
        <w:rPr>
          <w:rFonts w:hint="eastAsia" w:ascii="仿宋" w:hAnsi="仿宋" w:eastAsia="仿宋" w:cs="仿宋"/>
          <w:sz w:val="32"/>
          <w:szCs w:val="32"/>
        </w:rPr>
        <w:t>%，主要是因为项目支出拨款减少。</w:t>
      </w:r>
    </w:p>
    <w:p w14:paraId="16738EE3">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1DBCECCD">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2459923C">
      <w:pPr>
        <w:pStyle w:val="17"/>
        <w:spacing w:line="600" w:lineRule="exact"/>
        <w:ind w:firstLine="800" w:firstLineChars="250"/>
        <w:rPr>
          <w:rFonts w:ascii="Times New Roman" w:hAnsi="Times New Roman" w:eastAsia="仿宋_GB2312" w:cs="Times New Roman"/>
          <w:sz w:val="32"/>
          <w:szCs w:val="32"/>
        </w:rPr>
      </w:pPr>
      <w:r>
        <w:rPr>
          <w:rFonts w:hint="eastAsia" w:ascii="仿宋" w:hAnsi="仿宋" w:eastAsia="仿宋" w:cs="仿宋"/>
          <w:sz w:val="32"/>
          <w:szCs w:val="32"/>
        </w:rPr>
        <w:t>2025年度财政拨款支出</w:t>
      </w:r>
      <w:r>
        <w:rPr>
          <w:rFonts w:hint="eastAsia" w:ascii="仿宋" w:hAnsi="仿宋" w:eastAsia="仿宋" w:cs="仿宋"/>
          <w:sz w:val="32"/>
          <w:szCs w:val="32"/>
          <w:lang w:val="en-US" w:eastAsia="zh-CN"/>
        </w:rPr>
        <w:t>726.07</w:t>
      </w:r>
      <w:r>
        <w:rPr>
          <w:rFonts w:hint="eastAsia" w:ascii="仿宋" w:hAnsi="仿宋" w:eastAsia="仿宋" w:cs="仿宋"/>
          <w:sz w:val="32"/>
          <w:szCs w:val="32"/>
        </w:rPr>
        <w:t>万元，占本年支出合计的</w:t>
      </w:r>
      <w:r>
        <w:rPr>
          <w:rFonts w:hint="eastAsia" w:ascii="仿宋" w:hAnsi="仿宋" w:eastAsia="仿宋" w:cs="仿宋"/>
          <w:sz w:val="32"/>
          <w:szCs w:val="32"/>
          <w:lang w:val="en-US" w:eastAsia="zh-CN"/>
        </w:rPr>
        <w:t>100</w:t>
      </w:r>
      <w:r>
        <w:rPr>
          <w:rFonts w:hint="eastAsia" w:ascii="仿宋" w:hAnsi="仿宋" w:eastAsia="仿宋" w:cs="仿宋"/>
          <w:sz w:val="32"/>
          <w:szCs w:val="32"/>
        </w:rPr>
        <w:t>%，与上年相比，财政拨款支出减少</w:t>
      </w:r>
      <w:r>
        <w:rPr>
          <w:rFonts w:hint="eastAsia" w:ascii="仿宋" w:hAnsi="仿宋" w:eastAsia="仿宋" w:cs="仿宋"/>
          <w:sz w:val="32"/>
          <w:szCs w:val="32"/>
          <w:lang w:val="en-US" w:eastAsia="zh-CN"/>
        </w:rPr>
        <w:t>29.21</w:t>
      </w:r>
      <w:r>
        <w:rPr>
          <w:rFonts w:hint="eastAsia" w:ascii="仿宋" w:hAnsi="仿宋" w:eastAsia="仿宋" w:cs="仿宋"/>
          <w:sz w:val="32"/>
          <w:szCs w:val="32"/>
        </w:rPr>
        <w:t>万元，降低</w:t>
      </w:r>
      <w:r>
        <w:rPr>
          <w:rFonts w:hint="eastAsia" w:ascii="仿宋" w:hAnsi="仿宋" w:eastAsia="仿宋" w:cs="仿宋"/>
          <w:sz w:val="32"/>
          <w:szCs w:val="32"/>
          <w:lang w:val="en-US" w:eastAsia="zh-CN"/>
        </w:rPr>
        <w:t>3.87</w:t>
      </w:r>
      <w:r>
        <w:rPr>
          <w:rFonts w:hint="eastAsia" w:ascii="仿宋" w:hAnsi="仿宋" w:eastAsia="仿宋" w:cs="仿宋"/>
          <w:sz w:val="32"/>
          <w:szCs w:val="32"/>
        </w:rPr>
        <w:t>%，主要是因为项目支出拨款减少。</w:t>
      </w:r>
    </w:p>
    <w:p w14:paraId="0D2FC8E2">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3F8FA31">
      <w:pPr>
        <w:pStyle w:val="17"/>
        <w:spacing w:line="600" w:lineRule="exact"/>
        <w:ind w:firstLine="800" w:firstLineChars="250"/>
        <w:rPr>
          <w:rFonts w:hint="default" w:ascii="仿宋" w:hAnsi="仿宋" w:eastAsia="仿宋" w:cs="仿宋"/>
          <w:sz w:val="32"/>
          <w:szCs w:val="32"/>
          <w:lang w:val="en-US" w:eastAsia="zh-CN"/>
        </w:rPr>
      </w:pPr>
      <w:r>
        <w:rPr>
          <w:rFonts w:hint="eastAsia" w:ascii="仿宋" w:hAnsi="仿宋" w:eastAsia="仿宋" w:cs="仿宋"/>
          <w:sz w:val="32"/>
          <w:szCs w:val="32"/>
        </w:rPr>
        <w:t>2025年度财政拨款支出</w:t>
      </w:r>
      <w:r>
        <w:rPr>
          <w:rFonts w:hint="eastAsia" w:ascii="仿宋" w:hAnsi="仿宋" w:eastAsia="仿宋" w:cs="仿宋"/>
          <w:sz w:val="32"/>
          <w:szCs w:val="32"/>
          <w:lang w:val="en-US" w:eastAsia="zh-CN"/>
        </w:rPr>
        <w:t>726.07</w:t>
      </w:r>
      <w:r>
        <w:rPr>
          <w:rFonts w:hint="eastAsia" w:ascii="仿宋" w:hAnsi="仿宋" w:eastAsia="仿宋" w:cs="仿宋"/>
          <w:sz w:val="32"/>
          <w:szCs w:val="32"/>
        </w:rPr>
        <w:t>万元，主要用于以下方面：一般公共服务（类）支出</w:t>
      </w:r>
      <w:r>
        <w:rPr>
          <w:rFonts w:hint="eastAsia" w:ascii="仿宋" w:hAnsi="仿宋" w:eastAsia="仿宋" w:cs="仿宋"/>
          <w:sz w:val="32"/>
          <w:szCs w:val="32"/>
          <w:lang w:val="en-US" w:eastAsia="zh-CN"/>
        </w:rPr>
        <w:t>13.69</w:t>
      </w:r>
      <w:r>
        <w:rPr>
          <w:rFonts w:hint="eastAsia" w:ascii="仿宋" w:hAnsi="仿宋" w:eastAsia="仿宋" w:cs="仿宋"/>
          <w:sz w:val="32"/>
          <w:szCs w:val="32"/>
        </w:rPr>
        <w:t>万元，占</w:t>
      </w:r>
      <w:r>
        <w:rPr>
          <w:rFonts w:hint="eastAsia" w:ascii="仿宋" w:hAnsi="仿宋" w:eastAsia="仿宋" w:cs="仿宋"/>
          <w:sz w:val="32"/>
          <w:szCs w:val="32"/>
          <w:lang w:val="en-US" w:eastAsia="zh-CN"/>
        </w:rPr>
        <w:t>1.89</w:t>
      </w:r>
      <w:r>
        <w:rPr>
          <w:rFonts w:hint="eastAsia" w:ascii="仿宋" w:hAnsi="仿宋" w:eastAsia="仿宋" w:cs="仿宋"/>
          <w:sz w:val="32"/>
          <w:szCs w:val="32"/>
        </w:rPr>
        <w:t>%；科学技术（类）支出</w:t>
      </w:r>
      <w:r>
        <w:rPr>
          <w:rFonts w:hint="eastAsia" w:ascii="仿宋" w:hAnsi="仿宋" w:eastAsia="仿宋" w:cs="仿宋"/>
          <w:sz w:val="32"/>
          <w:szCs w:val="32"/>
          <w:lang w:val="en-US" w:eastAsia="zh-CN"/>
        </w:rPr>
        <w:t>619.92</w:t>
      </w:r>
      <w:r>
        <w:rPr>
          <w:rFonts w:hint="eastAsia" w:ascii="仿宋" w:hAnsi="仿宋" w:eastAsia="仿宋" w:cs="仿宋"/>
          <w:sz w:val="32"/>
          <w:szCs w:val="32"/>
        </w:rPr>
        <w:t>万元，占</w:t>
      </w:r>
      <w:r>
        <w:rPr>
          <w:rFonts w:hint="eastAsia" w:ascii="仿宋" w:hAnsi="仿宋" w:eastAsia="仿宋" w:cs="仿宋"/>
          <w:sz w:val="32"/>
          <w:szCs w:val="32"/>
          <w:lang w:val="en-US" w:eastAsia="zh-CN"/>
        </w:rPr>
        <w:t>85.38</w:t>
      </w:r>
      <w:r>
        <w:rPr>
          <w:rFonts w:hint="eastAsia" w:ascii="仿宋" w:hAnsi="仿宋" w:eastAsia="仿宋" w:cs="仿宋"/>
          <w:sz w:val="32"/>
          <w:szCs w:val="32"/>
        </w:rPr>
        <w:t xml:space="preserve"> %；文化旅游体育与传媒</w:t>
      </w:r>
      <w:r>
        <w:rPr>
          <w:rFonts w:hint="eastAsia" w:ascii="仿宋" w:hAnsi="仿宋" w:eastAsia="仿宋" w:cs="仿宋"/>
          <w:sz w:val="32"/>
          <w:szCs w:val="32"/>
          <w:lang w:eastAsia="zh-CN"/>
        </w:rPr>
        <w:t>（类）</w:t>
      </w:r>
      <w:r>
        <w:rPr>
          <w:rFonts w:hint="eastAsia" w:ascii="仿宋" w:hAnsi="仿宋" w:eastAsia="仿宋" w:cs="仿宋"/>
          <w:sz w:val="32"/>
          <w:szCs w:val="32"/>
        </w:rPr>
        <w:t>支出</w:t>
      </w:r>
      <w:r>
        <w:rPr>
          <w:rFonts w:hint="eastAsia" w:ascii="仿宋" w:hAnsi="仿宋" w:eastAsia="仿宋" w:cs="仿宋"/>
          <w:sz w:val="32"/>
          <w:szCs w:val="32"/>
          <w:lang w:val="en-US" w:eastAsia="zh-CN"/>
        </w:rPr>
        <w:t>34.00万元，占4.68%；</w:t>
      </w:r>
      <w:r>
        <w:rPr>
          <w:rFonts w:hint="eastAsia" w:ascii="仿宋" w:hAnsi="仿宋" w:eastAsia="仿宋" w:cs="仿宋"/>
          <w:sz w:val="32"/>
          <w:szCs w:val="32"/>
        </w:rPr>
        <w:t>社会保障和就业（类）支出</w:t>
      </w:r>
      <w:r>
        <w:rPr>
          <w:rFonts w:hint="eastAsia" w:ascii="仿宋" w:hAnsi="仿宋" w:eastAsia="仿宋" w:cs="仿宋"/>
          <w:sz w:val="32"/>
          <w:szCs w:val="32"/>
          <w:lang w:val="en-US" w:eastAsia="zh-CN"/>
        </w:rPr>
        <w:t>45.68</w:t>
      </w:r>
      <w:r>
        <w:rPr>
          <w:rFonts w:hint="eastAsia" w:ascii="仿宋" w:hAnsi="仿宋" w:eastAsia="仿宋" w:cs="仿宋"/>
          <w:sz w:val="32"/>
          <w:szCs w:val="32"/>
        </w:rPr>
        <w:t>万元，占</w:t>
      </w:r>
      <w:r>
        <w:rPr>
          <w:rFonts w:hint="eastAsia" w:ascii="仿宋" w:hAnsi="仿宋" w:eastAsia="仿宋" w:cs="仿宋"/>
          <w:sz w:val="32"/>
          <w:szCs w:val="32"/>
          <w:lang w:val="en-US" w:eastAsia="zh-CN"/>
        </w:rPr>
        <w:t>6.29</w:t>
      </w:r>
      <w:r>
        <w:rPr>
          <w:rFonts w:hint="eastAsia" w:ascii="仿宋" w:hAnsi="仿宋" w:eastAsia="仿宋" w:cs="仿宋"/>
          <w:sz w:val="32"/>
          <w:szCs w:val="32"/>
        </w:rPr>
        <w:t>%；卫生健康（类）支出</w:t>
      </w:r>
      <w:r>
        <w:rPr>
          <w:rFonts w:hint="eastAsia" w:ascii="仿宋" w:hAnsi="仿宋" w:eastAsia="仿宋" w:cs="仿宋"/>
          <w:sz w:val="32"/>
          <w:szCs w:val="32"/>
          <w:lang w:val="en-US" w:eastAsia="zh-CN"/>
        </w:rPr>
        <w:t>9.77</w:t>
      </w:r>
      <w:r>
        <w:rPr>
          <w:rFonts w:hint="eastAsia" w:ascii="仿宋" w:hAnsi="仿宋" w:eastAsia="仿宋" w:cs="仿宋"/>
          <w:sz w:val="32"/>
          <w:szCs w:val="32"/>
        </w:rPr>
        <w:t>万元，占</w:t>
      </w:r>
      <w:r>
        <w:rPr>
          <w:rFonts w:hint="eastAsia" w:ascii="仿宋" w:hAnsi="仿宋" w:eastAsia="仿宋" w:cs="仿宋"/>
          <w:sz w:val="32"/>
          <w:szCs w:val="32"/>
          <w:lang w:val="en-US" w:eastAsia="zh-CN"/>
        </w:rPr>
        <w:t>1.35</w:t>
      </w:r>
      <w:r>
        <w:rPr>
          <w:rFonts w:hint="eastAsia" w:ascii="仿宋" w:hAnsi="仿宋" w:eastAsia="仿宋" w:cs="仿宋"/>
          <w:sz w:val="32"/>
          <w:szCs w:val="32"/>
        </w:rPr>
        <w:t>%</w:t>
      </w:r>
      <w:r>
        <w:rPr>
          <w:rFonts w:hint="eastAsia" w:ascii="仿宋" w:hAnsi="仿宋" w:eastAsia="仿宋" w:cs="仿宋"/>
          <w:sz w:val="32"/>
          <w:szCs w:val="32"/>
          <w:lang w:eastAsia="zh-CN"/>
        </w:rPr>
        <w:t>；住房保障（类）支出</w:t>
      </w:r>
      <w:r>
        <w:rPr>
          <w:rFonts w:hint="eastAsia" w:ascii="仿宋" w:hAnsi="仿宋" w:eastAsia="仿宋" w:cs="仿宋"/>
          <w:sz w:val="32"/>
          <w:szCs w:val="32"/>
          <w:lang w:val="en-US" w:eastAsia="zh-CN"/>
        </w:rPr>
        <w:t>3.00万元，占0.41%。</w:t>
      </w:r>
    </w:p>
    <w:p w14:paraId="2AED6922">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064BEC3">
      <w:pPr>
        <w:pStyle w:val="17"/>
        <w:spacing w:line="600" w:lineRule="exact"/>
        <w:ind w:firstLine="800" w:firstLineChars="250"/>
        <w:rPr>
          <w:rFonts w:hint="eastAsia" w:ascii="仿宋" w:hAnsi="仿宋" w:eastAsia="仿宋" w:cs="仿宋"/>
          <w:sz w:val="32"/>
          <w:szCs w:val="32"/>
        </w:rPr>
      </w:pPr>
      <w:r>
        <w:rPr>
          <w:rFonts w:hint="eastAsia" w:ascii="仿宋" w:hAnsi="仿宋" w:eastAsia="仿宋" w:cs="仿宋"/>
          <w:sz w:val="32"/>
          <w:szCs w:val="32"/>
        </w:rPr>
        <w:t>2025年度财政拨款支出年初预算数为</w:t>
      </w:r>
      <w:r>
        <w:rPr>
          <w:rFonts w:hint="eastAsia" w:ascii="仿宋" w:hAnsi="仿宋" w:eastAsia="仿宋" w:cs="仿宋"/>
          <w:sz w:val="32"/>
          <w:szCs w:val="32"/>
          <w:lang w:val="en-US" w:eastAsia="zh-CN"/>
        </w:rPr>
        <w:t>400.53</w:t>
      </w:r>
      <w:r>
        <w:rPr>
          <w:rFonts w:hint="eastAsia" w:ascii="仿宋" w:hAnsi="仿宋" w:eastAsia="仿宋" w:cs="仿宋"/>
          <w:sz w:val="32"/>
          <w:szCs w:val="32"/>
        </w:rPr>
        <w:t>万元，支出决算数为</w:t>
      </w:r>
      <w:r>
        <w:rPr>
          <w:rFonts w:hint="eastAsia" w:ascii="仿宋" w:hAnsi="仿宋" w:eastAsia="仿宋" w:cs="仿宋"/>
          <w:sz w:val="32"/>
          <w:szCs w:val="32"/>
          <w:lang w:val="en-US" w:eastAsia="zh-CN"/>
        </w:rPr>
        <w:t>726.07</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181.</w:t>
      </w:r>
      <w:r>
        <w:rPr>
          <w:rFonts w:hint="default" w:ascii="仿宋" w:hAnsi="仿宋" w:eastAsia="仿宋" w:cs="仿宋"/>
          <w:sz w:val="32"/>
          <w:szCs w:val="32"/>
          <w:lang w:val="en-US" w:eastAsia="zh-CN"/>
        </w:rPr>
        <w:t>28</w:t>
      </w:r>
      <w:r>
        <w:rPr>
          <w:rFonts w:hint="eastAsia" w:ascii="仿宋" w:hAnsi="仿宋" w:eastAsia="仿宋" w:cs="仿宋"/>
          <w:sz w:val="32"/>
          <w:szCs w:val="32"/>
        </w:rPr>
        <w:t>%，其中：</w:t>
      </w:r>
    </w:p>
    <w:p w14:paraId="1E8AB5BC">
      <w:pPr>
        <w:pStyle w:val="17"/>
        <w:spacing w:line="600" w:lineRule="exact"/>
        <w:ind w:firstLine="800" w:firstLineChars="250"/>
        <w:rPr>
          <w:rFonts w:hint="eastAsia" w:ascii="仿宋" w:hAnsi="仿宋" w:eastAsia="仿宋" w:cs="仿宋"/>
          <w:sz w:val="32"/>
          <w:szCs w:val="32"/>
          <w:lang w:eastAsia="zh-CN"/>
        </w:rPr>
      </w:pPr>
      <w:r>
        <w:rPr>
          <w:rFonts w:hint="eastAsia" w:ascii="仿宋" w:hAnsi="仿宋" w:eastAsia="仿宋" w:cs="仿宋"/>
          <w:sz w:val="32"/>
          <w:szCs w:val="32"/>
        </w:rPr>
        <w:t>1、一般公共服务支出（类）政协事务（款）其他政协事务支出（项）</w:t>
      </w:r>
      <w:r>
        <w:rPr>
          <w:rFonts w:hint="eastAsia" w:ascii="仿宋" w:hAnsi="仿宋" w:eastAsia="仿宋" w:cs="仿宋"/>
          <w:sz w:val="32"/>
          <w:szCs w:val="32"/>
          <w:lang w:eastAsia="zh-CN"/>
        </w:rPr>
        <w:t>。</w:t>
      </w:r>
    </w:p>
    <w:p w14:paraId="77594F27">
      <w:pPr>
        <w:pStyle w:val="17"/>
        <w:spacing w:line="600" w:lineRule="exact"/>
        <w:ind w:firstLine="800" w:firstLineChars="250"/>
        <w:rPr>
          <w:rFonts w:hint="eastAsia" w:ascii="仿宋" w:hAnsi="仿宋" w:eastAsia="仿宋" w:cs="仿宋"/>
          <w:sz w:val="32"/>
          <w:szCs w:val="32"/>
        </w:rPr>
      </w:pPr>
      <w:r>
        <w:rPr>
          <w:rFonts w:hint="eastAsia" w:ascii="仿宋" w:hAnsi="仿宋" w:eastAsia="仿宋" w:cs="仿宋"/>
          <w:sz w:val="32"/>
          <w:szCs w:val="32"/>
        </w:rPr>
        <w:t>年初预算为</w:t>
      </w:r>
      <w:r>
        <w:rPr>
          <w:rFonts w:hint="default" w:ascii="仿宋" w:hAnsi="仿宋" w:eastAsia="仿宋" w:cs="仿宋"/>
          <w:sz w:val="32"/>
          <w:szCs w:val="32"/>
          <w:lang w:val="en" w:eastAsia="zh-CN"/>
        </w:rPr>
        <w:t>0</w:t>
      </w:r>
      <w:r>
        <w:rPr>
          <w:rFonts w:hint="eastAsia" w:ascii="仿宋" w:hAnsi="仿宋" w:eastAsia="仿宋" w:cs="仿宋"/>
          <w:sz w:val="32"/>
          <w:szCs w:val="32"/>
        </w:rPr>
        <w:t>万元，支出决算为</w:t>
      </w:r>
      <w:r>
        <w:rPr>
          <w:rFonts w:hint="default" w:ascii="仿宋" w:hAnsi="仿宋" w:eastAsia="仿宋" w:cs="仿宋"/>
          <w:sz w:val="32"/>
          <w:szCs w:val="32"/>
          <w:lang w:val="en"/>
        </w:rPr>
        <w:t>1.44</w:t>
      </w:r>
      <w:r>
        <w:rPr>
          <w:rFonts w:hint="eastAsia" w:ascii="仿宋" w:hAnsi="仿宋" w:eastAsia="仿宋" w:cs="仿宋"/>
          <w:sz w:val="32"/>
          <w:szCs w:val="32"/>
        </w:rPr>
        <w:t>万元，无法计算百分比，决算数大于年初预算数的主要原因是：年中预算调整。</w:t>
      </w:r>
    </w:p>
    <w:p w14:paraId="371CD7D6">
      <w:pPr>
        <w:pStyle w:val="17"/>
        <w:spacing w:line="600" w:lineRule="exact"/>
        <w:ind w:firstLine="800" w:firstLineChars="250"/>
        <w:rPr>
          <w:rFonts w:hint="eastAsia" w:ascii="仿宋" w:hAnsi="仿宋" w:eastAsia="仿宋" w:cs="仿宋"/>
          <w:sz w:val="32"/>
          <w:szCs w:val="32"/>
          <w:lang w:val="en" w:eastAsia="zh-CN"/>
        </w:rPr>
      </w:pPr>
      <w:r>
        <w:rPr>
          <w:rFonts w:hint="eastAsia" w:ascii="仿宋" w:hAnsi="仿宋" w:eastAsia="仿宋" w:cs="仿宋"/>
          <w:sz w:val="32"/>
          <w:szCs w:val="32"/>
        </w:rPr>
        <w:t>2、一般公共服务支出（类）其他</w:t>
      </w:r>
      <w:r>
        <w:rPr>
          <w:rFonts w:hint="eastAsia" w:ascii="仿宋" w:hAnsi="仿宋" w:eastAsia="仿宋" w:cs="仿宋"/>
          <w:sz w:val="32"/>
          <w:szCs w:val="32"/>
          <w:lang w:eastAsia="zh-CN"/>
        </w:rPr>
        <w:t>一般公共服务</w:t>
      </w:r>
      <w:r>
        <w:rPr>
          <w:rFonts w:hint="eastAsia" w:ascii="仿宋" w:hAnsi="仿宋" w:eastAsia="仿宋" w:cs="仿宋"/>
          <w:sz w:val="32"/>
          <w:szCs w:val="32"/>
        </w:rPr>
        <w:t>支出（款）其他一般公共服务支出（项）</w:t>
      </w:r>
      <w:r>
        <w:rPr>
          <w:rFonts w:hint="eastAsia" w:ascii="仿宋" w:hAnsi="仿宋" w:eastAsia="仿宋" w:cs="仿宋"/>
          <w:sz w:val="32"/>
          <w:szCs w:val="32"/>
          <w:lang w:eastAsia="zh-CN"/>
        </w:rPr>
        <w:t>。</w:t>
      </w:r>
    </w:p>
    <w:p w14:paraId="45C51980">
      <w:pPr>
        <w:pStyle w:val="17"/>
        <w:spacing w:line="600" w:lineRule="exact"/>
        <w:ind w:firstLine="800" w:firstLineChars="250"/>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12.26</w:t>
      </w:r>
      <w:r>
        <w:rPr>
          <w:rFonts w:hint="eastAsia" w:ascii="仿宋" w:hAnsi="仿宋" w:eastAsia="仿宋" w:cs="仿宋"/>
          <w:sz w:val="32"/>
          <w:szCs w:val="32"/>
        </w:rPr>
        <w:t>万元，无法计算百分比，决算数大于年初预算数的主要原因是：年中预算调整。</w:t>
      </w:r>
    </w:p>
    <w:p w14:paraId="41E80DE2">
      <w:pPr>
        <w:pStyle w:val="17"/>
        <w:spacing w:line="600" w:lineRule="exact"/>
        <w:ind w:firstLine="800" w:firstLineChars="250"/>
        <w:rPr>
          <w:rFonts w:hint="eastAsia" w:ascii="仿宋" w:hAnsi="仿宋" w:eastAsia="仿宋" w:cs="仿宋"/>
          <w:sz w:val="32"/>
          <w:szCs w:val="32"/>
        </w:rPr>
      </w:pPr>
      <w:r>
        <w:rPr>
          <w:rFonts w:hint="eastAsia" w:ascii="仿宋" w:hAnsi="仿宋" w:eastAsia="仿宋" w:cs="仿宋"/>
          <w:sz w:val="32"/>
          <w:szCs w:val="32"/>
        </w:rPr>
        <w:t>3、科学技术支出（类）科学技术管理事务（款）行政运行（项）</w:t>
      </w:r>
    </w:p>
    <w:p w14:paraId="0B5FBCAA">
      <w:pPr>
        <w:pStyle w:val="17"/>
        <w:spacing w:line="600" w:lineRule="exact"/>
        <w:ind w:firstLine="800" w:firstLineChars="250"/>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color w:val="auto"/>
          <w:kern w:val="0"/>
          <w:sz w:val="32"/>
          <w:szCs w:val="32"/>
          <w:lang w:val="en-US" w:eastAsia="zh-CN" w:bidi="ar-SA"/>
        </w:rPr>
        <w:t>200.24</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203.42</w:t>
      </w:r>
      <w:r>
        <w:rPr>
          <w:rFonts w:hint="eastAsia" w:ascii="仿宋" w:hAnsi="仿宋" w:eastAsia="仿宋" w:cs="仿宋"/>
          <w:sz w:val="32"/>
          <w:szCs w:val="32"/>
        </w:rPr>
        <w:t>万元，完成年初预算的</w:t>
      </w:r>
      <w:r>
        <w:rPr>
          <w:rFonts w:hint="eastAsia" w:ascii="仿宋" w:hAnsi="仿宋" w:eastAsia="仿宋" w:cs="仿宋"/>
          <w:color w:val="auto"/>
          <w:kern w:val="0"/>
          <w:sz w:val="32"/>
          <w:szCs w:val="32"/>
          <w:lang w:val="en-US" w:eastAsia="zh-CN" w:bidi="ar-SA"/>
        </w:rPr>
        <w:t>105%</w:t>
      </w:r>
      <w:r>
        <w:rPr>
          <w:rFonts w:hint="eastAsia" w:ascii="仿宋" w:hAnsi="仿宋" w:eastAsia="仿宋" w:cs="仿宋"/>
          <w:sz w:val="32"/>
          <w:szCs w:val="32"/>
        </w:rPr>
        <w:t>，</w:t>
      </w:r>
      <w:r>
        <w:rPr>
          <w:rFonts w:hint="eastAsia" w:ascii="仿宋" w:hAnsi="仿宋" w:eastAsia="仿宋" w:cs="仿宋"/>
          <w:sz w:val="32"/>
          <w:szCs w:val="32"/>
          <w:shd w:val="clear" w:color="auto" w:fill="FFFFFF"/>
        </w:rPr>
        <w:t>决算数大于年初预算数的主要原因是：年中预算调整</w:t>
      </w:r>
      <w:r>
        <w:rPr>
          <w:rFonts w:hint="eastAsia" w:ascii="仿宋" w:hAnsi="仿宋" w:eastAsia="仿宋" w:cs="仿宋"/>
          <w:sz w:val="32"/>
          <w:szCs w:val="32"/>
        </w:rPr>
        <w:t>。</w:t>
      </w:r>
    </w:p>
    <w:p w14:paraId="2BD50C36">
      <w:pPr>
        <w:pStyle w:val="17"/>
        <w:spacing w:line="600" w:lineRule="exact"/>
        <w:ind w:firstLine="800" w:firstLineChars="250"/>
        <w:rPr>
          <w:rFonts w:hint="eastAsia" w:ascii="仿宋" w:hAnsi="仿宋" w:eastAsia="仿宋" w:cs="仿宋"/>
          <w:sz w:val="32"/>
          <w:szCs w:val="32"/>
        </w:rPr>
      </w:pPr>
      <w:r>
        <w:rPr>
          <w:rFonts w:hint="eastAsia" w:ascii="仿宋" w:hAnsi="仿宋" w:eastAsia="仿宋" w:cs="仿宋"/>
          <w:sz w:val="32"/>
          <w:szCs w:val="32"/>
        </w:rPr>
        <w:t>4、科学技术支出（类）科学技术普及（款）机构运行（项）</w:t>
      </w:r>
    </w:p>
    <w:p w14:paraId="14CBF0FA">
      <w:pPr>
        <w:pStyle w:val="17"/>
        <w:spacing w:line="600" w:lineRule="exact"/>
        <w:ind w:firstLine="800" w:firstLineChars="250"/>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48.8</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11.98</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24.55</w:t>
      </w:r>
      <w:r>
        <w:rPr>
          <w:rFonts w:hint="eastAsia" w:ascii="仿宋" w:hAnsi="仿宋" w:eastAsia="仿宋" w:cs="仿宋"/>
          <w:sz w:val="32"/>
          <w:szCs w:val="32"/>
        </w:rPr>
        <w:t>%</w:t>
      </w:r>
      <w:r>
        <w:rPr>
          <w:rFonts w:hint="eastAsia" w:ascii="仿宋" w:hAnsi="仿宋" w:eastAsia="仿宋" w:cs="仿宋"/>
          <w:sz w:val="32"/>
          <w:szCs w:val="32"/>
          <w:shd w:val="clear" w:color="auto" w:fill="FFFFFF"/>
        </w:rPr>
        <w:t>。决算数小于年初预算数的主要原因是：年中预算调整</w:t>
      </w:r>
    </w:p>
    <w:p w14:paraId="24722014">
      <w:pPr>
        <w:pStyle w:val="17"/>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
        </w:rPr>
        <w:t>5</w:t>
      </w:r>
      <w:r>
        <w:rPr>
          <w:rFonts w:hint="eastAsia" w:ascii="仿宋" w:hAnsi="仿宋" w:eastAsia="仿宋" w:cs="仿宋"/>
          <w:sz w:val="32"/>
          <w:szCs w:val="32"/>
          <w:lang w:val="en" w:eastAsia="zh-CN"/>
        </w:rPr>
        <w:t>、科</w:t>
      </w:r>
      <w:r>
        <w:rPr>
          <w:rFonts w:hint="eastAsia" w:ascii="仿宋" w:hAnsi="仿宋" w:eastAsia="仿宋" w:cs="仿宋"/>
          <w:sz w:val="32"/>
          <w:szCs w:val="32"/>
        </w:rPr>
        <w:t>学技术支出（类）科学技术普及（款）学术交流活动（项）</w:t>
      </w:r>
    </w:p>
    <w:p w14:paraId="72DED611">
      <w:pPr>
        <w:pStyle w:val="24"/>
        <w:spacing w:before="0" w:beforeAutospacing="0" w:after="0" w:afterAutospacing="0" w:line="56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rPr>
        <w:t>年初预算为0万元，支出决算为</w:t>
      </w:r>
      <w:r>
        <w:rPr>
          <w:rFonts w:hint="eastAsia" w:ascii="仿宋" w:hAnsi="仿宋" w:eastAsia="仿宋" w:cs="仿宋"/>
          <w:sz w:val="32"/>
          <w:szCs w:val="32"/>
          <w:lang w:val="en-US" w:eastAsia="zh-CN"/>
        </w:rPr>
        <w:t>8.94</w:t>
      </w:r>
      <w:r>
        <w:rPr>
          <w:rFonts w:hint="eastAsia" w:ascii="仿宋" w:hAnsi="仿宋" w:eastAsia="仿宋" w:cs="仿宋"/>
          <w:sz w:val="32"/>
          <w:szCs w:val="32"/>
        </w:rPr>
        <w:t>万元，</w:t>
      </w:r>
      <w:r>
        <w:rPr>
          <w:rFonts w:hint="eastAsia" w:ascii="仿宋" w:hAnsi="仿宋" w:eastAsia="仿宋" w:cs="仿宋"/>
          <w:sz w:val="32"/>
          <w:szCs w:val="32"/>
          <w:shd w:val="clear" w:color="auto" w:fill="FFFFFF"/>
        </w:rPr>
        <w:t>无法计算百分比。决算数大于年初预算数的主要原因是：年中预算调整（省科协拨款）。</w:t>
      </w:r>
    </w:p>
    <w:p w14:paraId="1C8960B8">
      <w:pPr>
        <w:pStyle w:val="17"/>
        <w:spacing w:line="60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、科学技术支出（类）科学技术普及（款）科技馆站（项）</w:t>
      </w:r>
    </w:p>
    <w:p w14:paraId="0720007F">
      <w:pPr>
        <w:pStyle w:val="17"/>
        <w:spacing w:line="600" w:lineRule="exact"/>
        <w:ind w:firstLine="800" w:firstLineChars="250"/>
        <w:rPr>
          <w:rFonts w:hint="eastAsia" w:ascii="仿宋_GB2312" w:hAnsi="仿宋" w:eastAsia="仿宋_GB2312" w:cs="仿宋"/>
          <w:sz w:val="30"/>
          <w:szCs w:val="30"/>
          <w:shd w:val="clear" w:color="auto" w:fill="FFFFFF"/>
        </w:rPr>
      </w:pPr>
      <w:r>
        <w:rPr>
          <w:rFonts w:hint="eastAsia" w:ascii="仿宋" w:hAnsi="仿宋" w:eastAsia="仿宋" w:cs="仿宋"/>
          <w:sz w:val="32"/>
          <w:szCs w:val="32"/>
          <w:highlight w:val="none"/>
        </w:rPr>
        <w:t>年初预算为100万元，支出决算为</w:t>
      </w:r>
      <w:r>
        <w:rPr>
          <w:rFonts w:hint="eastAsia" w:ascii="仿宋" w:hAnsi="仿宋" w:eastAsia="仿宋" w:cs="仿宋"/>
          <w:sz w:val="32"/>
          <w:szCs w:val="32"/>
          <w:highlight w:val="none"/>
          <w:lang w:val="en-US" w:eastAsia="zh-CN"/>
        </w:rPr>
        <w:t>261.00</w:t>
      </w:r>
      <w:r>
        <w:rPr>
          <w:rFonts w:hint="eastAsia" w:ascii="仿宋" w:hAnsi="仿宋" w:eastAsia="仿宋" w:cs="仿宋"/>
          <w:sz w:val="32"/>
          <w:szCs w:val="32"/>
          <w:highlight w:val="none"/>
        </w:rPr>
        <w:t>万元，完成年初预算的</w:t>
      </w:r>
      <w:r>
        <w:rPr>
          <w:rFonts w:hint="eastAsia" w:ascii="仿宋" w:hAnsi="仿宋" w:eastAsia="仿宋" w:cs="仿宋"/>
          <w:sz w:val="32"/>
          <w:szCs w:val="32"/>
          <w:highlight w:val="none"/>
          <w:lang w:val="en-US" w:eastAsia="zh-CN"/>
        </w:rPr>
        <w:t>261</w:t>
      </w:r>
      <w:r>
        <w:rPr>
          <w:rFonts w:hint="eastAsia" w:ascii="仿宋" w:hAnsi="仿宋" w:eastAsia="仿宋" w:cs="仿宋"/>
          <w:sz w:val="32"/>
          <w:szCs w:val="32"/>
          <w:highlight w:val="none"/>
        </w:rPr>
        <w:t>%，决算数大于年初预算数的主要原因是：增加免费开放资金，科技馆更新展品设备（省财政厅拨款免费开放补助资金）。</w:t>
      </w:r>
    </w:p>
    <w:p w14:paraId="5A7295BE">
      <w:pPr>
        <w:pStyle w:val="17"/>
        <w:numPr>
          <w:ilvl w:val="0"/>
          <w:numId w:val="0"/>
        </w:numPr>
        <w:spacing w:line="600" w:lineRule="exact"/>
        <w:ind w:firstLine="640" w:firstLineChars="200"/>
        <w:rPr>
          <w:rFonts w:hint="eastAsia" w:ascii="仿宋_GB2312" w:hAnsi="Times New Roman" w:eastAsia="仿宋_GB2312"/>
          <w:sz w:val="32"/>
          <w:szCs w:val="32"/>
          <w:highlight w:val="none"/>
        </w:rPr>
      </w:pPr>
      <w:r>
        <w:rPr>
          <w:rFonts w:hint="eastAsia" w:ascii="仿宋_GB2312" w:hAnsi="Times New Roman" w:eastAsia="仿宋_GB2312"/>
          <w:sz w:val="32"/>
          <w:szCs w:val="32"/>
          <w:highlight w:val="none"/>
          <w:lang w:val="en-US" w:eastAsia="zh-CN"/>
        </w:rPr>
        <w:t>7、</w:t>
      </w:r>
      <w:r>
        <w:rPr>
          <w:rFonts w:hint="eastAsia" w:ascii="仿宋_GB2312" w:hAnsi="Times New Roman" w:eastAsia="仿宋_GB2312"/>
          <w:sz w:val="32"/>
          <w:szCs w:val="32"/>
          <w:highlight w:val="none"/>
        </w:rPr>
        <w:t>科学技术支出（类）科学技术普及（款）其他科学技术普及支出</w:t>
      </w:r>
    </w:p>
    <w:p w14:paraId="2968E716">
      <w:pPr>
        <w:pStyle w:val="24"/>
        <w:spacing w:before="0" w:beforeAutospacing="0" w:after="0" w:afterAutospacing="0" w:line="560" w:lineRule="exact"/>
        <w:ind w:firstLine="640" w:firstLineChars="200"/>
        <w:rPr>
          <w:rFonts w:hint="eastAsia" w:ascii="仿宋_GB2312" w:hAnsi="仿宋" w:eastAsia="仿宋_GB2312" w:cs="仿宋"/>
          <w:sz w:val="32"/>
          <w:szCs w:val="32"/>
          <w:highlight w:val="none"/>
          <w:shd w:val="clear" w:color="auto" w:fill="FFFFFF"/>
        </w:rPr>
      </w:pPr>
      <w:r>
        <w:rPr>
          <w:rFonts w:hint="eastAsia" w:ascii="仿宋_GB2312" w:hAnsi="Times New Roman" w:eastAsia="仿宋_GB2312"/>
          <w:sz w:val="32"/>
          <w:szCs w:val="32"/>
          <w:highlight w:val="none"/>
        </w:rPr>
        <w:t>年初预算为</w:t>
      </w:r>
      <w:r>
        <w:rPr>
          <w:rFonts w:hint="eastAsia" w:ascii="仿宋_GB2312" w:hAnsi="Times New Roman" w:eastAsia="仿宋_GB2312"/>
          <w:sz w:val="32"/>
          <w:szCs w:val="32"/>
          <w:highlight w:val="none"/>
          <w:lang w:val="en-US" w:eastAsia="zh-CN"/>
        </w:rPr>
        <w:t>15</w:t>
      </w:r>
      <w:r>
        <w:rPr>
          <w:rFonts w:hint="eastAsia" w:ascii="仿宋_GB2312" w:hAnsi="Times New Roman" w:eastAsia="仿宋_GB2312"/>
          <w:sz w:val="32"/>
          <w:szCs w:val="32"/>
          <w:highlight w:val="none"/>
        </w:rPr>
        <w:t>万元，支出决算为</w:t>
      </w:r>
      <w:r>
        <w:rPr>
          <w:rFonts w:hint="eastAsia" w:ascii="仿宋_GB2312" w:hAnsi="Times New Roman" w:eastAsia="仿宋_GB2312"/>
          <w:sz w:val="32"/>
          <w:szCs w:val="32"/>
          <w:highlight w:val="none"/>
          <w:lang w:val="en-US" w:eastAsia="zh-CN"/>
        </w:rPr>
        <w:t>125.06</w:t>
      </w:r>
      <w:r>
        <w:rPr>
          <w:rFonts w:hint="eastAsia" w:ascii="仿宋_GB2312" w:hAnsi="Times New Roman" w:eastAsia="仿宋_GB2312"/>
          <w:sz w:val="32"/>
          <w:szCs w:val="32"/>
          <w:highlight w:val="none"/>
        </w:rPr>
        <w:t>万元，完成年初预算的</w:t>
      </w:r>
      <w:r>
        <w:rPr>
          <w:rFonts w:hint="eastAsia" w:ascii="仿宋_GB2312" w:hAnsi="Times New Roman" w:eastAsia="仿宋_GB2312"/>
          <w:sz w:val="32"/>
          <w:szCs w:val="32"/>
          <w:highlight w:val="none"/>
          <w:lang w:val="en-US" w:eastAsia="zh-CN"/>
        </w:rPr>
        <w:t>834</w:t>
      </w:r>
      <w:r>
        <w:rPr>
          <w:rFonts w:ascii="仿宋_GB2312" w:hAnsi="Times New Roman" w:eastAsia="仿宋_GB2312"/>
          <w:sz w:val="32"/>
          <w:szCs w:val="32"/>
          <w:highlight w:val="none"/>
        </w:rPr>
        <w:t>%</w:t>
      </w:r>
      <w:r>
        <w:rPr>
          <w:rFonts w:hint="eastAsia" w:ascii="仿宋_GB2312" w:hAnsi="仿宋" w:eastAsia="仿宋_GB2312" w:cs="仿宋"/>
          <w:sz w:val="32"/>
          <w:szCs w:val="32"/>
          <w:highlight w:val="none"/>
          <w:shd w:val="clear" w:color="auto" w:fill="FFFFFF"/>
        </w:rPr>
        <w:t>。决算数大于年初预算数的主要原因是：年中预算调整。</w:t>
      </w:r>
    </w:p>
    <w:p w14:paraId="6E841001">
      <w:pPr>
        <w:pStyle w:val="17"/>
        <w:spacing w:line="600" w:lineRule="exact"/>
        <w:ind w:firstLine="800" w:firstLineChars="250"/>
        <w:rPr>
          <w:rFonts w:ascii="仿宋_GB2312" w:hAnsi="Times New Roman" w:eastAsia="仿宋_GB2312"/>
          <w:sz w:val="32"/>
          <w:szCs w:val="32"/>
          <w:highlight w:val="none"/>
        </w:rPr>
      </w:pPr>
      <w:r>
        <w:rPr>
          <w:rFonts w:hint="eastAsia" w:ascii="仿宋_GB2312" w:hAnsi="Times New Roman" w:eastAsia="仿宋_GB2312"/>
          <w:sz w:val="32"/>
          <w:szCs w:val="32"/>
          <w:highlight w:val="none"/>
          <w:lang w:val="en-US" w:eastAsia="zh-CN"/>
        </w:rPr>
        <w:t>8</w:t>
      </w:r>
      <w:r>
        <w:rPr>
          <w:rFonts w:hint="eastAsia" w:ascii="仿宋_GB2312" w:hAnsi="Times New Roman" w:eastAsia="仿宋_GB2312"/>
          <w:sz w:val="32"/>
          <w:szCs w:val="32"/>
          <w:highlight w:val="none"/>
        </w:rPr>
        <w:t>、科学技术支出（类）</w:t>
      </w:r>
      <w:r>
        <w:rPr>
          <w:rFonts w:hint="eastAsia" w:ascii="仿宋_GB2312" w:hAnsi="Times New Roman" w:eastAsia="仿宋_GB2312"/>
          <w:sz w:val="32"/>
          <w:szCs w:val="32"/>
          <w:highlight w:val="none"/>
          <w:lang w:eastAsia="zh-CN"/>
        </w:rPr>
        <w:t>其他</w:t>
      </w:r>
      <w:r>
        <w:rPr>
          <w:rFonts w:hint="eastAsia" w:ascii="仿宋_GB2312" w:hAnsi="Times New Roman" w:eastAsia="仿宋_GB2312"/>
          <w:sz w:val="32"/>
          <w:szCs w:val="32"/>
          <w:highlight w:val="none"/>
        </w:rPr>
        <w:t>科学技术</w:t>
      </w:r>
      <w:r>
        <w:rPr>
          <w:rFonts w:hint="eastAsia" w:ascii="仿宋_GB2312" w:hAnsi="Times New Roman" w:eastAsia="仿宋_GB2312"/>
          <w:sz w:val="32"/>
          <w:szCs w:val="32"/>
          <w:highlight w:val="none"/>
          <w:lang w:eastAsia="zh-CN"/>
        </w:rPr>
        <w:t>支出</w:t>
      </w:r>
      <w:r>
        <w:rPr>
          <w:rFonts w:hint="eastAsia" w:ascii="仿宋_GB2312" w:hAnsi="Times New Roman" w:eastAsia="仿宋_GB2312"/>
          <w:sz w:val="32"/>
          <w:szCs w:val="32"/>
          <w:highlight w:val="none"/>
        </w:rPr>
        <w:t>（款）其他科学技术支出（项）</w:t>
      </w:r>
    </w:p>
    <w:p w14:paraId="495CA825">
      <w:pPr>
        <w:pStyle w:val="24"/>
        <w:spacing w:before="0" w:beforeAutospacing="0" w:after="0" w:afterAutospacing="0" w:line="560" w:lineRule="exact"/>
        <w:ind w:firstLine="640" w:firstLineChars="200"/>
        <w:rPr>
          <w:rFonts w:ascii="仿宋_GB2312" w:hAnsi="仿宋" w:eastAsia="仿宋_GB2312" w:cs="仿宋"/>
          <w:sz w:val="32"/>
          <w:szCs w:val="32"/>
          <w:highlight w:val="none"/>
        </w:rPr>
      </w:pPr>
      <w:r>
        <w:rPr>
          <w:rFonts w:hint="eastAsia" w:ascii="仿宋_GB2312" w:hAnsi="Times New Roman" w:eastAsia="仿宋_GB2312"/>
          <w:sz w:val="32"/>
          <w:szCs w:val="32"/>
          <w:highlight w:val="none"/>
        </w:rPr>
        <w:t>年初预算为</w:t>
      </w:r>
      <w:r>
        <w:rPr>
          <w:rFonts w:ascii="仿宋_GB2312" w:hAnsi="Times New Roman" w:eastAsia="仿宋_GB2312"/>
          <w:sz w:val="32"/>
          <w:szCs w:val="32"/>
          <w:highlight w:val="none"/>
        </w:rPr>
        <w:t>0</w:t>
      </w:r>
      <w:r>
        <w:rPr>
          <w:rFonts w:hint="eastAsia" w:ascii="仿宋_GB2312" w:hAnsi="Times New Roman" w:eastAsia="仿宋_GB2312"/>
          <w:sz w:val="32"/>
          <w:szCs w:val="32"/>
          <w:highlight w:val="none"/>
        </w:rPr>
        <w:t>万元，支出决算为</w:t>
      </w:r>
      <w:r>
        <w:rPr>
          <w:rFonts w:hint="eastAsia" w:ascii="仿宋_GB2312" w:hAnsi="Times New Roman" w:eastAsia="仿宋_GB2312"/>
          <w:sz w:val="32"/>
          <w:szCs w:val="32"/>
          <w:highlight w:val="none"/>
          <w:lang w:val="en-US" w:eastAsia="zh-CN"/>
        </w:rPr>
        <w:t>9.51</w:t>
      </w:r>
      <w:r>
        <w:rPr>
          <w:rFonts w:hint="eastAsia" w:ascii="仿宋_GB2312" w:hAnsi="Times New Roman" w:eastAsia="仿宋_GB2312"/>
          <w:sz w:val="32"/>
          <w:szCs w:val="32"/>
          <w:highlight w:val="none"/>
        </w:rPr>
        <w:t>万元，</w:t>
      </w:r>
      <w:r>
        <w:rPr>
          <w:rFonts w:hint="eastAsia" w:ascii="仿宋_GB2312" w:hAnsi="仿宋" w:eastAsia="仿宋_GB2312" w:cs="仿宋"/>
          <w:sz w:val="32"/>
          <w:szCs w:val="32"/>
          <w:highlight w:val="none"/>
          <w:shd w:val="clear" w:color="auto" w:fill="FFFFFF"/>
        </w:rPr>
        <w:t>无法计算百分比。决算数大于年初预算数的主要原因是：年中预算调整。</w:t>
      </w:r>
    </w:p>
    <w:p w14:paraId="1C7EFE46">
      <w:pPr>
        <w:pStyle w:val="17"/>
        <w:spacing w:line="600" w:lineRule="exact"/>
        <w:ind w:firstLine="800" w:firstLineChars="250"/>
        <w:rPr>
          <w:rFonts w:ascii="仿宋_GB2312" w:hAnsi="Times New Roman" w:eastAsia="仿宋_GB2312"/>
          <w:sz w:val="32"/>
          <w:szCs w:val="32"/>
        </w:rPr>
      </w:pPr>
      <w:r>
        <w:rPr>
          <w:rFonts w:hint="eastAsia" w:ascii="仿宋_GB2312" w:hAnsi="Times New Roman" w:eastAsia="仿宋_GB2312"/>
          <w:sz w:val="32"/>
          <w:szCs w:val="32"/>
          <w:lang w:val="en-US" w:eastAsia="zh-CN"/>
        </w:rPr>
        <w:t>9</w:t>
      </w:r>
      <w:r>
        <w:rPr>
          <w:rFonts w:hint="eastAsia" w:ascii="仿宋_GB2312" w:hAnsi="Times New Roman" w:eastAsia="仿宋_GB2312"/>
          <w:sz w:val="32"/>
          <w:szCs w:val="32"/>
        </w:rPr>
        <w:t>、文化旅游体育与传媒支出（类）其他文化旅游体育与传媒支出（款）其他文化旅游体育与传媒支出（项）</w:t>
      </w:r>
    </w:p>
    <w:p w14:paraId="3DE152AF">
      <w:pPr>
        <w:pStyle w:val="17"/>
        <w:spacing w:line="600" w:lineRule="exact"/>
        <w:ind w:firstLine="800" w:firstLineChars="250"/>
        <w:rPr>
          <w:rFonts w:ascii="仿宋_GB2312" w:hAnsi="Times New Roman" w:eastAsia="仿宋_GB2312"/>
          <w:sz w:val="32"/>
          <w:szCs w:val="32"/>
        </w:rPr>
      </w:pPr>
      <w:r>
        <w:rPr>
          <w:rFonts w:hint="eastAsia" w:ascii="仿宋_GB2312" w:hAnsi="Times New Roman" w:eastAsia="仿宋_GB2312"/>
          <w:sz w:val="32"/>
          <w:szCs w:val="32"/>
        </w:rPr>
        <w:t>年初预算为</w:t>
      </w:r>
      <w:r>
        <w:rPr>
          <w:rFonts w:hint="eastAsia" w:ascii="仿宋_GB2312" w:hAnsi="Times New Roman" w:eastAsia="仿宋_GB2312"/>
          <w:sz w:val="32"/>
          <w:szCs w:val="32"/>
          <w:lang w:val="en-US" w:eastAsia="zh-CN"/>
        </w:rPr>
        <w:t>0</w:t>
      </w:r>
      <w:r>
        <w:rPr>
          <w:rFonts w:hint="eastAsia" w:ascii="仿宋_GB2312" w:hAnsi="Times New Roman" w:eastAsia="仿宋_GB2312"/>
          <w:sz w:val="32"/>
          <w:szCs w:val="32"/>
        </w:rPr>
        <w:t>万元，支出决算为</w:t>
      </w:r>
      <w:r>
        <w:rPr>
          <w:rFonts w:hint="eastAsia" w:ascii="仿宋_GB2312" w:hAnsi="Times New Roman" w:eastAsia="仿宋_GB2312"/>
          <w:sz w:val="32"/>
          <w:szCs w:val="32"/>
          <w:lang w:val="en-US" w:eastAsia="zh-CN"/>
        </w:rPr>
        <w:t>34</w:t>
      </w:r>
      <w:r>
        <w:rPr>
          <w:rFonts w:hint="eastAsia" w:ascii="仿宋_GB2312" w:hAnsi="Times New Roman" w:eastAsia="仿宋_GB2312"/>
          <w:sz w:val="32"/>
          <w:szCs w:val="32"/>
        </w:rPr>
        <w:t>万元，决算数大于年初预算数的主要原因是：</w:t>
      </w:r>
      <w:r>
        <w:rPr>
          <w:rFonts w:hint="eastAsia" w:ascii="仿宋_GB2312" w:hAnsi="仿宋" w:eastAsia="仿宋_GB2312" w:cs="仿宋"/>
          <w:sz w:val="32"/>
          <w:szCs w:val="32"/>
          <w:shd w:val="clear" w:color="auto" w:fill="FFFFFF"/>
        </w:rPr>
        <w:t>年中预算调整</w:t>
      </w:r>
      <w:r>
        <w:rPr>
          <w:rFonts w:hint="eastAsia" w:ascii="仿宋_GB2312" w:hAnsi="Times New Roman" w:eastAsia="仿宋_GB2312"/>
          <w:sz w:val="32"/>
          <w:szCs w:val="32"/>
        </w:rPr>
        <w:t>。</w:t>
      </w:r>
    </w:p>
    <w:p w14:paraId="35B399FD">
      <w:pPr>
        <w:pStyle w:val="17"/>
        <w:spacing w:line="600" w:lineRule="exact"/>
        <w:ind w:firstLine="800" w:firstLineChars="250"/>
        <w:rPr>
          <w:rFonts w:ascii="仿宋_GB2312" w:hAnsi="Times New Roman" w:eastAsia="仿宋_GB2312"/>
          <w:sz w:val="32"/>
          <w:szCs w:val="32"/>
        </w:rPr>
      </w:pPr>
      <w:r>
        <w:rPr>
          <w:rFonts w:ascii="仿宋_GB2312" w:hAnsi="Times New Roman" w:eastAsia="仿宋_GB2312"/>
          <w:sz w:val="32"/>
          <w:szCs w:val="32"/>
        </w:rPr>
        <w:t>1</w:t>
      </w:r>
      <w:r>
        <w:rPr>
          <w:rFonts w:hint="eastAsia" w:ascii="仿宋_GB2312" w:hAnsi="Times New Roman" w:eastAsia="仿宋_GB2312"/>
          <w:sz w:val="32"/>
          <w:szCs w:val="32"/>
          <w:lang w:val="en-US" w:eastAsia="zh-CN"/>
        </w:rPr>
        <w:t>0</w:t>
      </w:r>
      <w:r>
        <w:rPr>
          <w:rFonts w:hint="eastAsia" w:ascii="仿宋_GB2312" w:hAnsi="Times New Roman" w:eastAsia="仿宋_GB2312"/>
          <w:sz w:val="32"/>
          <w:szCs w:val="32"/>
        </w:rPr>
        <w:t>、社会保障和就业支出（类）行政事业单位养老支出（款）事业单位离退休（项）。</w:t>
      </w:r>
    </w:p>
    <w:p w14:paraId="025A621A">
      <w:pPr>
        <w:pStyle w:val="17"/>
        <w:spacing w:line="600" w:lineRule="exact"/>
        <w:ind w:firstLine="800" w:firstLineChars="250"/>
        <w:rPr>
          <w:rFonts w:hint="eastAsia" w:ascii="仿宋_GB2312" w:hAnsi="Times New Roman" w:eastAsia="仿宋_GB2312"/>
          <w:color w:val="auto"/>
          <w:sz w:val="32"/>
          <w:szCs w:val="32"/>
        </w:rPr>
      </w:pPr>
      <w:r>
        <w:rPr>
          <w:rFonts w:hint="eastAsia" w:ascii="仿宋_GB2312" w:hAnsi="Times New Roman" w:eastAsia="仿宋_GB2312"/>
          <w:sz w:val="32"/>
          <w:szCs w:val="32"/>
        </w:rPr>
        <w:t>年初预</w:t>
      </w:r>
      <w:r>
        <w:rPr>
          <w:rFonts w:hint="eastAsia" w:ascii="仿宋_GB2312" w:hAnsi="Times New Roman" w:eastAsia="仿宋_GB2312"/>
          <w:color w:val="auto"/>
          <w:sz w:val="32"/>
          <w:szCs w:val="32"/>
        </w:rPr>
        <w:t>算为</w:t>
      </w:r>
      <w:r>
        <w:rPr>
          <w:rFonts w:hint="eastAsia" w:ascii="仿宋_GB2312" w:hAnsi="Times New Roman" w:eastAsia="仿宋_GB2312"/>
          <w:color w:val="auto"/>
          <w:sz w:val="32"/>
          <w:szCs w:val="32"/>
          <w:lang w:val="en-US" w:eastAsia="zh-CN"/>
        </w:rPr>
        <w:t>2.15</w:t>
      </w:r>
      <w:r>
        <w:rPr>
          <w:rFonts w:hint="eastAsia" w:ascii="仿宋_GB2312" w:hAnsi="Times New Roman" w:eastAsia="仿宋_GB2312"/>
          <w:color w:val="auto"/>
          <w:sz w:val="32"/>
          <w:szCs w:val="32"/>
        </w:rPr>
        <w:t>万元，支出决算</w:t>
      </w:r>
      <w:r>
        <w:rPr>
          <w:rFonts w:hint="eastAsia" w:ascii="仿宋_GB2312" w:hAnsi="Times New Roman" w:eastAsia="仿宋_GB2312"/>
          <w:color w:val="auto"/>
          <w:sz w:val="32"/>
          <w:szCs w:val="32"/>
          <w:lang w:val="en-US" w:eastAsia="zh-CN"/>
        </w:rPr>
        <w:t>2.15</w:t>
      </w:r>
      <w:r>
        <w:rPr>
          <w:rFonts w:hint="eastAsia" w:ascii="仿宋_GB2312" w:hAnsi="Times New Roman" w:eastAsia="仿宋_GB2312"/>
          <w:color w:val="auto"/>
          <w:sz w:val="32"/>
          <w:szCs w:val="32"/>
        </w:rPr>
        <w:t>万元，</w:t>
      </w:r>
      <w:r>
        <w:rPr>
          <w:rFonts w:hint="eastAsia" w:ascii="仿宋_GB2312" w:hAnsi="Times New Roman" w:eastAsia="仿宋_GB2312"/>
          <w:sz w:val="32"/>
          <w:szCs w:val="32"/>
        </w:rPr>
        <w:t>完成年初预算的</w:t>
      </w:r>
      <w:r>
        <w:rPr>
          <w:rFonts w:ascii="仿宋_GB2312" w:hAnsi="Times New Roman" w:eastAsia="仿宋_GB2312"/>
          <w:sz w:val="32"/>
          <w:szCs w:val="32"/>
        </w:rPr>
        <w:t>100%</w:t>
      </w:r>
      <w:r>
        <w:rPr>
          <w:rFonts w:hint="eastAsia" w:ascii="仿宋_GB2312" w:hAnsi="Times New Roman" w:eastAsia="仿宋_GB2312"/>
          <w:sz w:val="32"/>
          <w:szCs w:val="32"/>
        </w:rPr>
        <w:t>，决算数等于年初预算数。</w:t>
      </w:r>
    </w:p>
    <w:p w14:paraId="3600921D">
      <w:pPr>
        <w:pStyle w:val="17"/>
        <w:spacing w:line="600" w:lineRule="exact"/>
        <w:ind w:firstLine="800" w:firstLineChars="250"/>
        <w:rPr>
          <w:rFonts w:ascii="仿宋_GB2312" w:hAnsi="Times New Roman" w:eastAsia="仿宋_GB2312"/>
          <w:sz w:val="32"/>
          <w:szCs w:val="32"/>
        </w:rPr>
      </w:pPr>
      <w:r>
        <w:rPr>
          <w:rFonts w:hint="eastAsia" w:ascii="仿宋_GB2312" w:hAnsi="Times New Roman" w:eastAsia="仿宋_GB2312"/>
          <w:sz w:val="32"/>
          <w:szCs w:val="32"/>
          <w:lang w:val="en-US" w:eastAsia="zh-CN"/>
        </w:rPr>
        <w:t>11、</w:t>
      </w:r>
      <w:r>
        <w:rPr>
          <w:rFonts w:hint="eastAsia" w:ascii="仿宋_GB2312" w:hAnsi="Times New Roman" w:eastAsia="仿宋_GB2312"/>
          <w:sz w:val="32"/>
          <w:szCs w:val="32"/>
        </w:rPr>
        <w:t>社会保障和就业支出（类）行政事业单位养老支出（款）机关事业单位基本养老保险缴费支出（项）。</w:t>
      </w:r>
    </w:p>
    <w:p w14:paraId="1C3B48FC">
      <w:pPr>
        <w:pStyle w:val="17"/>
        <w:spacing w:line="600" w:lineRule="exact"/>
        <w:ind w:firstLine="800" w:firstLineChars="250"/>
        <w:rPr>
          <w:rFonts w:ascii="仿宋_GB2312" w:hAnsi="Times New Roman" w:eastAsia="仿宋_GB2312"/>
          <w:sz w:val="32"/>
          <w:szCs w:val="32"/>
        </w:rPr>
      </w:pPr>
      <w:r>
        <w:rPr>
          <w:rFonts w:hint="eastAsia" w:ascii="仿宋_GB2312" w:hAnsi="Times New Roman" w:eastAsia="仿宋_GB2312"/>
          <w:sz w:val="32"/>
          <w:szCs w:val="32"/>
        </w:rPr>
        <w:t>年初预算为</w:t>
      </w:r>
      <w:r>
        <w:rPr>
          <w:rFonts w:hint="eastAsia" w:ascii="仿宋_GB2312" w:hAnsi="Times New Roman" w:eastAsia="仿宋_GB2312"/>
          <w:sz w:val="32"/>
          <w:szCs w:val="32"/>
          <w:lang w:val="en-US" w:eastAsia="zh-CN"/>
        </w:rPr>
        <w:t>23.47</w:t>
      </w:r>
      <w:r>
        <w:rPr>
          <w:rFonts w:hint="eastAsia" w:ascii="仿宋_GB2312" w:hAnsi="Times New Roman" w:eastAsia="仿宋_GB2312"/>
          <w:sz w:val="32"/>
          <w:szCs w:val="32"/>
        </w:rPr>
        <w:t>万元，支出决算</w:t>
      </w:r>
      <w:r>
        <w:rPr>
          <w:rFonts w:hint="eastAsia" w:ascii="仿宋_GB2312" w:hAnsi="Times New Roman" w:eastAsia="仿宋_GB2312"/>
          <w:sz w:val="32"/>
          <w:szCs w:val="32"/>
          <w:lang w:val="en-US" w:eastAsia="zh-CN"/>
        </w:rPr>
        <w:t>24.66</w:t>
      </w:r>
      <w:r>
        <w:rPr>
          <w:rFonts w:hint="eastAsia" w:ascii="仿宋_GB2312" w:hAnsi="Times New Roman" w:eastAsia="仿宋_GB2312"/>
          <w:sz w:val="32"/>
          <w:szCs w:val="32"/>
        </w:rPr>
        <w:t>万元，完成年初预算的</w:t>
      </w:r>
      <w:r>
        <w:rPr>
          <w:rFonts w:hint="eastAsia" w:ascii="仿宋_GB2312" w:hAnsi="Times New Roman" w:eastAsia="仿宋_GB2312"/>
          <w:sz w:val="32"/>
          <w:szCs w:val="32"/>
          <w:lang w:val="en-US" w:eastAsia="zh-CN"/>
        </w:rPr>
        <w:t>105</w:t>
      </w:r>
      <w:r>
        <w:rPr>
          <w:rFonts w:ascii="仿宋_GB2312" w:hAnsi="Times New Roman" w:eastAsia="仿宋_GB2312"/>
          <w:sz w:val="32"/>
          <w:szCs w:val="32"/>
        </w:rPr>
        <w:t>%</w:t>
      </w:r>
      <w:r>
        <w:rPr>
          <w:rFonts w:hint="eastAsia" w:ascii="仿宋_GB2312" w:hAnsi="Times New Roman" w:eastAsia="仿宋_GB2312"/>
          <w:sz w:val="32"/>
          <w:szCs w:val="32"/>
        </w:rPr>
        <w:t>，决算数</w:t>
      </w:r>
      <w:r>
        <w:rPr>
          <w:rFonts w:hint="eastAsia" w:ascii="仿宋_GB2312" w:hAnsi="Times New Roman" w:eastAsia="仿宋_GB2312"/>
          <w:sz w:val="32"/>
          <w:szCs w:val="32"/>
          <w:lang w:eastAsia="zh-CN"/>
        </w:rPr>
        <w:t>大</w:t>
      </w:r>
      <w:r>
        <w:rPr>
          <w:rFonts w:hint="eastAsia" w:ascii="仿宋_GB2312" w:hAnsi="Times New Roman" w:eastAsia="仿宋_GB2312"/>
          <w:sz w:val="32"/>
          <w:szCs w:val="32"/>
        </w:rPr>
        <w:t>于年初预算数的主要原因是：</w:t>
      </w:r>
      <w:r>
        <w:rPr>
          <w:rFonts w:hint="eastAsia" w:ascii="仿宋_GB2312" w:hAnsi="Times New Roman" w:eastAsia="仿宋_GB2312"/>
          <w:color w:val="auto"/>
          <w:sz w:val="32"/>
          <w:szCs w:val="32"/>
          <w:lang w:eastAsia="zh-CN"/>
        </w:rPr>
        <w:t>年中人员调整</w:t>
      </w:r>
      <w:r>
        <w:rPr>
          <w:rFonts w:hint="eastAsia" w:ascii="仿宋_GB2312" w:hAnsi="Times New Roman" w:eastAsia="仿宋_GB2312"/>
          <w:color w:val="auto"/>
          <w:sz w:val="32"/>
          <w:szCs w:val="32"/>
        </w:rPr>
        <w:t>。</w:t>
      </w:r>
    </w:p>
    <w:p w14:paraId="700E524B">
      <w:pPr>
        <w:pStyle w:val="17"/>
        <w:spacing w:line="600" w:lineRule="exact"/>
        <w:ind w:firstLine="800" w:firstLineChars="250"/>
        <w:rPr>
          <w:rFonts w:ascii="仿宋_GB2312" w:hAnsi="Times New Roman" w:eastAsia="仿宋_GB2312"/>
          <w:sz w:val="32"/>
          <w:szCs w:val="32"/>
        </w:rPr>
      </w:pPr>
      <w:r>
        <w:rPr>
          <w:rFonts w:ascii="仿宋_GB2312" w:hAnsi="Times New Roman" w:eastAsia="仿宋_GB2312"/>
          <w:sz w:val="32"/>
          <w:szCs w:val="32"/>
        </w:rPr>
        <w:t>1</w:t>
      </w:r>
      <w:r>
        <w:rPr>
          <w:rFonts w:hint="eastAsia" w:ascii="仿宋_GB2312" w:hAnsi="Times New Roman" w:eastAsia="仿宋_GB2312"/>
          <w:sz w:val="32"/>
          <w:szCs w:val="32"/>
          <w:lang w:val="en-US" w:eastAsia="zh-CN"/>
        </w:rPr>
        <w:t>2</w:t>
      </w:r>
      <w:r>
        <w:rPr>
          <w:rFonts w:hint="eastAsia" w:ascii="仿宋_GB2312" w:hAnsi="Times New Roman" w:eastAsia="仿宋_GB2312"/>
          <w:sz w:val="32"/>
          <w:szCs w:val="32"/>
        </w:rPr>
        <w:t>、社会保障和就业支出（类）行政事业单位养老支出（款）其他行政事业单位养老支出（项）。</w:t>
      </w:r>
    </w:p>
    <w:p w14:paraId="6EEF28CE">
      <w:pPr>
        <w:pStyle w:val="17"/>
        <w:spacing w:line="600" w:lineRule="exact"/>
        <w:ind w:firstLine="800" w:firstLineChars="250"/>
        <w:rPr>
          <w:rFonts w:hint="eastAsia" w:ascii="仿宋_GB2312" w:hAnsi="Times New Roman" w:eastAsia="仿宋_GB2312"/>
          <w:color w:val="auto"/>
          <w:sz w:val="32"/>
          <w:szCs w:val="32"/>
        </w:rPr>
      </w:pPr>
      <w:r>
        <w:rPr>
          <w:rFonts w:hint="eastAsia" w:ascii="仿宋_GB2312" w:hAnsi="Times New Roman" w:eastAsia="仿宋_GB2312"/>
          <w:sz w:val="32"/>
          <w:szCs w:val="32"/>
        </w:rPr>
        <w:t>年初预</w:t>
      </w:r>
      <w:r>
        <w:rPr>
          <w:rFonts w:hint="eastAsia" w:ascii="仿宋_GB2312" w:hAnsi="Times New Roman" w:eastAsia="仿宋_GB2312"/>
          <w:color w:val="auto"/>
          <w:sz w:val="32"/>
          <w:szCs w:val="32"/>
        </w:rPr>
        <w:t>算为</w:t>
      </w:r>
      <w:r>
        <w:rPr>
          <w:rFonts w:hint="eastAsia" w:ascii="仿宋_GB2312" w:hAnsi="Times New Roman" w:eastAsia="仿宋_GB2312"/>
          <w:color w:val="auto"/>
          <w:sz w:val="32"/>
          <w:szCs w:val="32"/>
          <w:lang w:val="en-US" w:eastAsia="zh-CN"/>
        </w:rPr>
        <w:t>16.50</w:t>
      </w:r>
      <w:r>
        <w:rPr>
          <w:rFonts w:hint="eastAsia" w:ascii="仿宋_GB2312" w:hAnsi="Times New Roman" w:eastAsia="仿宋_GB2312"/>
          <w:color w:val="auto"/>
          <w:sz w:val="32"/>
          <w:szCs w:val="32"/>
        </w:rPr>
        <w:t>万元，支出决算</w:t>
      </w:r>
      <w:r>
        <w:rPr>
          <w:rFonts w:ascii="仿宋_GB2312" w:hAnsi="Times New Roman" w:eastAsia="仿宋_GB2312"/>
          <w:color w:val="auto"/>
          <w:sz w:val="32"/>
          <w:szCs w:val="32"/>
        </w:rPr>
        <w:t>18.</w:t>
      </w:r>
      <w:r>
        <w:rPr>
          <w:rFonts w:hint="eastAsia" w:ascii="仿宋_GB2312" w:hAnsi="Times New Roman" w:eastAsia="仿宋_GB2312"/>
          <w:color w:val="auto"/>
          <w:sz w:val="32"/>
          <w:szCs w:val="32"/>
          <w:lang w:val="en-US" w:eastAsia="zh-CN"/>
        </w:rPr>
        <w:t>88</w:t>
      </w:r>
      <w:r>
        <w:rPr>
          <w:rFonts w:hint="eastAsia" w:ascii="仿宋_GB2312" w:hAnsi="Times New Roman" w:eastAsia="仿宋_GB2312"/>
          <w:color w:val="auto"/>
          <w:sz w:val="32"/>
          <w:szCs w:val="32"/>
        </w:rPr>
        <w:t>万元，完成年初预算的</w:t>
      </w:r>
      <w:r>
        <w:rPr>
          <w:rFonts w:hint="eastAsia" w:ascii="仿宋_GB2312" w:hAnsi="Times New Roman" w:eastAsia="仿宋_GB2312"/>
          <w:color w:val="auto"/>
          <w:sz w:val="32"/>
          <w:szCs w:val="32"/>
          <w:lang w:val="en-US" w:eastAsia="zh-CN"/>
        </w:rPr>
        <w:t>114</w:t>
      </w:r>
      <w:r>
        <w:rPr>
          <w:rFonts w:ascii="仿宋_GB2312" w:hAnsi="Times New Roman" w:eastAsia="仿宋_GB2312"/>
          <w:color w:val="auto"/>
          <w:sz w:val="32"/>
          <w:szCs w:val="32"/>
        </w:rPr>
        <w:t>%</w:t>
      </w:r>
      <w:r>
        <w:rPr>
          <w:rFonts w:hint="eastAsia" w:ascii="仿宋_GB2312" w:hAnsi="Times New Roman" w:eastAsia="仿宋_GB2312"/>
          <w:color w:val="auto"/>
          <w:sz w:val="32"/>
          <w:szCs w:val="32"/>
        </w:rPr>
        <w:t>，决算数</w:t>
      </w:r>
      <w:r>
        <w:rPr>
          <w:rFonts w:hint="eastAsia" w:ascii="仿宋_GB2312" w:hAnsi="Times New Roman" w:eastAsia="仿宋_GB2312"/>
          <w:color w:val="auto"/>
          <w:sz w:val="32"/>
          <w:szCs w:val="32"/>
          <w:lang w:eastAsia="zh-CN"/>
        </w:rPr>
        <w:t>大</w:t>
      </w:r>
      <w:r>
        <w:rPr>
          <w:rFonts w:hint="eastAsia" w:ascii="仿宋_GB2312" w:hAnsi="Times New Roman" w:eastAsia="仿宋_GB2312"/>
          <w:color w:val="auto"/>
          <w:sz w:val="32"/>
          <w:szCs w:val="32"/>
        </w:rPr>
        <w:t>于预算数的原因是：</w:t>
      </w:r>
      <w:r>
        <w:rPr>
          <w:rFonts w:hint="eastAsia" w:ascii="仿宋_GB2312" w:hAnsi="仿宋" w:eastAsia="仿宋_GB2312" w:cs="仿宋"/>
          <w:sz w:val="32"/>
          <w:szCs w:val="32"/>
          <w:shd w:val="clear" w:color="auto" w:fill="FFFFFF"/>
        </w:rPr>
        <w:t>年中</w:t>
      </w:r>
      <w:r>
        <w:rPr>
          <w:rFonts w:hint="eastAsia" w:ascii="仿宋_GB2312" w:hAnsi="仿宋" w:eastAsia="仿宋_GB2312" w:cs="仿宋"/>
          <w:sz w:val="32"/>
          <w:szCs w:val="32"/>
          <w:shd w:val="clear" w:color="auto" w:fill="FFFFFF"/>
          <w:lang w:eastAsia="zh-CN"/>
        </w:rPr>
        <w:t>人员</w:t>
      </w:r>
      <w:r>
        <w:rPr>
          <w:rFonts w:hint="eastAsia" w:ascii="仿宋_GB2312" w:hAnsi="仿宋" w:eastAsia="仿宋_GB2312" w:cs="仿宋"/>
          <w:sz w:val="32"/>
          <w:szCs w:val="32"/>
          <w:shd w:val="clear" w:color="auto" w:fill="FFFFFF"/>
        </w:rPr>
        <w:t>调整</w:t>
      </w:r>
      <w:r>
        <w:rPr>
          <w:rFonts w:hint="eastAsia" w:ascii="仿宋_GB2312" w:hAnsi="Times New Roman" w:eastAsia="仿宋_GB2312"/>
          <w:color w:val="auto"/>
          <w:sz w:val="32"/>
          <w:szCs w:val="32"/>
        </w:rPr>
        <w:t>。</w:t>
      </w:r>
    </w:p>
    <w:p w14:paraId="1FF00BD0">
      <w:pPr>
        <w:pStyle w:val="17"/>
        <w:spacing w:line="600" w:lineRule="exact"/>
        <w:ind w:firstLine="800" w:firstLineChars="250"/>
        <w:rPr>
          <w:rFonts w:ascii="仿宋_GB2312" w:hAnsi="Times New Roman" w:eastAsia="仿宋_GB2312"/>
          <w:sz w:val="32"/>
          <w:szCs w:val="32"/>
        </w:rPr>
      </w:pPr>
      <w:r>
        <w:rPr>
          <w:rFonts w:ascii="仿宋_GB2312" w:hAnsi="Times New Roman" w:eastAsia="仿宋_GB2312"/>
          <w:sz w:val="32"/>
          <w:szCs w:val="32"/>
        </w:rPr>
        <w:t>1</w:t>
      </w:r>
      <w:r>
        <w:rPr>
          <w:rFonts w:hint="eastAsia" w:ascii="仿宋_GB2312" w:hAnsi="Times New Roman" w:eastAsia="仿宋_GB2312"/>
          <w:sz w:val="32"/>
          <w:szCs w:val="32"/>
          <w:lang w:val="en-US" w:eastAsia="zh-CN"/>
        </w:rPr>
        <w:t>3</w:t>
      </w:r>
      <w:r>
        <w:rPr>
          <w:rFonts w:hint="eastAsia" w:ascii="仿宋_GB2312" w:hAnsi="Times New Roman" w:eastAsia="仿宋_GB2312"/>
          <w:sz w:val="32"/>
          <w:szCs w:val="32"/>
        </w:rPr>
        <w:t>、卫生健康支出（类）行政事业单位医疗（款）行政单位医疗（项）</w:t>
      </w:r>
    </w:p>
    <w:p w14:paraId="426C6F6D">
      <w:pPr>
        <w:pStyle w:val="24"/>
        <w:spacing w:before="0" w:beforeAutospacing="0" w:after="0" w:afterAutospacing="0"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9.77</w:t>
      </w:r>
      <w:r>
        <w:rPr>
          <w:rFonts w:hint="eastAsia" w:ascii="仿宋" w:hAnsi="仿宋" w:eastAsia="仿宋" w:cs="仿宋"/>
          <w:sz w:val="32"/>
          <w:szCs w:val="32"/>
        </w:rPr>
        <w:t>万元，</w:t>
      </w:r>
      <w:r>
        <w:rPr>
          <w:rFonts w:hint="eastAsia" w:ascii="仿宋" w:hAnsi="仿宋" w:eastAsia="仿宋" w:cs="仿宋"/>
          <w:sz w:val="32"/>
          <w:szCs w:val="32"/>
          <w:shd w:val="clear" w:color="auto" w:fill="FFFFFF"/>
        </w:rPr>
        <w:t>无法计算百分比</w:t>
      </w:r>
      <w:r>
        <w:rPr>
          <w:rFonts w:hint="eastAsia" w:ascii="仿宋" w:hAnsi="仿宋" w:eastAsia="仿宋" w:cs="仿宋"/>
          <w:sz w:val="32"/>
          <w:szCs w:val="32"/>
        </w:rPr>
        <w:t>，</w:t>
      </w:r>
      <w:r>
        <w:rPr>
          <w:rFonts w:hint="eastAsia" w:ascii="仿宋" w:hAnsi="仿宋" w:eastAsia="仿宋" w:cs="仿宋"/>
          <w:sz w:val="32"/>
          <w:szCs w:val="32"/>
          <w:shd w:val="clear" w:color="auto" w:fill="FFFFFF"/>
        </w:rPr>
        <w:t>决算数大于年初预算数的主要原因是：年中预算调整。</w:t>
      </w:r>
    </w:p>
    <w:p w14:paraId="710D3DDB">
      <w:pPr>
        <w:pStyle w:val="17"/>
        <w:spacing w:line="600" w:lineRule="exact"/>
        <w:ind w:firstLine="800" w:firstLineChars="250"/>
        <w:rPr>
          <w:rFonts w:hint="eastAsia" w:ascii="仿宋" w:hAnsi="仿宋" w:eastAsia="仿宋" w:cs="仿宋"/>
          <w:sz w:val="32"/>
          <w:szCs w:val="32"/>
        </w:rPr>
      </w:pPr>
      <w:r>
        <w:rPr>
          <w:rFonts w:hint="eastAsia" w:ascii="仿宋" w:hAnsi="仿宋" w:eastAsia="仿宋" w:cs="仿宋"/>
          <w:sz w:val="32"/>
          <w:szCs w:val="32"/>
          <w:lang w:val="en-US" w:eastAsia="zh-CN"/>
        </w:rPr>
        <w:t>14、</w:t>
      </w:r>
      <w:r>
        <w:rPr>
          <w:rFonts w:hint="eastAsia" w:ascii="仿宋" w:hAnsi="仿宋" w:eastAsia="仿宋" w:cs="仿宋"/>
          <w:sz w:val="32"/>
          <w:szCs w:val="32"/>
          <w:lang w:eastAsia="zh-CN"/>
        </w:rPr>
        <w:t>住房保障支出</w:t>
      </w:r>
      <w:r>
        <w:rPr>
          <w:rFonts w:hint="eastAsia" w:ascii="仿宋" w:hAnsi="仿宋" w:eastAsia="仿宋" w:cs="仿宋"/>
          <w:sz w:val="32"/>
          <w:szCs w:val="32"/>
        </w:rPr>
        <w:t>（类）</w:t>
      </w:r>
      <w:r>
        <w:rPr>
          <w:rFonts w:hint="eastAsia" w:ascii="仿宋" w:hAnsi="仿宋" w:eastAsia="仿宋" w:cs="仿宋"/>
          <w:sz w:val="32"/>
          <w:szCs w:val="32"/>
          <w:lang w:eastAsia="zh-CN"/>
        </w:rPr>
        <w:t>住房改革支出</w:t>
      </w:r>
      <w:r>
        <w:rPr>
          <w:rFonts w:hint="eastAsia" w:ascii="仿宋" w:hAnsi="仿宋" w:eastAsia="仿宋" w:cs="仿宋"/>
          <w:sz w:val="32"/>
          <w:szCs w:val="32"/>
        </w:rPr>
        <w:t>（款）</w:t>
      </w:r>
      <w:r>
        <w:rPr>
          <w:rFonts w:hint="eastAsia" w:ascii="仿宋" w:hAnsi="仿宋" w:eastAsia="仿宋" w:cs="仿宋"/>
          <w:sz w:val="32"/>
          <w:szCs w:val="32"/>
          <w:lang w:eastAsia="zh-CN"/>
        </w:rPr>
        <w:t>住房公积金支出</w:t>
      </w:r>
      <w:r>
        <w:rPr>
          <w:rFonts w:hint="eastAsia" w:ascii="仿宋" w:hAnsi="仿宋" w:eastAsia="仿宋" w:cs="仿宋"/>
          <w:sz w:val="32"/>
          <w:szCs w:val="32"/>
        </w:rPr>
        <w:t>（项）</w:t>
      </w:r>
    </w:p>
    <w:p w14:paraId="0E058A10">
      <w:pPr>
        <w:pStyle w:val="24"/>
        <w:spacing w:before="0" w:beforeAutospacing="0" w:after="0" w:afterAutospacing="0"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3.00</w:t>
      </w:r>
      <w:r>
        <w:rPr>
          <w:rFonts w:hint="eastAsia" w:ascii="仿宋" w:hAnsi="仿宋" w:eastAsia="仿宋" w:cs="仿宋"/>
          <w:sz w:val="32"/>
          <w:szCs w:val="32"/>
        </w:rPr>
        <w:t>万元，</w:t>
      </w:r>
      <w:r>
        <w:rPr>
          <w:rFonts w:hint="eastAsia" w:ascii="仿宋" w:hAnsi="仿宋" w:eastAsia="仿宋" w:cs="仿宋"/>
          <w:sz w:val="32"/>
          <w:szCs w:val="32"/>
          <w:shd w:val="clear" w:color="auto" w:fill="FFFFFF"/>
        </w:rPr>
        <w:t>无法计算百分比</w:t>
      </w:r>
      <w:r>
        <w:rPr>
          <w:rFonts w:hint="eastAsia" w:ascii="仿宋" w:hAnsi="仿宋" w:eastAsia="仿宋" w:cs="仿宋"/>
          <w:sz w:val="32"/>
          <w:szCs w:val="32"/>
        </w:rPr>
        <w:t>，</w:t>
      </w:r>
      <w:r>
        <w:rPr>
          <w:rFonts w:hint="eastAsia" w:ascii="仿宋" w:hAnsi="仿宋" w:eastAsia="仿宋" w:cs="仿宋"/>
          <w:sz w:val="32"/>
          <w:szCs w:val="32"/>
          <w:shd w:val="clear" w:color="auto" w:fill="FFFFFF"/>
        </w:rPr>
        <w:t>决算数大于年初预算数的主要原因是：年中预算调整。</w:t>
      </w:r>
    </w:p>
    <w:p w14:paraId="3000AA40">
      <w:pPr>
        <w:pStyle w:val="17"/>
        <w:overflowPunct w:val="0"/>
        <w:autoSpaceDE/>
        <w:autoSpaceDN/>
        <w:spacing w:line="600" w:lineRule="exact"/>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rPr>
        <w:t>按照支出功能分类，科学技术方面的支出规模较大，主要是：科学技术支出，2025年度决算数为</w:t>
      </w:r>
      <w:r>
        <w:rPr>
          <w:rFonts w:hint="eastAsia" w:ascii="仿宋" w:hAnsi="仿宋" w:eastAsia="仿宋" w:cs="仿宋"/>
          <w:sz w:val="32"/>
          <w:szCs w:val="32"/>
          <w:lang w:val="en-US" w:eastAsia="zh-CN"/>
        </w:rPr>
        <w:t>619.92</w:t>
      </w:r>
      <w:r>
        <w:rPr>
          <w:rFonts w:hint="eastAsia" w:ascii="仿宋" w:hAnsi="仿宋" w:eastAsia="仿宋" w:cs="仿宋"/>
          <w:sz w:val="32"/>
          <w:szCs w:val="32"/>
        </w:rPr>
        <w:t>万元，占财政拨款支出总额的</w:t>
      </w:r>
      <w:r>
        <w:rPr>
          <w:rFonts w:hint="eastAsia" w:ascii="仿宋" w:hAnsi="仿宋" w:eastAsia="仿宋" w:cs="仿宋"/>
          <w:sz w:val="32"/>
          <w:szCs w:val="32"/>
          <w:lang w:val="en-US" w:eastAsia="zh-CN"/>
        </w:rPr>
        <w:t>85.38</w:t>
      </w:r>
      <w:r>
        <w:rPr>
          <w:rFonts w:hint="eastAsia" w:ascii="仿宋" w:hAnsi="仿宋" w:eastAsia="仿宋" w:cs="仿宋"/>
          <w:sz w:val="32"/>
          <w:szCs w:val="32"/>
        </w:rPr>
        <w:t xml:space="preserve"> %，主要用于</w:t>
      </w:r>
      <w:r>
        <w:rPr>
          <w:rFonts w:hint="eastAsia" w:ascii="仿宋" w:hAnsi="仿宋" w:eastAsia="仿宋" w:cs="仿宋"/>
          <w:sz w:val="32"/>
          <w:szCs w:val="32"/>
          <w:lang w:eastAsia="zh-CN"/>
        </w:rPr>
        <w:t>开展</w:t>
      </w:r>
      <w:r>
        <w:rPr>
          <w:rFonts w:hint="eastAsia" w:ascii="仿宋" w:hAnsi="仿宋" w:eastAsia="仿宋" w:cs="仿宋"/>
          <w:b w:val="0"/>
          <w:bCs w:val="0"/>
          <w:i w:val="0"/>
          <w:iCs w:val="0"/>
          <w:color w:val="auto"/>
          <w:kern w:val="0"/>
          <w:sz w:val="32"/>
          <w:szCs w:val="32"/>
          <w:highlight w:val="none"/>
          <w:vertAlign w:val="baseline"/>
          <w:lang w:val="en-US" w:eastAsia="zh-CN"/>
        </w:rPr>
        <w:t>第46届</w:t>
      </w:r>
      <w:r>
        <w:rPr>
          <w:rFonts w:hint="eastAsia" w:ascii="仿宋" w:hAnsi="仿宋" w:eastAsia="仿宋" w:cs="仿宋"/>
          <w:b w:val="0"/>
          <w:bCs w:val="0"/>
          <w:i w:val="0"/>
          <w:iCs w:val="0"/>
          <w:color w:val="auto"/>
          <w:kern w:val="0"/>
          <w:sz w:val="32"/>
          <w:szCs w:val="32"/>
          <w:highlight w:val="none"/>
          <w:vertAlign w:val="baseline"/>
          <w:lang w:eastAsia="zh-CN"/>
        </w:rPr>
        <w:t>怀化市青少年科技创新大赛、</w:t>
      </w:r>
      <w:r>
        <w:rPr>
          <w:rFonts w:hint="eastAsia" w:ascii="仿宋" w:hAnsi="仿宋" w:eastAsia="仿宋" w:cs="仿宋"/>
          <w:color w:val="auto"/>
          <w:sz w:val="32"/>
          <w:szCs w:val="32"/>
          <w:lang w:val="en-US" w:eastAsia="zh-CN"/>
        </w:rPr>
        <w:t>“怀化市流动科普设施联合行动”、“双进科普活动”等。</w:t>
      </w:r>
    </w:p>
    <w:p w14:paraId="29322E24">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A71F391">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300.44</w:t>
      </w:r>
      <w:r>
        <w:rPr>
          <w:rFonts w:ascii="Times New Roman" w:hAnsi="Times New Roman" w:eastAsia="仿宋_GB2312" w:cs="Times New Roman"/>
          <w:sz w:val="32"/>
          <w:szCs w:val="32"/>
        </w:rPr>
        <w:t>万元，其中：</w:t>
      </w:r>
      <w:r>
        <w:rPr>
          <w:rFonts w:ascii="Times New Roman" w:hAnsi="Times New Roman" w:eastAsia="仿宋_GB2312" w:cs="Times New Roman"/>
          <w:b/>
          <w:bCs/>
          <w:sz w:val="32"/>
          <w:szCs w:val="32"/>
        </w:rPr>
        <w:t>人员经费</w:t>
      </w:r>
      <w:r>
        <w:rPr>
          <w:rFonts w:hint="eastAsia" w:ascii="Times New Roman" w:hAnsi="Times New Roman" w:eastAsia="仿宋_GB2312" w:cs="Times New Roman"/>
          <w:b w:val="0"/>
          <w:bCs w:val="0"/>
          <w:sz w:val="32"/>
          <w:szCs w:val="32"/>
          <w:lang w:val="en-US" w:eastAsia="zh-CN"/>
        </w:rPr>
        <w:t>275.28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91.63</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25.16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8.37</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邮电费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维修（护）费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培训费等</w:t>
      </w:r>
      <w:r>
        <w:rPr>
          <w:rFonts w:ascii="Times New Roman" w:hAnsi="Times New Roman" w:eastAsia="仿宋_GB2312" w:cs="Times New Roman"/>
          <w:sz w:val="32"/>
          <w:szCs w:val="32"/>
        </w:rPr>
        <w:t>。</w:t>
      </w:r>
    </w:p>
    <w:p w14:paraId="28E8D253">
      <w:pPr>
        <w:pStyle w:val="17"/>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432CEAA7">
      <w:pPr>
        <w:pStyle w:val="17"/>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lang w:eastAsia="zh-CN"/>
        </w:rPr>
        <w:t>（一）</w:t>
      </w:r>
      <w:r>
        <w:rPr>
          <w:rFonts w:ascii="Times New Roman" w:hAnsi="Times New Roman" w:eastAsia="楷体_GB2312" w:cs="Times New Roman"/>
          <w:b/>
          <w:sz w:val="32"/>
          <w:szCs w:val="32"/>
        </w:rPr>
        <w:t>“三公”经费财政拨款支出决算总体情况说明</w:t>
      </w:r>
    </w:p>
    <w:p w14:paraId="551B101A">
      <w:pPr>
        <w:pStyle w:val="17"/>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4.34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43.4</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5.66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56.6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公务接待减少</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公务接待减少</w:t>
      </w:r>
      <w:r>
        <w:rPr>
          <w:rFonts w:ascii="Times New Roman" w:hAnsi="Times New Roman" w:eastAsia="仿宋_GB2312" w:cs="Times New Roman"/>
          <w:sz w:val="32"/>
          <w:szCs w:val="32"/>
        </w:rPr>
        <w:t>。</w:t>
      </w:r>
    </w:p>
    <w:p w14:paraId="01319600">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6BCB4C0">
      <w:pPr>
        <w:pStyle w:val="17"/>
        <w:overflowPunct w:val="0"/>
        <w:autoSpaceDE/>
        <w:autoSpaceDN/>
        <w:spacing w:line="60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1、因公出国（境）费支出预算为0万元，支出决算为0万元；完成预算的0 %；与上年相比持平。</w:t>
      </w:r>
    </w:p>
    <w:p w14:paraId="52989EFA">
      <w:pPr>
        <w:pStyle w:val="17"/>
        <w:overflowPunct w:val="0"/>
        <w:autoSpaceDE/>
        <w:autoSpaceDN/>
        <w:spacing w:line="60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公务用车购置费及运行维护费支出预算为5万元，支出决算为4.18万元，完成预算的83.6%；与上年相比减少0.3万元，降低6.70%。其中：公务用车购置费支出预算为0万元，支出决算为0万元，完成预算的0%；与上年相比持平。</w:t>
      </w:r>
    </w:p>
    <w:p w14:paraId="1BB78266">
      <w:pPr>
        <w:pStyle w:val="17"/>
        <w:overflowPunct w:val="0"/>
        <w:autoSpaceDE/>
        <w:autoSpaceDN/>
        <w:spacing w:line="60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务用车运行维护费支出预算为5万元，支出决算为4.18万元，主要是车辆的维修费、过路费、车辆保险费、汽油费等支出，与上年相比减少0.30万元，降低6.70%。决算数小于上年数的主要原因是车辆维修费用减少。截至2025年12月31日，我单位开支财政拨款的公务用车保有量为1辆。</w:t>
      </w:r>
    </w:p>
    <w:p w14:paraId="62F1AC01">
      <w:pPr>
        <w:pStyle w:val="17"/>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公务接待费支出预算为</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0.16</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3.20</w:t>
      </w:r>
      <w:r>
        <w:rPr>
          <w:rFonts w:hint="eastAsia" w:ascii="仿宋_GB2312" w:hAnsi="仿宋_GB2312" w:eastAsia="仿宋_GB2312" w:cs="仿宋_GB2312"/>
          <w:sz w:val="32"/>
          <w:szCs w:val="32"/>
        </w:rPr>
        <w:t>%；与上年相比减少</w:t>
      </w:r>
      <w:r>
        <w:rPr>
          <w:rFonts w:hint="eastAsia" w:ascii="仿宋_GB2312" w:hAnsi="仿宋_GB2312" w:eastAsia="仿宋_GB2312" w:cs="仿宋_GB2312"/>
          <w:sz w:val="32"/>
          <w:szCs w:val="32"/>
          <w:lang w:val="en-US" w:eastAsia="zh-CN"/>
        </w:rPr>
        <w:t>1.67</w:t>
      </w:r>
      <w:r>
        <w:rPr>
          <w:rFonts w:hint="eastAsia" w:ascii="仿宋_GB2312" w:hAnsi="仿宋_GB2312" w:eastAsia="仿宋_GB2312" w:cs="仿宋_GB2312"/>
          <w:sz w:val="32"/>
          <w:szCs w:val="32"/>
        </w:rPr>
        <w:t>万元，降低</w:t>
      </w:r>
      <w:r>
        <w:rPr>
          <w:rFonts w:hint="eastAsia" w:ascii="仿宋_GB2312" w:hAnsi="仿宋_GB2312" w:eastAsia="仿宋_GB2312" w:cs="仿宋_GB2312"/>
          <w:sz w:val="32"/>
          <w:szCs w:val="32"/>
          <w:lang w:val="en-US" w:eastAsia="zh-CN"/>
        </w:rPr>
        <w:t>91.26</w:t>
      </w:r>
      <w:r>
        <w:rPr>
          <w:rFonts w:hint="eastAsia" w:ascii="仿宋_GB2312" w:hAnsi="仿宋_GB2312" w:eastAsia="仿宋_GB2312" w:cs="仿宋_GB2312"/>
          <w:sz w:val="32"/>
          <w:szCs w:val="32"/>
        </w:rPr>
        <w:t>%。决算数小于预算数的主要原因是</w:t>
      </w:r>
      <w:r>
        <w:rPr>
          <w:rFonts w:hint="eastAsia" w:ascii="仿宋_GB2312" w:hAnsi="仿宋_GB2312" w:eastAsia="仿宋_GB2312" w:cs="仿宋_GB2312"/>
          <w:sz w:val="32"/>
          <w:szCs w:val="32"/>
          <w:lang w:eastAsia="zh-CN"/>
        </w:rPr>
        <w:t>公务接待减少</w:t>
      </w:r>
      <w:r>
        <w:rPr>
          <w:rFonts w:hint="eastAsia" w:ascii="仿宋_GB2312" w:hAnsi="仿宋_GB2312" w:eastAsia="仿宋_GB2312" w:cs="仿宋_GB2312"/>
          <w:sz w:val="32"/>
          <w:szCs w:val="32"/>
        </w:rPr>
        <w:t>。决算数小于上年数的主要原因是</w:t>
      </w:r>
      <w:r>
        <w:rPr>
          <w:rFonts w:hint="eastAsia" w:ascii="仿宋_GB2312" w:hAnsi="仿宋_GB2312" w:eastAsia="仿宋_GB2312" w:cs="仿宋_GB2312"/>
          <w:sz w:val="32"/>
          <w:szCs w:val="32"/>
          <w:lang w:eastAsia="zh-CN"/>
        </w:rPr>
        <w:t>公务接待减少</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2025年度共接待来访团组</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个、来宾</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eastAsia="zh-CN"/>
        </w:rPr>
        <w:t>人次，主要是县（市、区）科协报送申报项目材料、工作汇报、市州兄弟科协来怀调研等发生的接待支出。</w:t>
      </w:r>
    </w:p>
    <w:p w14:paraId="11C58617">
      <w:pPr>
        <w:pStyle w:val="17"/>
        <w:spacing w:line="600" w:lineRule="exact"/>
        <w:ind w:firstLine="600" w:firstLineChars="200"/>
        <w:rPr>
          <w:rFonts w:hAnsi="黑体"/>
          <w:bCs/>
          <w:sz w:val="30"/>
          <w:szCs w:val="30"/>
        </w:rPr>
      </w:pPr>
      <w:r>
        <w:rPr>
          <w:rFonts w:hint="eastAsia" w:hAnsi="黑体"/>
          <w:bCs/>
          <w:sz w:val="30"/>
          <w:szCs w:val="30"/>
        </w:rPr>
        <w:t>八、政府性基金预算收入支出决算情况</w:t>
      </w:r>
    </w:p>
    <w:p w14:paraId="33D8ABAA">
      <w:pPr>
        <w:pStyle w:val="12"/>
        <w:shd w:val="clear" w:color="auto" w:fill="FFFFFF"/>
        <w:spacing w:before="0" w:beforeAutospacing="0" w:after="200" w:afterAutospacing="0" w:line="560" w:lineRule="exact"/>
        <w:ind w:firstLine="64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2025年度本单位无政府性基金收支。</w:t>
      </w:r>
    </w:p>
    <w:p w14:paraId="060652D8">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01ABF2AB">
      <w:pPr>
        <w:pStyle w:val="17"/>
        <w:overflowPunct w:val="0"/>
        <w:autoSpaceDE/>
        <w:autoSpaceDN/>
        <w:spacing w:line="60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本部门2025年度机关运行经费支出25.16万元，比上年决算数减少4.63万元，降低15.54%。主要原因是“三公”经费、委托业务费等有所减少。</w:t>
      </w:r>
    </w:p>
    <w:p w14:paraId="359B28AC">
      <w:pPr>
        <w:pStyle w:val="17"/>
        <w:overflowPunct w:val="0"/>
        <w:autoSpaceDE/>
        <w:autoSpaceDN/>
        <w:spacing w:line="60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十、一般性支出情况说明</w:t>
      </w:r>
    </w:p>
    <w:p w14:paraId="3FBF6017">
      <w:pPr>
        <w:pStyle w:val="17"/>
        <w:overflowPunct w:val="0"/>
        <w:autoSpaceDE/>
        <w:autoSpaceDN/>
        <w:spacing w:line="60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本部门开支会议费3.42万元，用于召开怀化市第46届青少年科技创新大赛（三类会议），九届一次常委会、九届二次全委会（三类会议），人数107人，内容为开展46届青少年科技创新大赛评比、召开市科协九届一次常委会及九届二次全委会；开支培训费0.15万元，用于开展2025年事业单位继续教育培训、科学传播继续教育培训，人数6人，内容为开展科技教育培训以及业务相关培训。单位未开展节庆、晚会、论坛、赛事等活动。</w:t>
      </w:r>
    </w:p>
    <w:p w14:paraId="278FBC3D">
      <w:pPr>
        <w:pStyle w:val="17"/>
        <w:overflowPunct w:val="0"/>
        <w:autoSpaceDE/>
        <w:autoSpaceDN/>
        <w:spacing w:line="60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十一、关于政府采购支出说明</w:t>
      </w:r>
    </w:p>
    <w:p w14:paraId="20A4378E">
      <w:pPr>
        <w:pStyle w:val="17"/>
        <w:overflowPunct w:val="0"/>
        <w:autoSpaceDE/>
        <w:autoSpaceDN/>
        <w:spacing w:line="60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本部门2025年度政府采购支出总额24.90万元，其中：政府采购货物支出24.90 万元、政府采购工程支出0万元、政府采购服务支出0万元。授予中小企业合同金额24.90万元，占政府采购支出总额的100%，其中：授予小微企业合同金额24.90万元，占授予中小企业合同金额的100%。货物采购授予中小企业合同金额占货物支出金额的100%，工程采购授予中小企业合同金额占工程支出金额的0%，服务采购授予中小企业合同金额占服务支出金额的0%。十二、关于国有资产占用情况说明</w:t>
      </w:r>
    </w:p>
    <w:p w14:paraId="62D8488C">
      <w:pPr>
        <w:pStyle w:val="17"/>
        <w:overflowPunct w:val="0"/>
        <w:autoSpaceDE/>
        <w:autoSpaceDN/>
        <w:spacing w:line="60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截至2025年12月31日，部门（单位）共有车辆1辆，其中，副部（省）级及以上领导用车0辆、主要负责人用车0辆、机要通信用车0辆、应急保障用车0辆、执法执勤用车0辆、特种专业技术用车0辆、离退休干部服务用车0辆、其他用车1辆，其他用车主要是用于保障开展科普活动；单位价值100万元以上设备（不含车辆）0台（套）。</w:t>
      </w:r>
    </w:p>
    <w:p w14:paraId="74314DF8">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二</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22F37CAF">
      <w:pPr>
        <w:overflowPunct w:val="0"/>
        <w:spacing w:line="600" w:lineRule="exact"/>
        <w:ind w:firstLine="640" w:firstLineChars="200"/>
        <w:rPr>
          <w:rFonts w:hint="eastAsia" w:ascii="仿宋_GB2312" w:hAnsi="仿宋_GB2312" w:eastAsia="仿宋_GB2312" w:cs="仿宋_GB2312"/>
          <w:color w:val="000000"/>
          <w:kern w:val="0"/>
          <w:sz w:val="32"/>
          <w:szCs w:val="32"/>
          <w:lang w:val="en-US" w:eastAsia="zh-CN" w:bidi="ar-SA"/>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hint="eastAsia" w:ascii="仿宋_GB2312" w:hAnsi="仿宋_GB2312" w:eastAsia="仿宋_GB2312" w:cs="仿宋_GB2312"/>
          <w:color w:val="000000"/>
          <w:kern w:val="0"/>
          <w:sz w:val="32"/>
          <w:szCs w:val="32"/>
          <w:lang w:val="en-US" w:eastAsia="zh-CN" w:bidi="ar-SA"/>
        </w:rPr>
        <w:t>组织对2025年度本部门（单位）整体支出开展绩效自评，涉及项目6个，共涉及资金425.63万元。其中，一般公共预算项目10个425.63 万元，占一般公共预算支出总额的58.62%；政府性基金预算项目0个0 万元，占政府性基金预算支出总额的0%；国有资本经营预算项目0 个0 万元，占国有资本经营预算支出总额的0%；社会保险基金预算项目0 个0 万元，占社会保险基金预算支出总额的0%。二是部门评价开展情况。组织对所</w:t>
      </w:r>
      <w:bookmarkStart w:id="3" w:name="_GoBack"/>
      <w:bookmarkEnd w:id="3"/>
      <w:r>
        <w:rPr>
          <w:rFonts w:hint="eastAsia" w:ascii="仿宋_GB2312" w:hAnsi="仿宋_GB2312" w:eastAsia="仿宋_GB2312" w:cs="仿宋_GB2312"/>
          <w:color w:val="000000"/>
          <w:kern w:val="0"/>
          <w:sz w:val="32"/>
          <w:szCs w:val="32"/>
          <w:lang w:val="en-US" w:eastAsia="zh-CN" w:bidi="ar-SA"/>
        </w:rPr>
        <w:t>属单位2025年度科普业务工作经费、科技馆免费开放资金及科技馆运行经费等6个项目开展了部门评价，涉及一般公共预算支出425.63万元，政府性基金预算支出0万元，国有资本经营预算支出0万元，社会保险基金预算支出0万元。三是事前绩效评估开展情况。组织对2025年度0个新增重大政策和0个重大项目开展事前绩效评估，共涉及资金0万元。</w:t>
      </w:r>
    </w:p>
    <w:p w14:paraId="24CCE23B">
      <w:pPr>
        <w:pStyle w:val="17"/>
        <w:spacing w:line="580" w:lineRule="exact"/>
        <w:ind w:firstLine="640" w:firstLineChars="200"/>
        <w:rPr>
          <w:rFonts w:ascii="仿宋_GB2312" w:eastAsia="仿宋_GB2312"/>
          <w:sz w:val="30"/>
          <w:szCs w:val="30"/>
        </w:rPr>
      </w:pPr>
      <w:r>
        <w:rPr>
          <w:rFonts w:hint="eastAsia" w:ascii="楷体" w:hAnsi="楷体" w:eastAsia="楷体" w:cs="楷体"/>
          <w:b/>
          <w:bCs/>
          <w:sz w:val="32"/>
          <w:szCs w:val="32"/>
        </w:rPr>
        <w:t>（二）绩效评价结果。</w:t>
      </w:r>
      <w:r>
        <w:rPr>
          <w:rFonts w:ascii="Times New Roman" w:hAnsi="Times New Roman" w:eastAsia="仿宋_GB2312" w:cs="Times New Roman"/>
          <w:b/>
          <w:bCs/>
          <w:kern w:val="0"/>
          <w:sz w:val="32"/>
          <w:szCs w:val="32"/>
        </w:rPr>
        <w:t>一是绩效自评结果。</w:t>
      </w:r>
      <w:r>
        <w:rPr>
          <w:rFonts w:hint="eastAsia" w:ascii="仿宋_GB2312" w:hAnsi="仿宋_GB2312" w:eastAsia="仿宋_GB2312" w:cs="仿宋_GB2312"/>
          <w:color w:val="000000"/>
          <w:kern w:val="0"/>
          <w:sz w:val="32"/>
          <w:szCs w:val="32"/>
          <w:lang w:val="en-US" w:eastAsia="zh-CN" w:bidi="ar-SA"/>
        </w:rPr>
        <w:t>2025年度本部门（单位）整体支出全年预算数400.53万元，执行数726.07万元，完成预算的181.28%，绩效自评得分99分，评价等级为“优秀”。绩效目标完成情况：一是项目完成情况均为100%；二是公众满意度为95%以上。发现的主要问题及原因：一是部门预算编制的科学化、精细化有待提高；二是绩效管理专业人员匮乏</w:t>
      </w:r>
      <w:r>
        <w:rPr>
          <w:rFonts w:hint="eastAsia" w:ascii="仿宋_GB2312" w:eastAsia="仿宋_GB2312"/>
          <w:sz w:val="32"/>
          <w:szCs w:val="32"/>
        </w:rPr>
        <w:t>，规范管理有盲点。下一步改进措施：一是落实内控制度，严肃执行“三重一大”的原则，深入开展政府购买社会化服务，引进社会化竞争机制，引进相关专业人才；二是加强对财政资金的拨付和使用管理，强化预算管理意识，严格执行预算，确保专款专用。</w:t>
      </w:r>
      <w:r>
        <w:rPr>
          <w:rFonts w:hint="eastAsia" w:ascii="Times New Roman" w:hAnsi="Times New Roman" w:eastAsia="仿宋_GB2312" w:cs="Times New Roman"/>
          <w:b/>
          <w:bCs/>
          <w:kern w:val="0"/>
          <w:sz w:val="32"/>
          <w:szCs w:val="32"/>
          <w:lang w:eastAsia="zh-CN"/>
        </w:rPr>
        <w:t>二</w:t>
      </w:r>
      <w:r>
        <w:rPr>
          <w:rFonts w:ascii="Times New Roman" w:hAnsi="Times New Roman" w:eastAsia="仿宋_GB2312" w:cs="Times New Roman"/>
          <w:b/>
          <w:bCs/>
          <w:kern w:val="0"/>
          <w:sz w:val="32"/>
          <w:szCs w:val="32"/>
        </w:rPr>
        <w:t>是</w:t>
      </w:r>
      <w:r>
        <w:rPr>
          <w:rFonts w:hint="eastAsia" w:ascii="Times New Roman" w:hAnsi="Times New Roman" w:eastAsia="仿宋_GB2312" w:cs="Times New Roman"/>
          <w:b/>
          <w:bCs/>
          <w:kern w:val="0"/>
          <w:sz w:val="32"/>
          <w:szCs w:val="32"/>
        </w:rPr>
        <w:t>部门评价结果</w:t>
      </w:r>
      <w:r>
        <w:rPr>
          <w:rFonts w:hint="eastAsia" w:ascii="仿宋_GB2312" w:eastAsia="仿宋_GB2312"/>
          <w:sz w:val="30"/>
          <w:szCs w:val="30"/>
        </w:rPr>
        <w:t>。</w:t>
      </w:r>
      <w:r>
        <w:rPr>
          <w:rFonts w:hint="eastAsia" w:ascii="仿宋_GB2312" w:eastAsia="仿宋_GB2312"/>
          <w:sz w:val="30"/>
          <w:szCs w:val="30"/>
          <w:lang w:val="en-US" w:eastAsia="zh-CN"/>
        </w:rPr>
        <w:t>2</w:t>
      </w:r>
      <w:r>
        <w:rPr>
          <w:rFonts w:hint="eastAsia" w:ascii="仿宋_GB2312" w:eastAsia="仿宋_GB2312"/>
          <w:sz w:val="30"/>
          <w:szCs w:val="30"/>
        </w:rPr>
        <w:t>个项目全年预算数</w:t>
      </w:r>
      <w:r>
        <w:rPr>
          <w:rFonts w:hint="eastAsia" w:ascii="仿宋_GB2312" w:eastAsia="仿宋_GB2312"/>
          <w:sz w:val="30"/>
          <w:szCs w:val="30"/>
          <w:lang w:val="en-US" w:eastAsia="zh-CN"/>
        </w:rPr>
        <w:t>132</w:t>
      </w:r>
      <w:r>
        <w:rPr>
          <w:rFonts w:hint="eastAsia" w:ascii="仿宋_GB2312" w:eastAsia="仿宋_GB2312"/>
          <w:sz w:val="30"/>
          <w:szCs w:val="30"/>
        </w:rPr>
        <w:t>万元，执行数</w:t>
      </w:r>
      <w:r>
        <w:rPr>
          <w:rFonts w:hint="eastAsia" w:ascii="仿宋_GB2312" w:eastAsia="仿宋_GB2312"/>
          <w:sz w:val="32"/>
          <w:szCs w:val="32"/>
        </w:rPr>
        <w:t>425.63</w:t>
      </w:r>
      <w:r>
        <w:rPr>
          <w:rFonts w:hint="eastAsia" w:ascii="仿宋_GB2312" w:eastAsia="仿宋_GB2312"/>
          <w:sz w:val="30"/>
          <w:szCs w:val="30"/>
        </w:rPr>
        <w:t>万元，完成预算的</w:t>
      </w:r>
      <w:r>
        <w:rPr>
          <w:rFonts w:hint="eastAsia" w:ascii="Times New Roman" w:hAnsi="Times New Roman" w:eastAsia="仿宋_GB2312" w:cs="Times New Roman"/>
          <w:sz w:val="32"/>
          <w:szCs w:val="32"/>
          <w:lang w:val="en-US" w:eastAsia="zh-CN"/>
        </w:rPr>
        <w:t>322.45</w:t>
      </w:r>
      <w:r>
        <w:rPr>
          <w:rFonts w:ascii="Times New Roman" w:hAnsi="Times New Roman" w:eastAsia="仿宋_GB2312" w:cs="Times New Roman"/>
          <w:sz w:val="32"/>
          <w:szCs w:val="32"/>
        </w:rPr>
        <w:t>%</w:t>
      </w:r>
      <w:r>
        <w:rPr>
          <w:rFonts w:hint="eastAsia" w:ascii="仿宋_GB2312" w:eastAsia="仿宋_GB2312"/>
          <w:sz w:val="30"/>
          <w:szCs w:val="30"/>
        </w:rPr>
        <w:t>，部门评价得分</w:t>
      </w:r>
      <w:r>
        <w:rPr>
          <w:rFonts w:ascii="仿宋_GB2312" w:eastAsia="仿宋_GB2312"/>
          <w:sz w:val="30"/>
          <w:szCs w:val="30"/>
        </w:rPr>
        <w:t>98</w:t>
      </w:r>
      <w:r>
        <w:rPr>
          <w:rFonts w:hint="eastAsia" w:ascii="仿宋_GB2312" w:eastAsia="仿宋_GB2312"/>
          <w:sz w:val="30"/>
          <w:szCs w:val="30"/>
        </w:rPr>
        <w:t>分，评价等级为“优秀”。发现的问题及原因：一是部门间协作与沟通不够顺畅；二是数据收集与分析存在局限性。下一步改进措施：一是加强部门间协作与沟通；二是加强更高级的数据挖掘和机器学习技术运用。三是事前绩效评估结果。</w:t>
      </w:r>
      <w:r>
        <w:rPr>
          <w:rFonts w:ascii="仿宋_GB2312" w:eastAsia="仿宋_GB2312"/>
          <w:sz w:val="30"/>
          <w:szCs w:val="30"/>
        </w:rPr>
        <w:t>202</w:t>
      </w:r>
      <w:r>
        <w:rPr>
          <w:rFonts w:hint="eastAsia" w:ascii="仿宋_GB2312" w:eastAsia="仿宋_GB2312"/>
          <w:sz w:val="30"/>
          <w:szCs w:val="30"/>
          <w:lang w:val="en-US" w:eastAsia="zh-CN"/>
        </w:rPr>
        <w:t>5</w:t>
      </w:r>
      <w:r>
        <w:rPr>
          <w:rFonts w:hint="eastAsia" w:ascii="仿宋_GB2312" w:eastAsia="仿宋_GB2312"/>
          <w:sz w:val="30"/>
          <w:szCs w:val="30"/>
        </w:rPr>
        <w:t>年度</w:t>
      </w:r>
      <w:r>
        <w:rPr>
          <w:rFonts w:ascii="仿宋_GB2312" w:eastAsia="仿宋_GB2312"/>
          <w:sz w:val="30"/>
          <w:szCs w:val="30"/>
        </w:rPr>
        <w:t>0</w:t>
      </w:r>
      <w:r>
        <w:rPr>
          <w:rFonts w:hint="eastAsia" w:ascii="仿宋_GB2312" w:eastAsia="仿宋_GB2312"/>
          <w:sz w:val="30"/>
          <w:szCs w:val="30"/>
        </w:rPr>
        <w:t>个重大项目事前绩效评估，其中，</w:t>
      </w:r>
      <w:r>
        <w:rPr>
          <w:rFonts w:ascii="仿宋_GB2312" w:eastAsia="仿宋_GB2312"/>
          <w:sz w:val="30"/>
          <w:szCs w:val="30"/>
        </w:rPr>
        <w:t>0</w:t>
      </w:r>
      <w:r>
        <w:rPr>
          <w:rFonts w:hint="eastAsia" w:ascii="仿宋_GB2312" w:eastAsia="仿宋_GB2312"/>
          <w:sz w:val="30"/>
          <w:szCs w:val="30"/>
        </w:rPr>
        <w:t>个项目评估通过，涉及资金</w:t>
      </w:r>
      <w:r>
        <w:rPr>
          <w:rFonts w:ascii="仿宋_GB2312" w:eastAsia="仿宋_GB2312"/>
          <w:sz w:val="30"/>
          <w:szCs w:val="30"/>
        </w:rPr>
        <w:t>0</w:t>
      </w:r>
      <w:r>
        <w:rPr>
          <w:rFonts w:hint="eastAsia" w:ascii="仿宋_GB2312" w:eastAsia="仿宋_GB2312"/>
          <w:sz w:val="30"/>
          <w:szCs w:val="30"/>
        </w:rPr>
        <w:t>万元，</w:t>
      </w:r>
      <w:r>
        <w:rPr>
          <w:rFonts w:ascii="仿宋_GB2312" w:eastAsia="仿宋_GB2312"/>
          <w:sz w:val="30"/>
          <w:szCs w:val="30"/>
        </w:rPr>
        <w:t>0</w:t>
      </w:r>
      <w:r>
        <w:rPr>
          <w:rFonts w:hint="eastAsia" w:ascii="仿宋_GB2312" w:eastAsia="仿宋_GB2312"/>
          <w:sz w:val="30"/>
          <w:szCs w:val="30"/>
        </w:rPr>
        <w:t>个项目评估不通过，涉及资金</w:t>
      </w:r>
      <w:r>
        <w:rPr>
          <w:rFonts w:ascii="仿宋_GB2312" w:eastAsia="仿宋_GB2312"/>
          <w:sz w:val="30"/>
          <w:szCs w:val="30"/>
        </w:rPr>
        <w:t>0</w:t>
      </w:r>
      <w:r>
        <w:rPr>
          <w:rFonts w:hint="eastAsia" w:ascii="仿宋_GB2312" w:eastAsia="仿宋_GB2312"/>
          <w:sz w:val="30"/>
          <w:szCs w:val="30"/>
        </w:rPr>
        <w:t>万元。</w:t>
      </w:r>
    </w:p>
    <w:p w14:paraId="79CEE5F1">
      <w:pPr>
        <w:pStyle w:val="17"/>
        <w:jc w:val="both"/>
        <w:rPr>
          <w:rFonts w:ascii="Times New Roman" w:hAnsi="Times New Roman" w:cs="Times New Roman"/>
          <w:sz w:val="72"/>
          <w:szCs w:val="72"/>
        </w:rPr>
      </w:pPr>
      <w:r>
        <w:rPr>
          <w:rFonts w:hint="eastAsia" w:ascii="Times New Roman" w:hAnsi="Times New Roman" w:eastAsia="楷体_GB2312" w:cs="Times New Roman"/>
          <w:b/>
          <w:bCs/>
          <w:color w:val="auto"/>
          <w:kern w:val="2"/>
          <w:sz w:val="32"/>
          <w:szCs w:val="32"/>
          <w:lang w:val="en-US" w:eastAsia="zh-CN"/>
        </w:rPr>
        <w:t xml:space="preserve">  </w:t>
      </w:r>
      <w:r>
        <w:rPr>
          <w:rFonts w:ascii="Times New Roman" w:hAnsi="Times New Roman" w:eastAsia="楷体_GB2312" w:cs="Times New Roman"/>
          <w:b/>
          <w:bCs/>
          <w:color w:val="auto"/>
          <w:kern w:val="2"/>
          <w:sz w:val="32"/>
          <w:szCs w:val="32"/>
        </w:rPr>
        <w:t>（三）评价结果应用情况。</w:t>
      </w:r>
      <w:r>
        <w:rPr>
          <w:rFonts w:hint="eastAsia" w:ascii="仿宋_GB2312" w:eastAsia="仿宋_GB2312" w:cs="黑体"/>
          <w:kern w:val="0"/>
          <w:sz w:val="32"/>
          <w:szCs w:val="32"/>
        </w:rPr>
        <w:t>根据</w:t>
      </w:r>
      <w:r>
        <w:rPr>
          <w:rFonts w:ascii="仿宋_GB2312" w:eastAsia="仿宋_GB2312" w:cs="黑体"/>
          <w:kern w:val="0"/>
          <w:sz w:val="32"/>
          <w:szCs w:val="32"/>
        </w:rPr>
        <w:t>202</w:t>
      </w:r>
      <w:r>
        <w:rPr>
          <w:rFonts w:hint="eastAsia" w:ascii="仿宋_GB2312" w:eastAsia="仿宋_GB2312" w:cs="黑体"/>
          <w:kern w:val="0"/>
          <w:sz w:val="32"/>
          <w:szCs w:val="32"/>
          <w:lang w:val="en-US" w:eastAsia="zh-CN"/>
        </w:rPr>
        <w:t>5</w:t>
      </w:r>
      <w:r>
        <w:rPr>
          <w:rFonts w:hint="eastAsia" w:ascii="仿宋_GB2312" w:eastAsia="仿宋_GB2312" w:cs="黑体"/>
          <w:kern w:val="0"/>
          <w:sz w:val="32"/>
          <w:szCs w:val="32"/>
        </w:rPr>
        <w:t>年度部门整体支出绩效评价指标规定的内容，我单位认真自评。</w:t>
      </w:r>
      <w:r>
        <w:rPr>
          <w:rFonts w:ascii="仿宋_GB2312" w:eastAsia="仿宋_GB2312" w:cs="黑体"/>
          <w:kern w:val="0"/>
          <w:sz w:val="32"/>
          <w:szCs w:val="32"/>
        </w:rPr>
        <w:t>202</w:t>
      </w:r>
      <w:r>
        <w:rPr>
          <w:rFonts w:hint="eastAsia" w:ascii="仿宋_GB2312" w:eastAsia="仿宋_GB2312" w:cs="黑体"/>
          <w:kern w:val="0"/>
          <w:sz w:val="32"/>
          <w:szCs w:val="32"/>
          <w:lang w:val="en-US" w:eastAsia="zh-CN"/>
        </w:rPr>
        <w:t>5</w:t>
      </w:r>
      <w:r>
        <w:rPr>
          <w:rFonts w:hint="eastAsia" w:ascii="仿宋_GB2312" w:eastAsia="仿宋_GB2312" w:cs="黑体"/>
          <w:kern w:val="0"/>
          <w:sz w:val="32"/>
          <w:szCs w:val="32"/>
        </w:rPr>
        <w:t>年度部门整体绩效评为优秀。</w:t>
      </w:r>
      <w:r>
        <w:rPr>
          <w:rFonts w:ascii="仿宋_GB2312" w:eastAsia="仿宋_GB2312" w:cs="黑体"/>
          <w:kern w:val="0"/>
          <w:sz w:val="32"/>
          <w:szCs w:val="32"/>
        </w:rPr>
        <w:t>202</w:t>
      </w:r>
      <w:r>
        <w:rPr>
          <w:rFonts w:hint="eastAsia" w:ascii="仿宋_GB2312" w:eastAsia="仿宋_GB2312" w:cs="黑体"/>
          <w:kern w:val="0"/>
          <w:sz w:val="32"/>
          <w:szCs w:val="32"/>
          <w:lang w:val="en-US" w:eastAsia="zh-CN"/>
        </w:rPr>
        <w:t>6</w:t>
      </w:r>
      <w:r>
        <w:rPr>
          <w:rFonts w:hint="eastAsia" w:ascii="仿宋_GB2312" w:eastAsia="仿宋_GB2312" w:cs="黑体"/>
          <w:kern w:val="0"/>
          <w:sz w:val="32"/>
          <w:szCs w:val="32"/>
        </w:rPr>
        <w:t>年按照市级部门预算编制通知和有关要求，按时完成预决算编制工作，并及时在网上进行预决算公开。部门整体绩效目标编制完整、合理，项目绩效目标编制明确、量化。严格执行预算管理，及时足额将专项资金按标拨付。严格执行“三公”经费预算，内部控制制度健全完整并执行良好，在本年度内未出现廉政风险。</w:t>
      </w:r>
    </w:p>
    <w:p w14:paraId="01E5BC12">
      <w:pPr>
        <w:pStyle w:val="17"/>
        <w:jc w:val="center"/>
        <w:rPr>
          <w:rFonts w:ascii="Times New Roman" w:hAnsi="Times New Roman" w:cs="Times New Roman"/>
          <w:sz w:val="72"/>
          <w:szCs w:val="72"/>
        </w:rPr>
      </w:pPr>
    </w:p>
    <w:p w14:paraId="4E8C6C04">
      <w:pPr>
        <w:pStyle w:val="17"/>
        <w:keepNext w:val="0"/>
        <w:keepLines w:val="0"/>
        <w:pageBreakBefore w:val="0"/>
        <w:kinsoku/>
        <w:wordWrap/>
        <w:overflowPunct/>
        <w:topLinePunct w:val="0"/>
        <w:bidi w:val="0"/>
        <w:snapToGrid/>
        <w:spacing w:line="560" w:lineRule="exact"/>
        <w:jc w:val="center"/>
        <w:textAlignment w:val="auto"/>
        <w:rPr>
          <w:rFonts w:ascii="Times New Roman" w:hAnsi="Times New Roman" w:eastAsia="方正小标宋_GBK" w:cs="Times New Roman"/>
          <w:sz w:val="52"/>
          <w:szCs w:val="52"/>
        </w:rPr>
      </w:pPr>
    </w:p>
    <w:p w14:paraId="7D580B12">
      <w:pPr>
        <w:pStyle w:val="17"/>
        <w:keepNext w:val="0"/>
        <w:keepLines w:val="0"/>
        <w:pageBreakBefore w:val="0"/>
        <w:kinsoku/>
        <w:wordWrap/>
        <w:overflowPunct/>
        <w:topLinePunct w:val="0"/>
        <w:bidi w:val="0"/>
        <w:snapToGrid/>
        <w:spacing w:line="560" w:lineRule="exact"/>
        <w:jc w:val="center"/>
        <w:textAlignment w:val="auto"/>
        <w:rPr>
          <w:rFonts w:ascii="Times New Roman" w:hAnsi="Times New Roman" w:eastAsia="方正小标宋_GBK" w:cs="Times New Roman"/>
          <w:sz w:val="52"/>
          <w:szCs w:val="52"/>
        </w:rPr>
      </w:pPr>
    </w:p>
    <w:p w14:paraId="18096A44">
      <w:pPr>
        <w:pStyle w:val="17"/>
        <w:keepNext w:val="0"/>
        <w:keepLines w:val="0"/>
        <w:pageBreakBefore w:val="0"/>
        <w:kinsoku/>
        <w:wordWrap/>
        <w:overflowPunct/>
        <w:topLinePunct w:val="0"/>
        <w:bidi w:val="0"/>
        <w:snapToGrid/>
        <w:spacing w:line="560" w:lineRule="exact"/>
        <w:jc w:val="center"/>
        <w:textAlignment w:val="auto"/>
        <w:rPr>
          <w:rFonts w:ascii="Times New Roman" w:hAnsi="Times New Roman" w:eastAsia="方正小标宋_GBK" w:cs="Times New Roman"/>
          <w:sz w:val="52"/>
          <w:szCs w:val="52"/>
        </w:rPr>
      </w:pPr>
    </w:p>
    <w:p w14:paraId="7D3F1CCF">
      <w:pPr>
        <w:pStyle w:val="17"/>
        <w:keepNext w:val="0"/>
        <w:keepLines w:val="0"/>
        <w:pageBreakBefore w:val="0"/>
        <w:kinsoku/>
        <w:wordWrap/>
        <w:overflowPunct/>
        <w:topLinePunct w:val="0"/>
        <w:bidi w:val="0"/>
        <w:snapToGrid/>
        <w:spacing w:line="560" w:lineRule="exact"/>
        <w:jc w:val="center"/>
        <w:textAlignment w:val="auto"/>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31840AB1">
      <w:pPr>
        <w:keepNext w:val="0"/>
        <w:keepLines w:val="0"/>
        <w:pageBreakBefore w:val="0"/>
        <w:widowControl/>
        <w:kinsoku/>
        <w:wordWrap/>
        <w:overflowPunct/>
        <w:topLinePunct w:val="0"/>
        <w:bidi w:val="0"/>
        <w:snapToGrid/>
        <w:spacing w:line="560" w:lineRule="exact"/>
        <w:jc w:val="left"/>
        <w:textAlignment w:val="auto"/>
        <w:rPr>
          <w:rFonts w:ascii="Times New Roman" w:hAnsi="Times New Roman" w:cs="Times New Roman"/>
          <w:color w:val="000000"/>
          <w:kern w:val="0"/>
          <w:sz w:val="32"/>
          <w:szCs w:val="32"/>
        </w:rPr>
      </w:pPr>
    </w:p>
    <w:p w14:paraId="4921537B">
      <w:pPr>
        <w:pStyle w:val="17"/>
        <w:keepNext w:val="0"/>
        <w:keepLines w:val="0"/>
        <w:pageBreakBefore w:val="0"/>
        <w:kinsoku/>
        <w:wordWrap/>
        <w:overflowPunct/>
        <w:topLinePunct w:val="0"/>
        <w:bidi w:val="0"/>
        <w:snapToGrid/>
        <w:spacing w:line="560" w:lineRule="exact"/>
        <w:ind w:firstLine="600" w:firstLineChars="200"/>
        <w:jc w:val="both"/>
        <w:textAlignment w:val="auto"/>
        <w:rPr>
          <w:rFonts w:ascii="仿宋_GB2312" w:hAnsi="Times New Roman" w:eastAsia="仿宋_GB2312"/>
          <w:sz w:val="30"/>
          <w:szCs w:val="30"/>
        </w:rPr>
      </w:pPr>
      <w:r>
        <w:rPr>
          <w:rFonts w:hint="eastAsia" w:ascii="仿宋_GB2312" w:hAnsi="Times New Roman" w:eastAsia="仿宋_GB2312"/>
          <w:sz w:val="30"/>
          <w:szCs w:val="30"/>
        </w:rPr>
        <w:t>一、财政拨款收入：指财政当年拨付的资金。包括一般公共预算财政拨款和政府性基金财政拨款。</w:t>
      </w:r>
    </w:p>
    <w:p w14:paraId="64BF946F">
      <w:pPr>
        <w:pStyle w:val="17"/>
        <w:keepNext w:val="0"/>
        <w:keepLines w:val="0"/>
        <w:pageBreakBefore w:val="0"/>
        <w:kinsoku/>
        <w:wordWrap/>
        <w:overflowPunct/>
        <w:topLinePunct w:val="0"/>
        <w:bidi w:val="0"/>
        <w:snapToGrid/>
        <w:spacing w:line="560" w:lineRule="exact"/>
        <w:ind w:firstLine="600" w:firstLineChars="200"/>
        <w:jc w:val="both"/>
        <w:textAlignment w:val="auto"/>
        <w:rPr>
          <w:rFonts w:ascii="仿宋_GB2312" w:hAnsi="Times New Roman" w:eastAsia="仿宋_GB2312"/>
          <w:sz w:val="30"/>
          <w:szCs w:val="30"/>
        </w:rPr>
      </w:pPr>
      <w:r>
        <w:rPr>
          <w:rFonts w:hint="eastAsia" w:ascii="仿宋_GB2312" w:hAnsi="Times New Roman" w:eastAsia="仿宋_GB2312"/>
          <w:sz w:val="30"/>
          <w:szCs w:val="30"/>
        </w:rPr>
        <w:t>二、上级补助收入：指事业单位从主管部门和上级单位取得的非财政补助收入。</w:t>
      </w:r>
    </w:p>
    <w:p w14:paraId="390DF56A">
      <w:pPr>
        <w:pStyle w:val="17"/>
        <w:keepNext w:val="0"/>
        <w:keepLines w:val="0"/>
        <w:pageBreakBefore w:val="0"/>
        <w:kinsoku/>
        <w:wordWrap/>
        <w:overflowPunct/>
        <w:topLinePunct w:val="0"/>
        <w:bidi w:val="0"/>
        <w:snapToGrid/>
        <w:spacing w:line="560" w:lineRule="exact"/>
        <w:ind w:firstLine="600" w:firstLineChars="200"/>
        <w:jc w:val="both"/>
        <w:textAlignment w:val="auto"/>
        <w:rPr>
          <w:rFonts w:ascii="仿宋_GB2312" w:hAnsi="Times New Roman" w:eastAsia="仿宋_GB2312"/>
          <w:sz w:val="30"/>
          <w:szCs w:val="30"/>
        </w:rPr>
      </w:pPr>
      <w:r>
        <w:rPr>
          <w:rFonts w:hint="eastAsia" w:ascii="仿宋_GB2312" w:hAnsi="Times New Roman" w:eastAsia="仿宋_GB2312"/>
          <w:sz w:val="30"/>
          <w:szCs w:val="30"/>
        </w:rPr>
        <w:t>三、事业收入：指事业单位开展专业业务活动及辅助活动所取得的收入。</w:t>
      </w:r>
    </w:p>
    <w:p w14:paraId="5A963524">
      <w:pPr>
        <w:pStyle w:val="17"/>
        <w:keepNext w:val="0"/>
        <w:keepLines w:val="0"/>
        <w:pageBreakBefore w:val="0"/>
        <w:kinsoku/>
        <w:wordWrap/>
        <w:overflowPunct/>
        <w:topLinePunct w:val="0"/>
        <w:bidi w:val="0"/>
        <w:snapToGrid/>
        <w:spacing w:line="560" w:lineRule="exact"/>
        <w:ind w:firstLine="600" w:firstLineChars="200"/>
        <w:jc w:val="both"/>
        <w:textAlignment w:val="auto"/>
        <w:rPr>
          <w:rFonts w:ascii="仿宋_GB2312" w:hAnsi="Times New Roman" w:eastAsia="仿宋_GB2312"/>
          <w:sz w:val="30"/>
          <w:szCs w:val="30"/>
        </w:rPr>
      </w:pPr>
      <w:r>
        <w:rPr>
          <w:rFonts w:hint="eastAsia" w:ascii="仿宋_GB2312" w:hAnsi="Times New Roman" w:eastAsia="仿宋_GB2312"/>
          <w:sz w:val="30"/>
          <w:szCs w:val="30"/>
        </w:rPr>
        <w:t>四、经营收入：指事业单位在专业业务活动及其辅助活动之外开展非独立核算经营活动取得的收入。</w:t>
      </w:r>
    </w:p>
    <w:p w14:paraId="02FC1F2F">
      <w:pPr>
        <w:pStyle w:val="17"/>
        <w:keepNext w:val="0"/>
        <w:keepLines w:val="0"/>
        <w:pageBreakBefore w:val="0"/>
        <w:kinsoku/>
        <w:wordWrap/>
        <w:overflowPunct/>
        <w:topLinePunct w:val="0"/>
        <w:bidi w:val="0"/>
        <w:snapToGrid/>
        <w:spacing w:line="560" w:lineRule="exact"/>
        <w:ind w:firstLine="600" w:firstLineChars="200"/>
        <w:jc w:val="both"/>
        <w:textAlignment w:val="auto"/>
        <w:rPr>
          <w:rFonts w:ascii="仿宋_GB2312" w:hAnsi="Times New Roman" w:eastAsia="仿宋_GB2312"/>
          <w:sz w:val="30"/>
          <w:szCs w:val="30"/>
        </w:rPr>
      </w:pPr>
      <w:r>
        <w:rPr>
          <w:rFonts w:hint="eastAsia" w:ascii="仿宋_GB2312" w:hAnsi="Times New Roman" w:eastAsia="仿宋_GB2312"/>
          <w:sz w:val="30"/>
          <w:szCs w:val="30"/>
        </w:rPr>
        <w:t>五、附属单位上缴收入：指事业单位附属独立核算单位按照有关规定上缴的收入。</w:t>
      </w:r>
    </w:p>
    <w:p w14:paraId="0A94A4A0">
      <w:pPr>
        <w:pStyle w:val="17"/>
        <w:keepNext w:val="0"/>
        <w:keepLines w:val="0"/>
        <w:pageBreakBefore w:val="0"/>
        <w:kinsoku/>
        <w:wordWrap/>
        <w:overflowPunct/>
        <w:topLinePunct w:val="0"/>
        <w:bidi w:val="0"/>
        <w:snapToGrid/>
        <w:spacing w:line="560" w:lineRule="exact"/>
        <w:ind w:firstLine="600" w:firstLineChars="200"/>
        <w:jc w:val="both"/>
        <w:textAlignment w:val="auto"/>
        <w:rPr>
          <w:rFonts w:ascii="仿宋_GB2312" w:hAnsi="Times New Roman" w:eastAsia="仿宋_GB2312"/>
          <w:sz w:val="30"/>
          <w:szCs w:val="30"/>
        </w:rPr>
      </w:pPr>
      <w:r>
        <w:rPr>
          <w:rFonts w:hint="eastAsia" w:ascii="仿宋_GB2312" w:hAnsi="Times New Roman" w:eastAsia="仿宋_GB2312"/>
          <w:sz w:val="30"/>
          <w:szCs w:val="30"/>
        </w:rPr>
        <w:t>六、其他收入：指除上述“财政拨款收入”、“事业收入”、“经营收入”等以外的收入。</w:t>
      </w:r>
    </w:p>
    <w:p w14:paraId="101A10A4">
      <w:pPr>
        <w:pStyle w:val="17"/>
        <w:keepNext w:val="0"/>
        <w:keepLines w:val="0"/>
        <w:pageBreakBefore w:val="0"/>
        <w:kinsoku/>
        <w:wordWrap/>
        <w:overflowPunct/>
        <w:topLinePunct w:val="0"/>
        <w:bidi w:val="0"/>
        <w:snapToGrid/>
        <w:spacing w:line="560" w:lineRule="exact"/>
        <w:ind w:firstLine="600" w:firstLineChars="200"/>
        <w:jc w:val="both"/>
        <w:textAlignment w:val="auto"/>
        <w:rPr>
          <w:rFonts w:ascii="仿宋_GB2312" w:hAnsi="Times New Roman" w:eastAsia="仿宋_GB2312"/>
          <w:sz w:val="30"/>
          <w:szCs w:val="30"/>
        </w:rPr>
      </w:pPr>
      <w:r>
        <w:rPr>
          <w:rFonts w:hint="eastAsia" w:ascii="仿宋_GB2312" w:hAnsi="Times New Roman" w:eastAsia="仿宋_GB2312"/>
          <w:sz w:val="30"/>
          <w:szCs w:val="30"/>
        </w:rPr>
        <w:t>七、用事业基金弥补收支差额：指事业单位在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5AA5D44B">
      <w:pPr>
        <w:pStyle w:val="17"/>
        <w:keepNext w:val="0"/>
        <w:keepLines w:val="0"/>
        <w:pageBreakBefore w:val="0"/>
        <w:kinsoku/>
        <w:wordWrap/>
        <w:overflowPunct/>
        <w:topLinePunct w:val="0"/>
        <w:bidi w:val="0"/>
        <w:snapToGrid/>
        <w:spacing w:line="560" w:lineRule="exact"/>
        <w:ind w:firstLine="600" w:firstLineChars="200"/>
        <w:jc w:val="both"/>
        <w:textAlignment w:val="auto"/>
        <w:rPr>
          <w:rFonts w:ascii="仿宋_GB2312" w:hAnsi="Times New Roman" w:eastAsia="仿宋_GB2312"/>
          <w:sz w:val="30"/>
          <w:szCs w:val="30"/>
        </w:rPr>
      </w:pPr>
      <w:r>
        <w:rPr>
          <w:rFonts w:hint="eastAsia" w:ascii="仿宋_GB2312" w:hAnsi="Times New Roman" w:eastAsia="仿宋_GB2312"/>
          <w:sz w:val="30"/>
          <w:szCs w:val="30"/>
        </w:rPr>
        <w:t>八、年初结转和结余：指以前年度尚未完成、结转到本年按有关规定继续使用的资金。</w:t>
      </w:r>
    </w:p>
    <w:p w14:paraId="12EEB449">
      <w:pPr>
        <w:pStyle w:val="17"/>
        <w:keepNext w:val="0"/>
        <w:keepLines w:val="0"/>
        <w:pageBreakBefore w:val="0"/>
        <w:kinsoku/>
        <w:wordWrap/>
        <w:overflowPunct/>
        <w:topLinePunct w:val="0"/>
        <w:bidi w:val="0"/>
        <w:snapToGrid/>
        <w:spacing w:line="560" w:lineRule="exact"/>
        <w:ind w:firstLine="600" w:firstLineChars="200"/>
        <w:jc w:val="both"/>
        <w:textAlignment w:val="auto"/>
        <w:rPr>
          <w:rFonts w:ascii="仿宋_GB2312" w:hAnsi="Times New Roman" w:eastAsia="仿宋_GB2312"/>
          <w:sz w:val="30"/>
          <w:szCs w:val="30"/>
        </w:rPr>
      </w:pPr>
      <w:r>
        <w:rPr>
          <w:rFonts w:hint="eastAsia" w:ascii="仿宋_GB2312" w:hAnsi="Times New Roman" w:eastAsia="仿宋_GB2312"/>
          <w:sz w:val="30"/>
          <w:szCs w:val="30"/>
        </w:rPr>
        <w:t>九、结余分配：指事业单位按规定从非财政补助结余中分配的事业基金和职工福利基金等。</w:t>
      </w:r>
    </w:p>
    <w:p w14:paraId="28683FF6">
      <w:pPr>
        <w:pStyle w:val="17"/>
        <w:keepNext w:val="0"/>
        <w:keepLines w:val="0"/>
        <w:pageBreakBefore w:val="0"/>
        <w:kinsoku/>
        <w:wordWrap/>
        <w:overflowPunct/>
        <w:topLinePunct w:val="0"/>
        <w:bidi w:val="0"/>
        <w:snapToGrid/>
        <w:spacing w:line="560" w:lineRule="exact"/>
        <w:ind w:firstLine="600" w:firstLineChars="200"/>
        <w:jc w:val="both"/>
        <w:textAlignment w:val="auto"/>
        <w:rPr>
          <w:rFonts w:ascii="仿宋_GB2312" w:hAnsi="Times New Roman" w:eastAsia="仿宋_GB2312"/>
          <w:sz w:val="30"/>
          <w:szCs w:val="30"/>
        </w:rPr>
      </w:pPr>
      <w:r>
        <w:rPr>
          <w:rFonts w:hint="eastAsia" w:ascii="仿宋_GB2312" w:hAnsi="Times New Roman" w:eastAsia="仿宋_GB2312"/>
          <w:sz w:val="30"/>
          <w:szCs w:val="30"/>
        </w:rPr>
        <w:t>十、年末结转和结余：指本年度或以前年度预算安排、因客观条件发生变化无法按原计划实施，需要延迟到以后年度按有关规定继续使用的资金。</w:t>
      </w:r>
    </w:p>
    <w:p w14:paraId="65EB1DDE">
      <w:pPr>
        <w:pStyle w:val="17"/>
        <w:keepNext w:val="0"/>
        <w:keepLines w:val="0"/>
        <w:pageBreakBefore w:val="0"/>
        <w:kinsoku/>
        <w:wordWrap/>
        <w:overflowPunct/>
        <w:topLinePunct w:val="0"/>
        <w:bidi w:val="0"/>
        <w:snapToGrid/>
        <w:spacing w:line="560" w:lineRule="exact"/>
        <w:ind w:firstLine="600" w:firstLineChars="200"/>
        <w:jc w:val="both"/>
        <w:textAlignment w:val="auto"/>
        <w:rPr>
          <w:rFonts w:ascii="仿宋_GB2312" w:hAnsi="Times New Roman" w:eastAsia="仿宋_GB2312"/>
          <w:sz w:val="30"/>
          <w:szCs w:val="30"/>
        </w:rPr>
      </w:pPr>
      <w:r>
        <w:rPr>
          <w:rFonts w:hint="eastAsia" w:ascii="仿宋_GB2312" w:hAnsi="Times New Roman" w:eastAsia="仿宋_GB2312"/>
          <w:sz w:val="30"/>
          <w:szCs w:val="30"/>
        </w:rPr>
        <w:t>十一、基本支出：指为保障机构正常运转、完成日常工作任务而发生的人员支出和公用支出。</w:t>
      </w:r>
    </w:p>
    <w:p w14:paraId="1ADFF5AA">
      <w:pPr>
        <w:pStyle w:val="17"/>
        <w:keepNext w:val="0"/>
        <w:keepLines w:val="0"/>
        <w:pageBreakBefore w:val="0"/>
        <w:kinsoku/>
        <w:wordWrap/>
        <w:overflowPunct/>
        <w:topLinePunct w:val="0"/>
        <w:bidi w:val="0"/>
        <w:snapToGrid/>
        <w:spacing w:line="560" w:lineRule="exact"/>
        <w:ind w:firstLine="600" w:firstLineChars="200"/>
        <w:jc w:val="both"/>
        <w:textAlignment w:val="auto"/>
        <w:rPr>
          <w:rFonts w:ascii="仿宋_GB2312" w:hAnsi="Times New Roman" w:eastAsia="仿宋_GB2312"/>
          <w:sz w:val="30"/>
          <w:szCs w:val="30"/>
        </w:rPr>
      </w:pPr>
      <w:r>
        <w:rPr>
          <w:rFonts w:hint="eastAsia" w:ascii="仿宋_GB2312" w:hAnsi="Times New Roman" w:eastAsia="仿宋_GB2312"/>
          <w:sz w:val="30"/>
          <w:szCs w:val="30"/>
        </w:rPr>
        <w:t>十二、项目支出：指在基本支出之外为完成特定行政任务和事业发展目标所发生的支出。</w:t>
      </w:r>
    </w:p>
    <w:p w14:paraId="70D7687D">
      <w:pPr>
        <w:pStyle w:val="17"/>
        <w:keepNext w:val="0"/>
        <w:keepLines w:val="0"/>
        <w:pageBreakBefore w:val="0"/>
        <w:kinsoku/>
        <w:wordWrap/>
        <w:overflowPunct/>
        <w:topLinePunct w:val="0"/>
        <w:bidi w:val="0"/>
        <w:snapToGrid/>
        <w:spacing w:line="560" w:lineRule="exact"/>
        <w:ind w:firstLine="600" w:firstLineChars="200"/>
        <w:jc w:val="both"/>
        <w:textAlignment w:val="auto"/>
        <w:rPr>
          <w:rFonts w:ascii="仿宋_GB2312" w:hAnsi="Times New Roman" w:eastAsia="仿宋_GB2312"/>
          <w:sz w:val="30"/>
          <w:szCs w:val="30"/>
        </w:rPr>
      </w:pPr>
      <w:r>
        <w:rPr>
          <w:rFonts w:hint="eastAsia" w:ascii="仿宋_GB2312" w:hAnsi="Times New Roman" w:eastAsia="仿宋_GB2312"/>
          <w:sz w:val="30"/>
          <w:szCs w:val="30"/>
        </w:rPr>
        <w:t>十三、经营支出：指事业单位在专业业务活动及其辅助活动之外开展非独立核算经营活动所发生的支出。</w:t>
      </w:r>
    </w:p>
    <w:p w14:paraId="216EF1BB">
      <w:pPr>
        <w:pStyle w:val="17"/>
        <w:keepNext w:val="0"/>
        <w:keepLines w:val="0"/>
        <w:pageBreakBefore w:val="0"/>
        <w:kinsoku/>
        <w:wordWrap/>
        <w:overflowPunct/>
        <w:topLinePunct w:val="0"/>
        <w:bidi w:val="0"/>
        <w:snapToGrid/>
        <w:spacing w:line="560" w:lineRule="exact"/>
        <w:ind w:firstLine="600" w:firstLineChars="200"/>
        <w:jc w:val="both"/>
        <w:textAlignment w:val="auto"/>
        <w:rPr>
          <w:rFonts w:ascii="仿宋_GB2312" w:hAnsi="Times New Roman" w:eastAsia="仿宋_GB2312"/>
          <w:sz w:val="30"/>
          <w:szCs w:val="30"/>
        </w:rPr>
      </w:pPr>
      <w:r>
        <w:rPr>
          <w:rFonts w:hint="eastAsia" w:ascii="仿宋_GB2312" w:hAnsi="Times New Roman" w:eastAsia="仿宋_GB2312"/>
          <w:sz w:val="30"/>
          <w:szCs w:val="30"/>
        </w:rPr>
        <w:t>十四、“三公”经费：按照党中央、国务院有关文件及部门预算管理有关规定，“三公”经费包括因公出国（境）费、公务用车购置及运行费和公务接待费。（</w:t>
      </w:r>
      <w:r>
        <w:rPr>
          <w:rFonts w:ascii="仿宋_GB2312" w:hAnsi="Times New Roman" w:eastAsia="仿宋_GB2312"/>
          <w:sz w:val="30"/>
          <w:szCs w:val="30"/>
        </w:rPr>
        <w:t>1</w:t>
      </w:r>
      <w:r>
        <w:rPr>
          <w:rFonts w:hint="eastAsia" w:ascii="仿宋_GB2312" w:hAnsi="Times New Roman" w:eastAsia="仿宋_GB2312"/>
          <w:sz w:val="30"/>
          <w:szCs w:val="30"/>
        </w:rPr>
        <w:t>）因公出国（境）费，指单位工作人员公务出国（境）的住宿费、旅费、伙食补助费、杂费、培训费等支出。（</w:t>
      </w:r>
      <w:r>
        <w:rPr>
          <w:rFonts w:ascii="仿宋_GB2312" w:hAnsi="Times New Roman" w:eastAsia="仿宋_GB2312"/>
          <w:sz w:val="30"/>
          <w:szCs w:val="30"/>
        </w:rPr>
        <w:t>2</w:t>
      </w:r>
      <w:r>
        <w:rPr>
          <w:rFonts w:hint="eastAsia" w:ascii="仿宋_GB2312" w:hAnsi="Times New Roman" w:eastAsia="仿宋_GB2312"/>
          <w:sz w:val="30"/>
          <w:szCs w:val="30"/>
        </w:rPr>
        <w:t>）公务用车购置及运行费，指单位公务用车购置费（含车辆购置税）及租用费、燃料费、维修费、过路过桥费、保险费等支出。（</w:t>
      </w:r>
      <w:r>
        <w:rPr>
          <w:rFonts w:ascii="仿宋_GB2312" w:hAnsi="Times New Roman" w:eastAsia="仿宋_GB2312"/>
          <w:sz w:val="30"/>
          <w:szCs w:val="30"/>
        </w:rPr>
        <w:t>3</w:t>
      </w:r>
      <w:r>
        <w:rPr>
          <w:rFonts w:hint="eastAsia" w:ascii="仿宋_GB2312" w:hAnsi="Times New Roman" w:eastAsia="仿宋_GB2312"/>
          <w:sz w:val="30"/>
          <w:szCs w:val="30"/>
        </w:rPr>
        <w:t>）公务接待费，指单位按规定开支的各类公务接待（含外宾接待）支出。</w:t>
      </w:r>
    </w:p>
    <w:p w14:paraId="4F9D92E0">
      <w:pPr>
        <w:pStyle w:val="17"/>
        <w:keepNext w:val="0"/>
        <w:keepLines w:val="0"/>
        <w:pageBreakBefore w:val="0"/>
        <w:kinsoku/>
        <w:wordWrap/>
        <w:overflowPunct/>
        <w:topLinePunct w:val="0"/>
        <w:bidi w:val="0"/>
        <w:snapToGrid/>
        <w:spacing w:line="560" w:lineRule="exact"/>
        <w:ind w:firstLine="600" w:firstLineChars="200"/>
        <w:jc w:val="both"/>
        <w:textAlignment w:val="auto"/>
        <w:rPr>
          <w:rFonts w:ascii="Times New Roman" w:hAnsi="Times New Roman" w:eastAsia="仿宋_GB2312"/>
          <w:sz w:val="30"/>
          <w:szCs w:val="30"/>
        </w:rPr>
      </w:pPr>
      <w:r>
        <w:rPr>
          <w:rFonts w:hint="eastAsia" w:ascii="仿宋_GB2312" w:hAnsi="Times New Roman" w:eastAsia="仿宋_GB2312"/>
          <w:sz w:val="30"/>
          <w:szCs w:val="30"/>
        </w:rPr>
        <w:t>十五、机关运行经费：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w:t>
      </w:r>
    </w:p>
    <w:p w14:paraId="44CE914F">
      <w:pPr>
        <w:pStyle w:val="17"/>
        <w:keepNext w:val="0"/>
        <w:keepLines w:val="0"/>
        <w:pageBreakBefore w:val="0"/>
        <w:kinsoku/>
        <w:wordWrap/>
        <w:overflowPunct/>
        <w:topLinePunct w:val="0"/>
        <w:bidi w:val="0"/>
        <w:snapToGrid/>
        <w:spacing w:line="560" w:lineRule="exact"/>
        <w:jc w:val="center"/>
        <w:textAlignment w:val="auto"/>
        <w:rPr>
          <w:rFonts w:ascii="Times New Roman" w:hAnsi="Times New Roman" w:cs="Times New Roman"/>
          <w:sz w:val="72"/>
          <w:szCs w:val="72"/>
        </w:rPr>
      </w:pPr>
    </w:p>
    <w:p w14:paraId="65C0BA72">
      <w:pPr>
        <w:pStyle w:val="17"/>
        <w:keepNext w:val="0"/>
        <w:keepLines w:val="0"/>
        <w:pageBreakBefore w:val="0"/>
        <w:kinsoku/>
        <w:wordWrap/>
        <w:overflowPunct/>
        <w:topLinePunct w:val="0"/>
        <w:bidi w:val="0"/>
        <w:snapToGrid/>
        <w:spacing w:line="560" w:lineRule="exact"/>
        <w:jc w:val="center"/>
        <w:textAlignment w:val="auto"/>
        <w:rPr>
          <w:rFonts w:ascii="Times New Roman" w:hAnsi="Times New Roman" w:cs="Times New Roman"/>
          <w:sz w:val="72"/>
          <w:szCs w:val="72"/>
        </w:rPr>
      </w:pPr>
    </w:p>
    <w:p w14:paraId="7C0474D3">
      <w:pPr>
        <w:pStyle w:val="17"/>
        <w:keepNext w:val="0"/>
        <w:keepLines w:val="0"/>
        <w:pageBreakBefore w:val="0"/>
        <w:kinsoku/>
        <w:wordWrap/>
        <w:overflowPunct/>
        <w:topLinePunct w:val="0"/>
        <w:bidi w:val="0"/>
        <w:snapToGrid/>
        <w:spacing w:line="560" w:lineRule="exact"/>
        <w:jc w:val="center"/>
        <w:textAlignment w:val="auto"/>
        <w:rPr>
          <w:rFonts w:ascii="Times New Roman" w:hAnsi="Times New Roman" w:cs="Times New Roman"/>
          <w:sz w:val="72"/>
          <w:szCs w:val="72"/>
        </w:rPr>
      </w:pPr>
    </w:p>
    <w:p w14:paraId="76171624">
      <w:pPr>
        <w:pStyle w:val="17"/>
        <w:keepNext w:val="0"/>
        <w:keepLines w:val="0"/>
        <w:pageBreakBefore w:val="0"/>
        <w:kinsoku/>
        <w:wordWrap/>
        <w:overflowPunct/>
        <w:topLinePunct w:val="0"/>
        <w:bidi w:val="0"/>
        <w:snapToGrid/>
        <w:spacing w:line="560" w:lineRule="exact"/>
        <w:jc w:val="center"/>
        <w:textAlignment w:val="auto"/>
        <w:rPr>
          <w:rFonts w:ascii="Times New Roman" w:hAnsi="Times New Roman" w:cs="Times New Roman"/>
          <w:sz w:val="72"/>
          <w:szCs w:val="72"/>
        </w:rPr>
      </w:pPr>
    </w:p>
    <w:p w14:paraId="273BB210">
      <w:pPr>
        <w:pStyle w:val="17"/>
        <w:keepNext w:val="0"/>
        <w:keepLines w:val="0"/>
        <w:pageBreakBefore w:val="0"/>
        <w:kinsoku/>
        <w:wordWrap/>
        <w:overflowPunct/>
        <w:topLinePunct w:val="0"/>
        <w:bidi w:val="0"/>
        <w:snapToGrid/>
        <w:spacing w:line="560" w:lineRule="exact"/>
        <w:jc w:val="center"/>
        <w:textAlignment w:val="auto"/>
        <w:rPr>
          <w:rFonts w:ascii="Times New Roman" w:hAnsi="Times New Roman" w:cs="Times New Roman"/>
          <w:sz w:val="72"/>
          <w:szCs w:val="72"/>
        </w:rPr>
      </w:pPr>
    </w:p>
    <w:p w14:paraId="243392CA">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019B525F">
      <w:pPr>
        <w:rPr>
          <w:rFonts w:ascii="Times New Roman" w:hAnsi="Times New Roman" w:cs="Times New Roman"/>
          <w:sz w:val="72"/>
          <w:szCs w:val="72"/>
        </w:rPr>
      </w:pPr>
    </w:p>
    <w:p w14:paraId="345005C7">
      <w:pPr>
        <w:pStyle w:val="17"/>
        <w:spacing w:line="60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一、2025年度部门</w:t>
      </w:r>
      <w:r>
        <w:rPr>
          <w:rFonts w:hint="eastAsia" w:ascii="黑体" w:hAnsi="黑体" w:eastAsia="黑体" w:cs="黑体"/>
          <w:b w:val="0"/>
          <w:bCs w:val="0"/>
          <w:sz w:val="32"/>
          <w:szCs w:val="32"/>
          <w:lang w:eastAsia="zh-CN"/>
        </w:rPr>
        <w:t>怀化市科学技术协会</w:t>
      </w:r>
      <w:r>
        <w:rPr>
          <w:rFonts w:hint="eastAsia" w:ascii="黑体" w:hAnsi="黑体" w:eastAsia="黑体" w:cs="黑体"/>
          <w:b w:val="0"/>
          <w:bCs w:val="0"/>
          <w:sz w:val="32"/>
          <w:szCs w:val="32"/>
        </w:rPr>
        <w:t>整体支出绩效自评报告。</w:t>
      </w:r>
    </w:p>
    <w:p w14:paraId="1865B556">
      <w:pPr>
        <w:pStyle w:val="17"/>
        <w:spacing w:line="600" w:lineRule="exact"/>
        <w:ind w:firstLine="640" w:firstLineChars="200"/>
        <w:rPr>
          <w:rFonts w:hint="eastAsia" w:ascii="黑体" w:hAnsi="黑体" w:eastAsia="黑体" w:cs="黑体"/>
          <w:b w:val="0"/>
          <w:bCs w:val="0"/>
          <w:sz w:val="32"/>
          <w:szCs w:val="32"/>
        </w:rPr>
      </w:pPr>
    </w:p>
    <w:p w14:paraId="3E623A7E">
      <w:pPr>
        <w:pStyle w:val="17"/>
        <w:jc w:val="center"/>
        <w:rPr>
          <w:rFonts w:ascii="Times New Roman" w:hAnsi="Times New Roman" w:cs="Times New Roman"/>
          <w:sz w:val="72"/>
          <w:szCs w:val="72"/>
        </w:rPr>
      </w:pPr>
    </w:p>
    <w:p w14:paraId="2879F6FD">
      <w:pPr>
        <w:widowControl/>
        <w:tabs>
          <w:tab w:val="left" w:pos="1360"/>
        </w:tabs>
        <w:spacing w:line="600" w:lineRule="exact"/>
        <w:ind w:left="640" w:leftChars="305" w:firstLine="953" w:firstLineChars="298"/>
        <w:jc w:val="left"/>
        <w:rPr>
          <w:rFonts w:ascii="仿宋_GB2312" w:hAnsi="黑体" w:eastAsia="仿宋_GB2312"/>
          <w:b/>
          <w:kern w:val="0"/>
          <w:sz w:val="32"/>
          <w:szCs w:val="32"/>
        </w:rPr>
      </w:pPr>
    </w:p>
    <w:p w14:paraId="683D3413">
      <w:pPr>
        <w:widowControl/>
        <w:tabs>
          <w:tab w:val="left" w:pos="1360"/>
        </w:tabs>
        <w:spacing w:line="600" w:lineRule="exact"/>
        <w:ind w:left="640" w:leftChars="305" w:firstLine="953" w:firstLineChars="298"/>
        <w:jc w:val="left"/>
        <w:rPr>
          <w:rFonts w:ascii="仿宋_GB2312" w:hAnsi="黑体" w:eastAsia="仿宋_GB2312"/>
          <w:b/>
          <w:kern w:val="0"/>
          <w:sz w:val="32"/>
          <w:szCs w:val="32"/>
        </w:rPr>
      </w:pPr>
    </w:p>
    <w:p w14:paraId="31AB5A98">
      <w:pPr>
        <w:widowControl/>
        <w:tabs>
          <w:tab w:val="left" w:pos="1360"/>
        </w:tabs>
        <w:spacing w:line="600" w:lineRule="exact"/>
        <w:ind w:left="640" w:leftChars="305" w:firstLine="953" w:firstLineChars="298"/>
        <w:jc w:val="left"/>
        <w:rPr>
          <w:rFonts w:ascii="仿宋_GB2312" w:hAnsi="黑体" w:eastAsia="仿宋_GB2312"/>
          <w:b/>
          <w:kern w:val="0"/>
          <w:sz w:val="32"/>
          <w:szCs w:val="32"/>
        </w:rPr>
      </w:pPr>
    </w:p>
    <w:p w14:paraId="279E7B5D">
      <w:pPr>
        <w:widowControl/>
        <w:tabs>
          <w:tab w:val="left" w:pos="1360"/>
        </w:tabs>
        <w:spacing w:line="600" w:lineRule="exact"/>
        <w:ind w:left="640" w:leftChars="305" w:firstLine="953" w:firstLineChars="298"/>
        <w:jc w:val="left"/>
        <w:rPr>
          <w:rFonts w:ascii="仿宋_GB2312" w:hAnsi="黑体" w:eastAsia="仿宋_GB2312"/>
          <w:b/>
          <w:kern w:val="0"/>
          <w:sz w:val="32"/>
          <w:szCs w:val="32"/>
        </w:rPr>
      </w:pPr>
    </w:p>
    <w:p w14:paraId="765DD01F">
      <w:pPr>
        <w:widowControl/>
        <w:tabs>
          <w:tab w:val="left" w:pos="1360"/>
        </w:tabs>
        <w:spacing w:line="600" w:lineRule="exact"/>
        <w:ind w:left="640" w:leftChars="305" w:firstLine="953" w:firstLineChars="298"/>
        <w:jc w:val="left"/>
        <w:rPr>
          <w:rFonts w:ascii="仿宋_GB2312" w:hAnsi="黑体" w:eastAsia="仿宋_GB2312"/>
          <w:b/>
          <w:kern w:val="0"/>
          <w:sz w:val="32"/>
          <w:szCs w:val="32"/>
        </w:rPr>
      </w:pPr>
    </w:p>
    <w:p w14:paraId="3611DE4E">
      <w:pPr>
        <w:widowControl/>
        <w:tabs>
          <w:tab w:val="left" w:pos="1360"/>
        </w:tabs>
        <w:spacing w:line="600" w:lineRule="exact"/>
        <w:ind w:left="640" w:leftChars="305" w:firstLine="953" w:firstLineChars="298"/>
        <w:jc w:val="left"/>
        <w:rPr>
          <w:rFonts w:ascii="仿宋_GB2312" w:hAnsi="黑体" w:eastAsia="仿宋_GB2312"/>
          <w:b/>
          <w:kern w:val="0"/>
          <w:sz w:val="32"/>
          <w:szCs w:val="32"/>
        </w:rPr>
      </w:pPr>
    </w:p>
    <w:p w14:paraId="2A372EAD">
      <w:pPr>
        <w:widowControl/>
        <w:tabs>
          <w:tab w:val="left" w:pos="1360"/>
        </w:tabs>
        <w:spacing w:line="600" w:lineRule="exact"/>
        <w:ind w:left="640" w:leftChars="305" w:firstLine="953" w:firstLineChars="298"/>
        <w:jc w:val="left"/>
        <w:rPr>
          <w:rFonts w:ascii="仿宋_GB2312" w:hAnsi="黑体" w:eastAsia="仿宋_GB2312"/>
          <w:b/>
          <w:kern w:val="0"/>
          <w:sz w:val="32"/>
          <w:szCs w:val="32"/>
        </w:rPr>
      </w:pPr>
    </w:p>
    <w:p w14:paraId="17FA55B7">
      <w:pPr>
        <w:widowControl/>
        <w:tabs>
          <w:tab w:val="left" w:pos="1360"/>
        </w:tabs>
        <w:spacing w:line="600" w:lineRule="exact"/>
        <w:ind w:left="640" w:leftChars="305" w:firstLine="953" w:firstLineChars="298"/>
        <w:jc w:val="left"/>
        <w:rPr>
          <w:rFonts w:ascii="仿宋_GB2312" w:hAnsi="黑体" w:eastAsia="仿宋_GB2312"/>
          <w:b/>
          <w:kern w:val="0"/>
          <w:sz w:val="32"/>
          <w:szCs w:val="32"/>
        </w:rPr>
      </w:pPr>
    </w:p>
    <w:p w14:paraId="349BC38B">
      <w:pPr>
        <w:widowControl/>
        <w:tabs>
          <w:tab w:val="left" w:pos="1360"/>
        </w:tabs>
        <w:spacing w:line="600" w:lineRule="exact"/>
        <w:ind w:left="640" w:leftChars="305" w:firstLine="953" w:firstLineChars="298"/>
        <w:jc w:val="left"/>
        <w:rPr>
          <w:rFonts w:ascii="仿宋_GB2312" w:hAnsi="黑体" w:eastAsia="仿宋_GB2312"/>
          <w:b/>
          <w:kern w:val="0"/>
          <w:sz w:val="32"/>
          <w:szCs w:val="32"/>
        </w:rPr>
      </w:pPr>
    </w:p>
    <w:p w14:paraId="4D4AE544">
      <w:pPr>
        <w:widowControl/>
        <w:tabs>
          <w:tab w:val="left" w:pos="1360"/>
        </w:tabs>
        <w:spacing w:line="600" w:lineRule="exact"/>
        <w:ind w:left="640" w:leftChars="305" w:firstLine="953" w:firstLineChars="298"/>
        <w:jc w:val="left"/>
        <w:rPr>
          <w:rFonts w:ascii="仿宋_GB2312" w:hAnsi="黑体" w:eastAsia="仿宋_GB2312"/>
          <w:b/>
          <w:kern w:val="0"/>
          <w:sz w:val="32"/>
          <w:szCs w:val="32"/>
        </w:rPr>
      </w:pPr>
    </w:p>
    <w:p w14:paraId="2586AE53">
      <w:pPr>
        <w:widowControl/>
        <w:tabs>
          <w:tab w:val="left" w:pos="1360"/>
        </w:tabs>
        <w:spacing w:line="600" w:lineRule="exact"/>
        <w:ind w:left="640" w:leftChars="305" w:firstLine="953" w:firstLineChars="298"/>
        <w:jc w:val="left"/>
        <w:rPr>
          <w:rFonts w:ascii="仿宋_GB2312" w:hAnsi="黑体" w:eastAsia="仿宋_GB2312"/>
          <w:b/>
          <w:kern w:val="0"/>
          <w:sz w:val="32"/>
          <w:szCs w:val="32"/>
        </w:rPr>
      </w:pPr>
    </w:p>
    <w:p w14:paraId="3EDC13B9">
      <w:pPr>
        <w:widowControl/>
        <w:tabs>
          <w:tab w:val="left" w:pos="1360"/>
        </w:tabs>
        <w:spacing w:line="600" w:lineRule="exact"/>
        <w:ind w:left="640" w:leftChars="305" w:firstLine="953" w:firstLineChars="298"/>
        <w:jc w:val="left"/>
        <w:rPr>
          <w:rFonts w:ascii="仿宋_GB2312" w:hAnsi="黑体" w:eastAsia="仿宋_GB2312"/>
          <w:b/>
          <w:kern w:val="0"/>
          <w:sz w:val="32"/>
          <w:szCs w:val="32"/>
        </w:rPr>
      </w:pPr>
    </w:p>
    <w:p w14:paraId="64DF0AEF">
      <w:pPr>
        <w:widowControl/>
        <w:tabs>
          <w:tab w:val="left" w:pos="1360"/>
        </w:tabs>
        <w:spacing w:line="600" w:lineRule="exact"/>
        <w:ind w:left="640" w:leftChars="305" w:firstLine="953" w:firstLineChars="298"/>
        <w:jc w:val="left"/>
        <w:rPr>
          <w:rFonts w:ascii="仿宋_GB2312" w:hAnsi="黑体" w:eastAsia="仿宋_GB2312"/>
          <w:b/>
          <w:kern w:val="0"/>
          <w:sz w:val="32"/>
          <w:szCs w:val="32"/>
        </w:rPr>
      </w:pPr>
    </w:p>
    <w:p w14:paraId="75280BA5">
      <w:pPr>
        <w:widowControl/>
        <w:tabs>
          <w:tab w:val="left" w:pos="1360"/>
        </w:tabs>
        <w:spacing w:line="600" w:lineRule="exact"/>
        <w:ind w:left="640" w:leftChars="305" w:firstLine="953" w:firstLineChars="298"/>
        <w:jc w:val="left"/>
        <w:rPr>
          <w:rFonts w:ascii="仿宋_GB2312" w:hAnsi="黑体" w:eastAsia="仿宋_GB2312"/>
          <w:b/>
          <w:kern w:val="0"/>
          <w:sz w:val="32"/>
          <w:szCs w:val="32"/>
        </w:rPr>
      </w:pPr>
    </w:p>
    <w:p w14:paraId="08DC710A">
      <w:pPr>
        <w:widowControl/>
        <w:tabs>
          <w:tab w:val="left" w:pos="1360"/>
        </w:tabs>
        <w:spacing w:line="600" w:lineRule="exact"/>
        <w:ind w:left="640" w:leftChars="305" w:firstLine="953" w:firstLineChars="298"/>
        <w:jc w:val="left"/>
        <w:rPr>
          <w:rFonts w:ascii="仿宋_GB2312" w:hAnsi="黑体" w:eastAsia="仿宋_GB2312"/>
          <w:b/>
          <w:bCs w:val="0"/>
          <w:kern w:val="0"/>
          <w:sz w:val="32"/>
          <w:szCs w:val="32"/>
        </w:rPr>
      </w:pPr>
    </w:p>
    <w:p w14:paraId="656ED548">
      <w:pPr>
        <w:widowControl/>
        <w:tabs>
          <w:tab w:val="left" w:pos="1360"/>
        </w:tabs>
        <w:spacing w:line="600" w:lineRule="exact"/>
        <w:ind w:left="640" w:leftChars="305" w:firstLine="953" w:firstLineChars="298"/>
        <w:jc w:val="left"/>
        <w:rPr>
          <w:rFonts w:hint="eastAsia" w:asciiTheme="majorEastAsia" w:hAnsiTheme="majorEastAsia" w:eastAsiaTheme="majorEastAsia" w:cstheme="majorEastAsia"/>
          <w:b/>
          <w:bCs w:val="0"/>
          <w:kern w:val="0"/>
          <w:sz w:val="44"/>
          <w:szCs w:val="32"/>
        </w:rPr>
      </w:pPr>
      <w:r>
        <w:rPr>
          <w:rFonts w:hint="eastAsia" w:asciiTheme="majorEastAsia" w:hAnsiTheme="majorEastAsia" w:eastAsiaTheme="majorEastAsia" w:cstheme="majorEastAsia"/>
          <w:b/>
          <w:bCs w:val="0"/>
          <w:kern w:val="0"/>
          <w:sz w:val="32"/>
          <w:szCs w:val="32"/>
        </w:rPr>
        <w:t xml:space="preserve"> </w:t>
      </w:r>
      <w:r>
        <w:rPr>
          <w:rFonts w:hint="eastAsia" w:asciiTheme="majorEastAsia" w:hAnsiTheme="majorEastAsia" w:eastAsiaTheme="majorEastAsia" w:cstheme="majorEastAsia"/>
          <w:b/>
          <w:bCs w:val="0"/>
          <w:kern w:val="0"/>
          <w:sz w:val="44"/>
          <w:szCs w:val="32"/>
        </w:rPr>
        <w:t>202</w:t>
      </w:r>
      <w:r>
        <w:rPr>
          <w:rFonts w:hint="eastAsia" w:asciiTheme="majorEastAsia" w:hAnsiTheme="majorEastAsia" w:eastAsiaTheme="majorEastAsia" w:cstheme="majorEastAsia"/>
          <w:b/>
          <w:bCs w:val="0"/>
          <w:kern w:val="0"/>
          <w:sz w:val="44"/>
          <w:szCs w:val="32"/>
          <w:lang w:val="en-US" w:eastAsia="zh-CN"/>
        </w:rPr>
        <w:t>5</w:t>
      </w:r>
      <w:r>
        <w:rPr>
          <w:rFonts w:hint="eastAsia" w:asciiTheme="majorEastAsia" w:hAnsiTheme="majorEastAsia" w:eastAsiaTheme="majorEastAsia" w:cstheme="majorEastAsia"/>
          <w:b/>
          <w:bCs w:val="0"/>
          <w:kern w:val="0"/>
          <w:sz w:val="44"/>
          <w:szCs w:val="32"/>
        </w:rPr>
        <w:t>年度怀化市科学技术协会</w:t>
      </w:r>
    </w:p>
    <w:p w14:paraId="2C0A3E65">
      <w:pPr>
        <w:widowControl/>
        <w:tabs>
          <w:tab w:val="left" w:pos="1360"/>
        </w:tabs>
        <w:spacing w:line="600" w:lineRule="exact"/>
        <w:ind w:firstLine="2640" w:firstLineChars="600"/>
        <w:jc w:val="left"/>
        <w:rPr>
          <w:rFonts w:hint="eastAsia" w:asciiTheme="majorEastAsia" w:hAnsiTheme="majorEastAsia" w:eastAsiaTheme="majorEastAsia" w:cstheme="majorEastAsia"/>
          <w:b/>
          <w:bCs w:val="0"/>
          <w:kern w:val="0"/>
          <w:sz w:val="44"/>
          <w:szCs w:val="32"/>
        </w:rPr>
      </w:pPr>
      <w:r>
        <w:rPr>
          <w:rFonts w:hint="eastAsia" w:asciiTheme="majorEastAsia" w:hAnsiTheme="majorEastAsia" w:eastAsiaTheme="majorEastAsia" w:cstheme="majorEastAsia"/>
          <w:b/>
          <w:bCs w:val="0"/>
          <w:kern w:val="0"/>
          <w:sz w:val="44"/>
          <w:szCs w:val="32"/>
        </w:rPr>
        <w:t>整体支出绩效自评报告</w:t>
      </w:r>
    </w:p>
    <w:p w14:paraId="2CA2AA7C">
      <w:pPr>
        <w:pStyle w:val="2"/>
        <w:rPr>
          <w:rFonts w:hint="eastAsia"/>
        </w:rPr>
      </w:pPr>
    </w:p>
    <w:p w14:paraId="4CE16DC9">
      <w:pPr>
        <w:widowControl/>
        <w:numPr>
          <w:ilvl w:val="0"/>
          <w:numId w:val="2"/>
        </w:numPr>
        <w:spacing w:line="600" w:lineRule="exact"/>
        <w:jc w:val="lef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部门概况</w:t>
      </w:r>
    </w:p>
    <w:p w14:paraId="3C3713E4">
      <w:pPr>
        <w:widowControl/>
        <w:spacing w:line="600" w:lineRule="exact"/>
        <w:ind w:firstLine="640" w:firstLineChars="200"/>
        <w:rPr>
          <w:rFonts w:hint="eastAsia" w:ascii="楷体" w:hAnsi="楷体" w:eastAsia="楷体" w:cs="楷体"/>
          <w:b/>
          <w:kern w:val="0"/>
          <w:sz w:val="32"/>
          <w:szCs w:val="32"/>
        </w:rPr>
      </w:pPr>
      <w:r>
        <w:rPr>
          <w:rFonts w:hint="eastAsia" w:ascii="楷体" w:hAnsi="楷体" w:eastAsia="楷体" w:cs="楷体"/>
          <w:b/>
          <w:kern w:val="0"/>
          <w:sz w:val="32"/>
          <w:szCs w:val="32"/>
        </w:rPr>
        <w:t>（一）部门基本情况。</w:t>
      </w:r>
    </w:p>
    <w:p w14:paraId="312EB14F">
      <w:pPr>
        <w:widowControl/>
        <w:shd w:val="clear" w:color="auto" w:fill="FFFFFF"/>
        <w:spacing w:line="600" w:lineRule="atLeast"/>
        <w:ind w:firstLine="640"/>
        <w:rPr>
          <w:rFonts w:eastAsia="仿宋_GB2312" w:cs="仿宋_GB2312"/>
          <w:spacing w:val="-2"/>
          <w:sz w:val="32"/>
          <w:szCs w:val="32"/>
        </w:rPr>
      </w:pPr>
      <w:r>
        <w:rPr>
          <w:rFonts w:hint="eastAsia" w:ascii="仿宋_GB2312" w:hAnsi="仿宋_GB2312" w:eastAsia="仿宋_GB2312" w:cs="仿宋_GB2312"/>
          <w:spacing w:val="-2"/>
          <w:sz w:val="32"/>
          <w:szCs w:val="32"/>
          <w:lang w:val="en-US" w:eastAsia="zh-CN"/>
        </w:rPr>
        <w:t>1、</w:t>
      </w:r>
      <w:r>
        <w:rPr>
          <w:rFonts w:hint="eastAsia" w:eastAsia="仿宋_GB2312" w:cs="仿宋_GB2312"/>
          <w:spacing w:val="-2"/>
          <w:sz w:val="32"/>
          <w:szCs w:val="32"/>
        </w:rPr>
        <w:t>在职人员情况</w:t>
      </w:r>
    </w:p>
    <w:p w14:paraId="4C67E7FD">
      <w:pPr>
        <w:spacing w:line="520" w:lineRule="exact"/>
        <w:ind w:firstLine="640"/>
        <w:rPr>
          <w:rFonts w:hint="eastAsia" w:ascii="仿宋_GB2312" w:eastAsia="仿宋_GB2312"/>
          <w:color w:val="000000"/>
          <w:sz w:val="32"/>
          <w:szCs w:val="32"/>
        </w:rPr>
      </w:pPr>
      <w:r>
        <w:rPr>
          <w:rFonts w:hint="eastAsia" w:ascii="仿宋_GB2312" w:eastAsia="仿宋_GB2312"/>
          <w:color w:val="000000"/>
          <w:sz w:val="32"/>
          <w:szCs w:val="32"/>
        </w:rPr>
        <w:t>我单位202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年人员编制数</w:t>
      </w:r>
      <w:r>
        <w:rPr>
          <w:rFonts w:hint="eastAsia" w:ascii="仿宋_GB2312" w:eastAsia="仿宋_GB2312"/>
          <w:color w:val="000000"/>
          <w:sz w:val="32"/>
          <w:szCs w:val="32"/>
          <w:lang w:val="en-US" w:eastAsia="zh-CN"/>
        </w:rPr>
        <w:t>17</w:t>
      </w:r>
      <w:r>
        <w:rPr>
          <w:rFonts w:hint="eastAsia" w:ascii="仿宋_GB2312" w:eastAsia="仿宋_GB2312"/>
          <w:color w:val="000000"/>
          <w:sz w:val="32"/>
          <w:szCs w:val="32"/>
        </w:rPr>
        <w:t>个，属于财政全额拨款的行政编和事业编，在职在编人员14人。</w:t>
      </w:r>
    </w:p>
    <w:p w14:paraId="6826325A">
      <w:pPr>
        <w:widowControl/>
        <w:shd w:val="clear" w:color="auto" w:fill="FFFFFF"/>
        <w:spacing w:line="600" w:lineRule="atLeast"/>
        <w:ind w:firstLine="640"/>
        <w:rPr>
          <w:rFonts w:eastAsia="仿宋_GB2312" w:cs="仿宋_GB2312"/>
          <w:spacing w:val="-2"/>
          <w:sz w:val="32"/>
          <w:szCs w:val="32"/>
        </w:rPr>
      </w:pPr>
      <w:r>
        <w:rPr>
          <w:rFonts w:hint="eastAsia" w:ascii="仿宋_GB2312" w:hAnsi="仿宋_GB2312" w:eastAsia="仿宋_GB2312" w:cs="仿宋_GB2312"/>
          <w:spacing w:val="-2"/>
          <w:sz w:val="32"/>
          <w:szCs w:val="32"/>
          <w:lang w:val="en-US" w:eastAsia="zh-CN"/>
        </w:rPr>
        <w:t>2、</w:t>
      </w:r>
      <w:r>
        <w:rPr>
          <w:rFonts w:hint="eastAsia" w:eastAsia="仿宋_GB2312" w:cs="仿宋_GB2312"/>
          <w:spacing w:val="-2"/>
          <w:sz w:val="32"/>
          <w:szCs w:val="32"/>
        </w:rPr>
        <w:t>机构设置</w:t>
      </w:r>
    </w:p>
    <w:p w14:paraId="2CB160A5">
      <w:pPr>
        <w:spacing w:line="520" w:lineRule="exact"/>
        <w:ind w:firstLine="640"/>
        <w:rPr>
          <w:rFonts w:ascii="仿宋_GB2312" w:eastAsia="仿宋_GB2312"/>
          <w:color w:val="000000"/>
          <w:sz w:val="32"/>
          <w:szCs w:val="32"/>
        </w:rPr>
      </w:pPr>
      <w:r>
        <w:rPr>
          <w:rFonts w:hint="eastAsia" w:eastAsia="仿宋_GB2312"/>
          <w:sz w:val="32"/>
          <w:szCs w:val="32"/>
        </w:rPr>
        <w:t>怀化</w:t>
      </w:r>
      <w:r>
        <w:rPr>
          <w:rFonts w:hint="eastAsia" w:ascii="仿宋_GB2312" w:eastAsia="仿宋_GB2312"/>
          <w:color w:val="000000"/>
          <w:sz w:val="32"/>
          <w:szCs w:val="32"/>
        </w:rPr>
        <w:t>市科学技术协会作为一级部门预算单位，内设科室为：二部一室一馆即：“科学普及部、学会部、办公室、</w:t>
      </w:r>
      <w:r>
        <w:rPr>
          <w:rFonts w:ascii="仿宋_GB2312" w:eastAsia="仿宋_GB2312"/>
          <w:color w:val="000000"/>
          <w:sz w:val="32"/>
          <w:szCs w:val="32"/>
        </w:rPr>
        <w:t xml:space="preserve"> </w:t>
      </w:r>
      <w:r>
        <w:rPr>
          <w:rFonts w:hint="eastAsia" w:ascii="仿宋_GB2312" w:eastAsia="仿宋_GB2312"/>
          <w:color w:val="000000"/>
          <w:sz w:val="32"/>
          <w:szCs w:val="32"/>
        </w:rPr>
        <w:t>科学技术馆”。</w:t>
      </w:r>
    </w:p>
    <w:p w14:paraId="3283B085">
      <w:pPr>
        <w:widowControl/>
        <w:numPr>
          <w:ilvl w:val="0"/>
          <w:numId w:val="0"/>
        </w:numPr>
        <w:shd w:val="clear" w:color="auto" w:fill="FFFFFF"/>
        <w:spacing w:line="600" w:lineRule="atLeast"/>
        <w:ind w:firstLine="632" w:firstLineChars="200"/>
        <w:rPr>
          <w:rFonts w:eastAsia="仿宋_GB2312" w:cs="仿宋_GB2312"/>
          <w:spacing w:val="-2"/>
          <w:sz w:val="32"/>
          <w:szCs w:val="32"/>
        </w:rPr>
      </w:pPr>
      <w:r>
        <w:rPr>
          <w:rFonts w:hint="eastAsia" w:ascii="仿宋_GB2312" w:hAnsi="仿宋_GB2312" w:eastAsia="仿宋_GB2312" w:cs="仿宋_GB2312"/>
          <w:spacing w:val="-2"/>
          <w:sz w:val="32"/>
          <w:szCs w:val="32"/>
          <w:lang w:val="en-US" w:eastAsia="zh-CN"/>
        </w:rPr>
        <w:t>3、</w:t>
      </w:r>
      <w:r>
        <w:rPr>
          <w:rFonts w:hint="eastAsia" w:eastAsia="仿宋_GB2312" w:cs="仿宋_GB2312"/>
          <w:spacing w:val="-2"/>
          <w:sz w:val="32"/>
          <w:szCs w:val="32"/>
        </w:rPr>
        <w:t>部门职能</w:t>
      </w:r>
    </w:p>
    <w:p w14:paraId="268D698C">
      <w:pPr>
        <w:widowControl/>
        <w:spacing w:line="600" w:lineRule="exact"/>
        <w:ind w:firstLine="640" w:firstLineChars="200"/>
        <w:rPr>
          <w:rFonts w:ascii="仿宋_GB2312" w:eastAsia="仿宋_GB2312" w:cs="宋体"/>
          <w:kern w:val="0"/>
          <w:sz w:val="32"/>
          <w:szCs w:val="32"/>
        </w:rPr>
      </w:pPr>
      <w:r>
        <w:rPr>
          <w:rFonts w:hint="eastAsia" w:ascii="仿宋_GB2312" w:eastAsia="仿宋_GB2312" w:cs="宋体"/>
          <w:kern w:val="0"/>
          <w:sz w:val="32"/>
          <w:szCs w:val="32"/>
        </w:rPr>
        <w:t>怀化市科学技术协会（简称怀化市科协）是怀化市科学技术工作者的群众组织，是中共怀化市委领导下的人民团体，是党和政府联系科学技术工作者的桥梁和纽带，是推动科学技术事业发展的重要社会力量。主要职能是：为科技工作者服务，为党和政府科学决策服务，为创新驱动发展服务，为提高全民科学素质服务。</w:t>
      </w:r>
    </w:p>
    <w:p w14:paraId="3E410D8B">
      <w:pPr>
        <w:widowControl/>
        <w:spacing w:line="600" w:lineRule="exact"/>
        <w:ind w:firstLine="640" w:firstLineChars="200"/>
        <w:rPr>
          <w:rFonts w:ascii="仿宋_GB2312" w:hAnsi="Times New Roman" w:eastAsia="仿宋_GB2312" w:cs="Times New Roman"/>
          <w:sz w:val="32"/>
          <w:szCs w:val="32"/>
        </w:rPr>
      </w:pPr>
      <w:r>
        <w:rPr>
          <w:rFonts w:hint="eastAsia" w:ascii="楷体" w:hAnsi="楷体" w:eastAsia="楷体" w:cs="楷体"/>
          <w:b/>
          <w:kern w:val="0"/>
          <w:sz w:val="32"/>
          <w:szCs w:val="32"/>
        </w:rPr>
        <w:t>（二）部门整体支出规模、使用方向和主要内容、涉及范围等</w:t>
      </w:r>
      <w:r>
        <w:rPr>
          <w:rFonts w:hint="eastAsia" w:ascii="楷体" w:hAnsi="楷体" w:eastAsia="楷体" w:cs="楷体"/>
          <w:b/>
          <w:kern w:val="0"/>
          <w:sz w:val="32"/>
          <w:szCs w:val="32"/>
          <w:lang w:eastAsia="zh-CN"/>
        </w:rPr>
        <w:t>。</w:t>
      </w:r>
      <w:r>
        <w:rPr>
          <w:rFonts w:hint="eastAsia" w:ascii="仿宋_GB2312" w:hAnsi="仿宋_GB2312" w:eastAsia="仿宋_GB2312" w:cs="仿宋_GB2312"/>
          <w:spacing w:val="-2"/>
          <w:sz w:val="32"/>
          <w:szCs w:val="32"/>
        </w:rPr>
        <w:t>202</w:t>
      </w:r>
      <w:r>
        <w:rPr>
          <w:rFonts w:hint="eastAsia" w:ascii="仿宋_GB2312" w:hAnsi="仿宋_GB2312" w:eastAsia="仿宋_GB2312" w:cs="仿宋_GB2312"/>
          <w:spacing w:val="-2"/>
          <w:sz w:val="32"/>
          <w:szCs w:val="32"/>
          <w:lang w:val="en-US" w:eastAsia="zh-CN"/>
        </w:rPr>
        <w:t>5</w:t>
      </w:r>
      <w:r>
        <w:rPr>
          <w:rFonts w:hint="eastAsia" w:ascii="仿宋_GB2312" w:hAnsi="仿宋_GB2312" w:eastAsia="仿宋_GB2312" w:cs="仿宋_GB2312"/>
          <w:spacing w:val="-2"/>
          <w:sz w:val="32"/>
          <w:szCs w:val="32"/>
        </w:rPr>
        <w:t>年度决算总支出</w:t>
      </w:r>
      <w:r>
        <w:rPr>
          <w:rFonts w:hint="eastAsia" w:ascii="仿宋_GB2312" w:hAnsi="仿宋_GB2312" w:eastAsia="仿宋_GB2312" w:cs="仿宋_GB2312"/>
          <w:spacing w:val="-2"/>
          <w:sz w:val="32"/>
          <w:szCs w:val="32"/>
          <w:lang w:val="en-US" w:eastAsia="zh-CN"/>
        </w:rPr>
        <w:t>726.07</w:t>
      </w:r>
      <w:r>
        <w:rPr>
          <w:rFonts w:hint="eastAsia" w:ascii="仿宋_GB2312" w:hAnsi="仿宋_GB2312" w:eastAsia="仿宋_GB2312" w:cs="仿宋_GB2312"/>
          <w:spacing w:val="-2"/>
          <w:sz w:val="32"/>
          <w:szCs w:val="32"/>
        </w:rPr>
        <w:t>万元，包括基本支出和项目支出。基本支出</w:t>
      </w:r>
      <w:r>
        <w:rPr>
          <w:rFonts w:hint="eastAsia" w:ascii="仿宋_GB2312" w:hAnsi="仿宋_GB2312" w:eastAsia="仿宋_GB2312" w:cs="仿宋_GB2312"/>
          <w:spacing w:val="-2"/>
          <w:sz w:val="32"/>
          <w:szCs w:val="32"/>
          <w:lang w:val="en-US" w:eastAsia="zh-CN"/>
        </w:rPr>
        <w:t>300.44</w:t>
      </w:r>
      <w:r>
        <w:rPr>
          <w:rFonts w:hint="eastAsia" w:ascii="仿宋_GB2312" w:hAnsi="仿宋_GB2312" w:eastAsia="仿宋_GB2312" w:cs="仿宋_GB2312"/>
          <w:spacing w:val="-2"/>
          <w:sz w:val="32"/>
          <w:szCs w:val="32"/>
        </w:rPr>
        <w:t>万元，主要用于保障单位机构正常运转、完成日常工作任务而发生的各项支出，包括人员经费</w:t>
      </w:r>
      <w:r>
        <w:rPr>
          <w:rFonts w:hint="eastAsia" w:eastAsia="仿宋_GB2312" w:cs="仿宋_GB2312"/>
          <w:spacing w:val="-2"/>
          <w:sz w:val="32"/>
          <w:szCs w:val="32"/>
        </w:rPr>
        <w:t>和日常公用经费，其中：人员经费支出</w:t>
      </w:r>
      <w:r>
        <w:rPr>
          <w:rFonts w:hint="eastAsia" w:ascii="Times New Roman" w:hAnsi="Times New Roman" w:eastAsia="仿宋_GB2312" w:cstheme="minorBidi"/>
          <w:b w:val="0"/>
          <w:bCs w:val="0"/>
          <w:kern w:val="2"/>
          <w:sz w:val="32"/>
          <w:szCs w:val="32"/>
          <w:lang w:val="en-US" w:eastAsia="zh-CN" w:bidi="ar-SA"/>
        </w:rPr>
        <w:t>275.28</w:t>
      </w:r>
      <w:r>
        <w:rPr>
          <w:rFonts w:hint="eastAsia" w:eastAsia="仿宋_GB2312" w:cs="仿宋_GB2312"/>
          <w:spacing w:val="-2"/>
          <w:sz w:val="32"/>
          <w:szCs w:val="32"/>
        </w:rPr>
        <w:t>万元，公用经费支出</w:t>
      </w:r>
      <w:r>
        <w:rPr>
          <w:rFonts w:hint="eastAsia" w:eastAsia="仿宋_GB2312" w:cs="仿宋_GB2312"/>
          <w:spacing w:val="-2"/>
          <w:sz w:val="32"/>
          <w:szCs w:val="32"/>
          <w:lang w:val="en-US" w:eastAsia="zh-CN"/>
        </w:rPr>
        <w:t>25.16</w:t>
      </w:r>
      <w:r>
        <w:rPr>
          <w:rFonts w:hint="eastAsia" w:eastAsia="仿宋_GB2312" w:cs="仿宋_GB2312"/>
          <w:spacing w:val="-2"/>
          <w:sz w:val="32"/>
          <w:szCs w:val="32"/>
        </w:rPr>
        <w:t>万元。项目支出</w:t>
      </w:r>
      <w:r>
        <w:rPr>
          <w:rFonts w:hint="eastAsia" w:ascii="Times New Roman" w:hAnsi="Times New Roman" w:eastAsia="仿宋_GB2312" w:cstheme="minorBidi"/>
          <w:b w:val="0"/>
          <w:bCs w:val="0"/>
          <w:kern w:val="2"/>
          <w:sz w:val="32"/>
          <w:szCs w:val="32"/>
          <w:lang w:val="en-US" w:eastAsia="zh-CN" w:bidi="ar-SA"/>
        </w:rPr>
        <w:t>425.63</w:t>
      </w:r>
      <w:r>
        <w:rPr>
          <w:rFonts w:hint="eastAsia" w:eastAsia="仿宋_GB2312" w:cs="仿宋_GB2312"/>
          <w:spacing w:val="-2"/>
          <w:sz w:val="32"/>
          <w:szCs w:val="32"/>
        </w:rPr>
        <w:t>万元，主要用于</w:t>
      </w:r>
      <w:r>
        <w:rPr>
          <w:rFonts w:hint="eastAsia" w:ascii="仿宋_GB2312" w:eastAsia="仿宋_GB2312"/>
          <w:color w:val="000000"/>
          <w:sz w:val="32"/>
          <w:szCs w:val="32"/>
        </w:rPr>
        <w:t>农村科普示范基地建设经费、科技助力乡村振兴、中国流动科技馆巡展活动经费、科普主题活动、社区科普建设及科普宣传、科协基层组织能力建设、青少年科技创新大赛活动经费的差旅费、住宿费、会议培训、科技馆的日常运转及设备更新维护、老科协日常运转、</w:t>
      </w:r>
      <w:r>
        <w:rPr>
          <w:rFonts w:hint="eastAsia" w:ascii="仿宋_GB2312" w:hAnsi="仿宋" w:eastAsia="仿宋_GB2312" w:cs="仿宋"/>
          <w:sz w:val="32"/>
          <w:szCs w:val="32"/>
        </w:rPr>
        <w:t>市科协第九次</w:t>
      </w:r>
      <w:r>
        <w:rPr>
          <w:rFonts w:hint="eastAsia" w:ascii="仿宋_GB2312" w:eastAsia="仿宋_GB2312"/>
          <w:sz w:val="32"/>
          <w:szCs w:val="32"/>
        </w:rPr>
        <w:t>代表大会换届工作、省级科普专项、</w:t>
      </w:r>
      <w:r>
        <w:rPr>
          <w:rFonts w:hint="eastAsia" w:ascii="仿宋_GB2312" w:hAnsi="仿宋" w:eastAsia="仿宋_GB2312" w:cs="仿宋"/>
          <w:color w:val="000000"/>
          <w:sz w:val="32"/>
          <w:szCs w:val="32"/>
        </w:rPr>
        <w:t>科学普及能力提升、</w:t>
      </w:r>
      <w:r>
        <w:rPr>
          <w:rFonts w:hint="eastAsia" w:ascii="仿宋_GB2312" w:eastAsia="仿宋_GB2312"/>
          <w:sz w:val="32"/>
          <w:szCs w:val="32"/>
        </w:rPr>
        <w:t>市政协委员工作室建设和运行经费日常运行、</w:t>
      </w:r>
      <w:r>
        <w:rPr>
          <w:rFonts w:hint="eastAsia" w:ascii="仿宋_GB2312" w:hAnsi="仿宋" w:eastAsia="仿宋_GB2312" w:cs="仿宋"/>
          <w:color w:val="000000"/>
          <w:sz w:val="32"/>
          <w:szCs w:val="32"/>
        </w:rPr>
        <w:t>市科协社会组织行业党委党建工作</w:t>
      </w:r>
      <w:r>
        <w:rPr>
          <w:rFonts w:hint="eastAsia" w:ascii="仿宋_GB2312" w:hAnsi="Times New Roman" w:eastAsia="仿宋_GB2312" w:cs="Times New Roman"/>
          <w:sz w:val="32"/>
          <w:szCs w:val="32"/>
        </w:rPr>
        <w:t>。</w:t>
      </w:r>
    </w:p>
    <w:p w14:paraId="5B83ABA8">
      <w:pPr>
        <w:pStyle w:val="12"/>
        <w:shd w:val="clear" w:color="auto" w:fill="FFFFFF"/>
        <w:spacing w:before="0" w:beforeAutospacing="0" w:after="0" w:afterAutospacing="0" w:line="600" w:lineRule="exact"/>
        <w:ind w:firstLine="633" w:firstLineChars="198"/>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二、一般公共预算支出情况</w:t>
      </w:r>
    </w:p>
    <w:p w14:paraId="5CA87C1E">
      <w:pPr>
        <w:pStyle w:val="12"/>
        <w:shd w:val="clear" w:color="auto" w:fill="FFFFFF"/>
        <w:spacing w:before="0" w:beforeAutospacing="0" w:after="0" w:afterAutospacing="0" w:line="600" w:lineRule="exact"/>
        <w:ind w:firstLine="640" w:firstLineChars="200"/>
        <w:rPr>
          <w:rFonts w:hint="eastAsia" w:ascii="楷体" w:hAnsi="楷体" w:eastAsia="楷体" w:cs="楷体"/>
          <w:b/>
          <w:bCs w:val="0"/>
          <w:color w:val="000000"/>
          <w:sz w:val="32"/>
          <w:szCs w:val="32"/>
        </w:rPr>
      </w:pPr>
      <w:r>
        <w:rPr>
          <w:rFonts w:hint="eastAsia" w:ascii="楷体" w:hAnsi="楷体" w:eastAsia="楷体" w:cs="楷体"/>
          <w:b/>
          <w:bCs w:val="0"/>
          <w:color w:val="000000"/>
          <w:sz w:val="32"/>
          <w:szCs w:val="32"/>
        </w:rPr>
        <w:t>（一）基本支出</w:t>
      </w:r>
    </w:p>
    <w:p w14:paraId="7E811EA3">
      <w:pPr>
        <w:widowControl/>
        <w:shd w:val="clear" w:color="auto" w:fill="FFFFFF"/>
        <w:spacing w:line="600" w:lineRule="atLeast"/>
        <w:ind w:firstLine="640"/>
        <w:rPr>
          <w:rFonts w:eastAsia="仿宋_GB2312" w:cs="仿宋_GB2312"/>
          <w:spacing w:val="-2"/>
          <w:sz w:val="32"/>
          <w:szCs w:val="32"/>
        </w:rPr>
      </w:pPr>
      <w:r>
        <w:rPr>
          <w:rFonts w:hint="eastAsia" w:ascii="Times New Roman" w:hAnsi="Times New Roman" w:eastAsia="仿宋_GB2312" w:cstheme="minorBidi"/>
          <w:kern w:val="2"/>
          <w:sz w:val="32"/>
          <w:szCs w:val="32"/>
          <w:lang w:val="en-US" w:eastAsia="zh-CN" w:bidi="ar-SA"/>
        </w:rPr>
        <w:t>1、</w:t>
      </w:r>
      <w:r>
        <w:rPr>
          <w:rFonts w:hint="eastAsia" w:eastAsia="仿宋_GB2312" w:cs="仿宋_GB2312"/>
          <w:spacing w:val="-2"/>
          <w:sz w:val="32"/>
          <w:szCs w:val="32"/>
        </w:rPr>
        <w:t>基本支出总体情况</w:t>
      </w:r>
    </w:p>
    <w:p w14:paraId="0B6A63BE">
      <w:pPr>
        <w:widowControl/>
        <w:shd w:val="clear" w:color="auto" w:fill="FFFFFF"/>
        <w:spacing w:line="600" w:lineRule="atLeast"/>
        <w:ind w:firstLine="640"/>
        <w:rPr>
          <w:rFonts w:eastAsia="仿宋_GB2312" w:cs="仿宋_GB2312"/>
          <w:spacing w:val="-2"/>
          <w:sz w:val="32"/>
          <w:szCs w:val="32"/>
        </w:rPr>
      </w:pPr>
      <w:r>
        <w:rPr>
          <w:rFonts w:hint="eastAsia" w:ascii="Times New Roman" w:hAnsi="Times New Roman" w:eastAsia="仿宋_GB2312" w:cstheme="minorBidi"/>
          <w:kern w:val="2"/>
          <w:sz w:val="32"/>
          <w:szCs w:val="32"/>
          <w:lang w:val="en-US" w:eastAsia="zh-CN" w:bidi="ar-SA"/>
        </w:rPr>
        <w:t>2025</w:t>
      </w:r>
      <w:r>
        <w:rPr>
          <w:rFonts w:hint="eastAsia" w:eastAsia="仿宋_GB2312" w:cs="仿宋_GB2312"/>
          <w:spacing w:val="-2"/>
          <w:sz w:val="32"/>
          <w:szCs w:val="32"/>
        </w:rPr>
        <w:t>年度基本支出</w:t>
      </w:r>
      <w:r>
        <w:rPr>
          <w:rFonts w:hint="eastAsia" w:eastAsia="仿宋_GB2312" w:cs="仿宋_GB2312"/>
          <w:spacing w:val="-2"/>
          <w:sz w:val="32"/>
          <w:szCs w:val="32"/>
          <w:lang w:val="en-US" w:eastAsia="zh-CN"/>
        </w:rPr>
        <w:t>300.44</w:t>
      </w:r>
      <w:r>
        <w:rPr>
          <w:rFonts w:hint="eastAsia" w:eastAsia="仿宋_GB2312" w:cs="仿宋_GB2312"/>
          <w:spacing w:val="-2"/>
          <w:sz w:val="32"/>
          <w:szCs w:val="32"/>
        </w:rPr>
        <w:t>万元，其中：人员经费</w:t>
      </w:r>
      <w:r>
        <w:rPr>
          <w:rFonts w:hint="eastAsia" w:eastAsia="仿宋_GB2312" w:cs="仿宋_GB2312"/>
          <w:spacing w:val="-2"/>
          <w:sz w:val="32"/>
          <w:szCs w:val="32"/>
          <w:lang w:val="en-US" w:eastAsia="zh-CN"/>
        </w:rPr>
        <w:t>275.28</w:t>
      </w:r>
      <w:r>
        <w:rPr>
          <w:rFonts w:hint="eastAsia" w:eastAsia="仿宋_GB2312" w:cs="仿宋_GB2312"/>
          <w:spacing w:val="-2"/>
          <w:sz w:val="32"/>
          <w:szCs w:val="32"/>
        </w:rPr>
        <w:t>万元，占基本支出的</w:t>
      </w:r>
      <w:r>
        <w:rPr>
          <w:rFonts w:hint="eastAsia" w:eastAsia="仿宋_GB2312" w:cs="仿宋_GB2312"/>
          <w:spacing w:val="-2"/>
          <w:sz w:val="32"/>
          <w:szCs w:val="32"/>
          <w:lang w:val="en-US" w:eastAsia="zh-CN"/>
        </w:rPr>
        <w:t>91.63</w:t>
      </w:r>
      <w:r>
        <w:rPr>
          <w:rFonts w:eastAsia="仿宋_GB2312" w:cs="仿宋_GB2312"/>
          <w:spacing w:val="-2"/>
          <w:sz w:val="32"/>
          <w:szCs w:val="32"/>
        </w:rPr>
        <w:t>%</w:t>
      </w:r>
      <w:r>
        <w:rPr>
          <w:rFonts w:hint="eastAsia" w:eastAsia="仿宋_GB2312" w:cs="仿宋_GB2312"/>
          <w:spacing w:val="-2"/>
          <w:sz w:val="32"/>
          <w:szCs w:val="32"/>
        </w:rPr>
        <w:t>，主要包括基本工资、津贴补贴、奖金、机关事业单位基本养老保险缴费、职工基本医疗保险缴费、其他社会保障缴费、生活补助、其他对个人和家庭的补助支出等；公用经费</w:t>
      </w:r>
      <w:r>
        <w:rPr>
          <w:rFonts w:hint="eastAsia" w:eastAsia="仿宋_GB2312" w:cs="仿宋_GB2312"/>
          <w:spacing w:val="-2"/>
          <w:sz w:val="32"/>
          <w:szCs w:val="32"/>
          <w:lang w:val="en-US" w:eastAsia="zh-CN"/>
        </w:rPr>
        <w:t>25.16</w:t>
      </w:r>
      <w:r>
        <w:rPr>
          <w:rFonts w:hint="eastAsia" w:eastAsia="仿宋_GB2312" w:cs="仿宋_GB2312"/>
          <w:spacing w:val="-2"/>
          <w:sz w:val="32"/>
          <w:szCs w:val="32"/>
        </w:rPr>
        <w:t>万元，占基本支出的</w:t>
      </w:r>
      <w:r>
        <w:rPr>
          <w:rFonts w:hint="eastAsia" w:eastAsia="仿宋_GB2312" w:cs="仿宋_GB2312"/>
          <w:spacing w:val="-2"/>
          <w:sz w:val="32"/>
          <w:szCs w:val="32"/>
          <w:lang w:val="en-US" w:eastAsia="zh-CN"/>
        </w:rPr>
        <w:t>8.37</w:t>
      </w:r>
      <w:r>
        <w:rPr>
          <w:rFonts w:eastAsia="仿宋_GB2312" w:cs="仿宋_GB2312"/>
          <w:spacing w:val="-2"/>
          <w:sz w:val="32"/>
          <w:szCs w:val="32"/>
        </w:rPr>
        <w:t>%</w:t>
      </w:r>
      <w:r>
        <w:rPr>
          <w:rFonts w:hint="eastAsia" w:eastAsia="仿宋_GB2312" w:cs="仿宋_GB2312"/>
          <w:spacing w:val="-2"/>
          <w:sz w:val="32"/>
          <w:szCs w:val="32"/>
        </w:rPr>
        <w:t>，包括</w:t>
      </w:r>
      <w:r>
        <w:rPr>
          <w:rFonts w:hint="eastAsia" w:eastAsia="仿宋_GB2312" w:cs="仿宋_GB2312"/>
          <w:spacing w:val="-2"/>
          <w:sz w:val="32"/>
          <w:szCs w:val="32"/>
          <w:lang w:eastAsia="zh-CN"/>
        </w:rPr>
        <w:t>办公费</w:t>
      </w:r>
      <w:r>
        <w:rPr>
          <w:rFonts w:hint="eastAsia" w:eastAsia="仿宋_GB2312" w:cs="仿宋_GB2312"/>
          <w:spacing w:val="-2"/>
          <w:sz w:val="32"/>
          <w:szCs w:val="32"/>
        </w:rPr>
        <w:t>、</w:t>
      </w:r>
      <w:r>
        <w:rPr>
          <w:rFonts w:hint="eastAsia" w:eastAsia="仿宋_GB2312" w:cs="仿宋_GB2312"/>
          <w:spacing w:val="-2"/>
          <w:sz w:val="32"/>
          <w:szCs w:val="32"/>
          <w:lang w:eastAsia="zh-CN"/>
        </w:rPr>
        <w:t>邮电费</w:t>
      </w:r>
      <w:r>
        <w:rPr>
          <w:rFonts w:hint="eastAsia" w:eastAsia="仿宋_GB2312" w:cs="仿宋_GB2312"/>
          <w:spacing w:val="-2"/>
          <w:sz w:val="32"/>
          <w:szCs w:val="32"/>
        </w:rPr>
        <w:t>、维修（护）费</w:t>
      </w:r>
      <w:r>
        <w:rPr>
          <w:rFonts w:hint="eastAsia" w:eastAsia="仿宋_GB2312" w:cs="仿宋_GB2312"/>
          <w:spacing w:val="-2"/>
          <w:sz w:val="32"/>
          <w:szCs w:val="32"/>
          <w:lang w:eastAsia="zh-CN"/>
        </w:rPr>
        <w:t>、</w:t>
      </w:r>
      <w:r>
        <w:rPr>
          <w:rFonts w:hint="eastAsia" w:eastAsia="仿宋_GB2312" w:cs="仿宋_GB2312"/>
          <w:spacing w:val="-2"/>
          <w:sz w:val="32"/>
          <w:szCs w:val="32"/>
        </w:rPr>
        <w:t>福利费、公车运行维护费、其他交通费用、其他商品和服务支出。</w:t>
      </w:r>
    </w:p>
    <w:p w14:paraId="26E676E0">
      <w:pPr>
        <w:pStyle w:val="23"/>
        <w:widowControl/>
        <w:spacing w:line="560" w:lineRule="exact"/>
        <w:ind w:left="210" w:leftChars="100" w:firstLine="3168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lang w:eastAsia="zh-CN"/>
        </w:rPr>
        <w:t>、</w:t>
      </w:r>
      <w:r>
        <w:rPr>
          <w:rFonts w:ascii="Times New Roman" w:hAnsi="Times New Roman" w:eastAsia="仿宋_GB2312"/>
          <w:sz w:val="32"/>
          <w:szCs w:val="32"/>
        </w:rPr>
        <w:t>“</w:t>
      </w:r>
      <w:r>
        <w:rPr>
          <w:rFonts w:hint="eastAsia" w:ascii="Times New Roman" w:hAnsi="Times New Roman" w:eastAsia="仿宋_GB2312"/>
          <w:sz w:val="32"/>
          <w:szCs w:val="32"/>
        </w:rPr>
        <w:t>三公</w:t>
      </w:r>
      <w:r>
        <w:rPr>
          <w:rFonts w:ascii="Times New Roman" w:hAnsi="Times New Roman" w:eastAsia="仿宋_GB2312"/>
          <w:sz w:val="32"/>
          <w:szCs w:val="32"/>
        </w:rPr>
        <w:t>”</w:t>
      </w:r>
      <w:r>
        <w:rPr>
          <w:rFonts w:hint="eastAsia" w:ascii="Times New Roman" w:hAnsi="Times New Roman" w:eastAsia="仿宋_GB2312"/>
          <w:sz w:val="32"/>
          <w:szCs w:val="32"/>
        </w:rPr>
        <w:t>经费支出使用和管理情况</w:t>
      </w:r>
    </w:p>
    <w:p w14:paraId="0875C3A8">
      <w:pPr>
        <w:pStyle w:val="23"/>
        <w:widowControl/>
        <w:spacing w:line="560" w:lineRule="exact"/>
        <w:ind w:left="210" w:leftChars="100" w:firstLine="31680"/>
        <w:rPr>
          <w:rFonts w:ascii="Times New Roman" w:hAnsi="Times New Roman" w:eastAsia="仿宋_GB2312"/>
          <w:sz w:val="32"/>
          <w:szCs w:val="32"/>
        </w:rPr>
      </w:pPr>
      <w:r>
        <w:rPr>
          <w:rFonts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年“三公”经费预算控制数为</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万元，其中：因公出国（境）费预算</w:t>
      </w:r>
      <w:r>
        <w:rPr>
          <w:rFonts w:ascii="Times New Roman" w:hAnsi="Times New Roman" w:eastAsia="仿宋_GB2312"/>
          <w:sz w:val="32"/>
          <w:szCs w:val="32"/>
        </w:rPr>
        <w:t>0</w:t>
      </w:r>
      <w:r>
        <w:rPr>
          <w:rFonts w:hint="eastAsia" w:ascii="Times New Roman" w:hAnsi="Times New Roman" w:eastAsia="仿宋_GB2312"/>
          <w:sz w:val="32"/>
          <w:szCs w:val="32"/>
        </w:rPr>
        <w:t>万元，公务用车运行维护费</w:t>
      </w:r>
      <w:r>
        <w:rPr>
          <w:rFonts w:ascii="Times New Roman" w:hAnsi="Times New Roman" w:eastAsia="仿宋_GB2312"/>
          <w:sz w:val="32"/>
          <w:szCs w:val="32"/>
        </w:rPr>
        <w:t>5</w:t>
      </w:r>
      <w:r>
        <w:rPr>
          <w:rFonts w:hint="eastAsia" w:ascii="Times New Roman" w:hAnsi="Times New Roman" w:eastAsia="仿宋_GB2312"/>
          <w:sz w:val="32"/>
          <w:szCs w:val="32"/>
        </w:rPr>
        <w:t>万元，公务接待费</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万元，本年度我单位实际支出</w:t>
      </w:r>
      <w:r>
        <w:rPr>
          <w:rFonts w:hint="eastAsia" w:ascii="Times New Roman" w:hAnsi="Times New Roman" w:eastAsia="仿宋_GB2312"/>
          <w:sz w:val="32"/>
          <w:szCs w:val="32"/>
          <w:lang w:val="en-US" w:eastAsia="zh-CN"/>
        </w:rPr>
        <w:t>4.34</w:t>
      </w:r>
      <w:r>
        <w:rPr>
          <w:rFonts w:hint="eastAsia" w:ascii="Times New Roman" w:hAnsi="Times New Roman" w:eastAsia="仿宋_GB2312"/>
          <w:sz w:val="32"/>
          <w:szCs w:val="32"/>
        </w:rPr>
        <w:t>万元，其中：因公出国（境）费</w:t>
      </w:r>
      <w:r>
        <w:rPr>
          <w:rFonts w:ascii="Times New Roman" w:hAnsi="Times New Roman" w:eastAsia="仿宋_GB2312"/>
          <w:sz w:val="32"/>
          <w:szCs w:val="32"/>
        </w:rPr>
        <w:t>0</w:t>
      </w:r>
      <w:r>
        <w:rPr>
          <w:rFonts w:hint="eastAsia" w:ascii="Times New Roman" w:hAnsi="Times New Roman" w:eastAsia="仿宋_GB2312"/>
          <w:sz w:val="32"/>
          <w:szCs w:val="32"/>
        </w:rPr>
        <w:t>万元，公务用车运行维护费</w:t>
      </w:r>
      <w:r>
        <w:rPr>
          <w:rFonts w:ascii="Times New Roman" w:hAnsi="Times New Roman" w:eastAsia="仿宋_GB2312"/>
          <w:sz w:val="32"/>
          <w:szCs w:val="32"/>
        </w:rPr>
        <w:t>4.</w:t>
      </w:r>
      <w:r>
        <w:rPr>
          <w:rFonts w:hint="eastAsia" w:ascii="Times New Roman" w:hAnsi="Times New Roman" w:eastAsia="仿宋_GB2312"/>
          <w:sz w:val="32"/>
          <w:szCs w:val="32"/>
          <w:lang w:val="en-US" w:eastAsia="zh-CN"/>
        </w:rPr>
        <w:t>1</w:t>
      </w:r>
      <w:r>
        <w:rPr>
          <w:rFonts w:ascii="Times New Roman" w:hAnsi="Times New Roman" w:eastAsia="仿宋_GB2312"/>
          <w:sz w:val="32"/>
          <w:szCs w:val="32"/>
        </w:rPr>
        <w:t>8</w:t>
      </w:r>
      <w:r>
        <w:rPr>
          <w:rFonts w:hint="eastAsia" w:ascii="Times New Roman" w:hAnsi="Times New Roman" w:eastAsia="仿宋_GB2312"/>
          <w:sz w:val="32"/>
          <w:szCs w:val="32"/>
        </w:rPr>
        <w:t>万元，公务接待费</w:t>
      </w:r>
      <w:r>
        <w:rPr>
          <w:rFonts w:hint="eastAsia" w:ascii="Times New Roman" w:hAnsi="Times New Roman" w:eastAsia="仿宋_GB2312"/>
          <w:sz w:val="32"/>
          <w:szCs w:val="32"/>
          <w:lang w:val="en-US" w:eastAsia="zh-CN"/>
        </w:rPr>
        <w:t>0.16</w:t>
      </w:r>
      <w:r>
        <w:rPr>
          <w:rFonts w:hint="eastAsia" w:ascii="Times New Roman" w:hAnsi="Times New Roman" w:eastAsia="仿宋_GB2312"/>
          <w:sz w:val="32"/>
          <w:szCs w:val="32"/>
        </w:rPr>
        <w:t>万元，比预算节约</w:t>
      </w:r>
      <w:r>
        <w:rPr>
          <w:rFonts w:ascii="Times New Roman" w:hAnsi="Times New Roman" w:eastAsia="仿宋_GB2312"/>
          <w:sz w:val="32"/>
          <w:szCs w:val="32"/>
        </w:rPr>
        <w:t>5.</w:t>
      </w:r>
      <w:r>
        <w:rPr>
          <w:rFonts w:hint="eastAsia" w:ascii="Times New Roman" w:hAnsi="Times New Roman" w:eastAsia="仿宋_GB2312"/>
          <w:sz w:val="32"/>
          <w:szCs w:val="32"/>
          <w:lang w:val="en-US" w:eastAsia="zh-CN"/>
        </w:rPr>
        <w:t>66</w:t>
      </w:r>
      <w:r>
        <w:rPr>
          <w:rFonts w:hint="eastAsia" w:ascii="Times New Roman" w:hAnsi="Times New Roman" w:eastAsia="仿宋_GB2312"/>
          <w:sz w:val="32"/>
          <w:szCs w:val="32"/>
        </w:rPr>
        <w:t>万元，主要是厉行节约，严控“三公”经费。减少的主要原因是严格执行中央八项规定及相关文件精神。</w:t>
      </w:r>
    </w:p>
    <w:p w14:paraId="30F1E628">
      <w:pPr>
        <w:pStyle w:val="12"/>
        <w:shd w:val="clear" w:color="auto" w:fill="FFFFFF"/>
        <w:spacing w:before="0" w:beforeAutospacing="0" w:after="0" w:afterAutospacing="0" w:line="600" w:lineRule="exact"/>
        <w:ind w:firstLine="640" w:firstLineChars="200"/>
        <w:rPr>
          <w:rFonts w:ascii="仿宋_GB2312" w:hAnsi="Calibri" w:eastAsia="仿宋_GB2312"/>
          <w:b/>
          <w:color w:val="000000"/>
          <w:sz w:val="32"/>
          <w:szCs w:val="32"/>
        </w:rPr>
      </w:pPr>
      <w:r>
        <w:rPr>
          <w:rFonts w:hint="eastAsia" w:ascii="仿宋_GB2312" w:eastAsia="仿宋_GB2312"/>
          <w:b/>
          <w:color w:val="000000"/>
          <w:sz w:val="32"/>
          <w:szCs w:val="32"/>
        </w:rPr>
        <w:t>（二）项目支出</w:t>
      </w:r>
    </w:p>
    <w:p w14:paraId="2DF76AA7">
      <w:pPr>
        <w:pStyle w:val="12"/>
        <w:shd w:val="clear" w:color="auto" w:fill="FFFFFF"/>
        <w:spacing w:before="0" w:beforeAutospacing="0" w:after="0" w:afterAutospacing="0" w:line="360" w:lineRule="auto"/>
        <w:ind w:left="-4" w:leftChars="-2" w:firstLine="800" w:firstLineChars="25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项目资金（包括财政资金、自筹资金等）安排落实、总投入等情况分析。</w:t>
      </w:r>
    </w:p>
    <w:p w14:paraId="5C175D4C">
      <w:pPr>
        <w:spacing w:line="600" w:lineRule="exact"/>
        <w:ind w:firstLine="640" w:firstLineChars="200"/>
        <w:rPr>
          <w:rFonts w:hint="eastAsia" w:ascii="仿宋_GB2312" w:eastAsia="仿宋_GB2312"/>
          <w:kern w:val="0"/>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年度项目支出投入共</w:t>
      </w:r>
      <w:r>
        <w:rPr>
          <w:rFonts w:hint="eastAsia" w:ascii="Times New Roman" w:hAnsi="Times New Roman" w:eastAsia="仿宋_GB2312" w:cs="Times New Roman"/>
          <w:sz w:val="32"/>
          <w:szCs w:val="32"/>
          <w:lang w:val="en-US" w:eastAsia="zh-CN"/>
        </w:rPr>
        <w:t>425.63</w:t>
      </w:r>
      <w:r>
        <w:rPr>
          <w:rFonts w:hint="eastAsia" w:ascii="Times New Roman" w:hAnsi="Times New Roman" w:eastAsia="仿宋_GB2312" w:cs="Times New Roman"/>
          <w:sz w:val="32"/>
          <w:szCs w:val="32"/>
        </w:rPr>
        <w:t>万元，其中收到市财政安排本年科普专项工作经费</w:t>
      </w:r>
      <w:r>
        <w:rPr>
          <w:rFonts w:hint="eastAsia" w:ascii="Times New Roman" w:hAnsi="Times New Roman" w:eastAsia="仿宋_GB2312" w:cs="Times New Roman"/>
          <w:sz w:val="32"/>
          <w:szCs w:val="32"/>
          <w:lang w:val="en-US" w:eastAsia="zh-CN"/>
        </w:rPr>
        <w:t>111.74</w:t>
      </w:r>
      <w:r>
        <w:rPr>
          <w:rFonts w:hint="eastAsia" w:ascii="Times New Roman" w:hAnsi="Times New Roman" w:eastAsia="仿宋_GB2312" w:cs="Times New Roman"/>
          <w:sz w:val="32"/>
          <w:szCs w:val="32"/>
        </w:rPr>
        <w:t>万元，</w:t>
      </w:r>
      <w:r>
        <w:rPr>
          <w:rFonts w:hint="eastAsia" w:ascii="仿宋_GB2312" w:eastAsia="仿宋_GB2312"/>
          <w:kern w:val="0"/>
          <w:sz w:val="32"/>
          <w:szCs w:val="32"/>
        </w:rPr>
        <w:t>科技馆免费开放资金及科技馆运行经费，年初预算批复科技馆运行经费</w:t>
      </w:r>
      <w:r>
        <w:rPr>
          <w:rFonts w:hint="eastAsia" w:ascii="Times New Roman" w:hAnsi="Times New Roman" w:eastAsia="仿宋_GB2312" w:cs="Times New Roman"/>
          <w:sz w:val="32"/>
          <w:szCs w:val="32"/>
          <w:lang w:val="en-US" w:eastAsia="zh-CN"/>
        </w:rPr>
        <w:t>100</w:t>
      </w:r>
      <w:r>
        <w:rPr>
          <w:rFonts w:hint="eastAsia" w:ascii="仿宋_GB2312" w:eastAsia="仿宋_GB2312"/>
          <w:kern w:val="0"/>
          <w:sz w:val="32"/>
          <w:szCs w:val="32"/>
        </w:rPr>
        <w:t>万元，省财政下达科技馆免费开放资金</w:t>
      </w:r>
      <w:r>
        <w:rPr>
          <w:rFonts w:hint="eastAsia" w:ascii="Times New Roman" w:hAnsi="Times New Roman" w:eastAsia="仿宋_GB2312" w:cs="Times New Roman"/>
          <w:sz w:val="32"/>
          <w:szCs w:val="32"/>
          <w:lang w:val="en-US" w:eastAsia="zh-CN"/>
        </w:rPr>
        <w:t>161</w:t>
      </w:r>
      <w:r>
        <w:rPr>
          <w:rFonts w:hint="eastAsia" w:ascii="仿宋_GB2312" w:eastAsia="仿宋_GB2312"/>
          <w:kern w:val="0"/>
          <w:sz w:val="32"/>
          <w:szCs w:val="32"/>
        </w:rPr>
        <w:t>万元（市财政预算调剂161万元），小计</w:t>
      </w:r>
      <w:r>
        <w:rPr>
          <w:rFonts w:hint="eastAsia" w:ascii="Times New Roman" w:hAnsi="Times New Roman" w:eastAsia="仿宋_GB2312" w:cs="Times New Roman"/>
          <w:sz w:val="32"/>
          <w:szCs w:val="32"/>
          <w:lang w:val="en-US" w:eastAsia="zh-CN"/>
        </w:rPr>
        <w:t>261</w:t>
      </w:r>
      <w:r>
        <w:rPr>
          <w:rFonts w:hint="eastAsia" w:ascii="仿宋_GB2312" w:eastAsia="仿宋_GB2312"/>
          <w:kern w:val="0"/>
          <w:sz w:val="32"/>
          <w:szCs w:val="32"/>
        </w:rPr>
        <w:t>万元</w:t>
      </w:r>
      <w:r>
        <w:rPr>
          <w:rFonts w:hint="eastAsia" w:ascii="仿宋_GB2312" w:eastAsia="仿宋_GB2312"/>
          <w:kern w:val="0"/>
          <w:sz w:val="32"/>
          <w:szCs w:val="32"/>
          <w:lang w:eastAsia="zh-CN"/>
        </w:rPr>
        <w:t>；</w:t>
      </w:r>
      <w:r>
        <w:rPr>
          <w:rFonts w:hint="eastAsia" w:ascii="仿宋_GB2312" w:eastAsia="仿宋_GB2312"/>
          <w:kern w:val="0"/>
          <w:sz w:val="32"/>
          <w:szCs w:val="32"/>
        </w:rPr>
        <w:t>老科协科普经费及老年保健协会工作经费，年初预算批复专项业务工作经费及老年活动经费32万元，预算调剂4万元，小计36万元</w:t>
      </w:r>
      <w:r>
        <w:rPr>
          <w:rFonts w:hint="eastAsia" w:ascii="仿宋_GB2312" w:eastAsia="仿宋_GB2312"/>
          <w:kern w:val="0"/>
          <w:sz w:val="32"/>
          <w:szCs w:val="32"/>
          <w:lang w:eastAsia="zh-CN"/>
        </w:rPr>
        <w:t>；</w:t>
      </w:r>
      <w:r>
        <w:rPr>
          <w:rFonts w:hint="eastAsia" w:ascii="仿宋_GB2312" w:eastAsia="仿宋_GB2312"/>
          <w:sz w:val="32"/>
          <w:szCs w:val="32"/>
        </w:rPr>
        <w:t>市政协委员工作室建设和运行经费</w:t>
      </w:r>
      <w:r>
        <w:rPr>
          <w:rFonts w:hint="eastAsia" w:ascii="仿宋_GB2312" w:eastAsia="仿宋_GB2312"/>
          <w:sz w:val="32"/>
          <w:szCs w:val="32"/>
          <w:lang w:val="en-US" w:eastAsia="zh-CN"/>
        </w:rPr>
        <w:t xml:space="preserve">1.44 </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ascii="仿宋_GB2312" w:eastAsia="仿宋_GB2312"/>
          <w:kern w:val="0"/>
          <w:sz w:val="32"/>
          <w:szCs w:val="32"/>
        </w:rPr>
        <w:t>科学普及专项（科协）项目年初无预算，预算调剂8.94万元</w:t>
      </w:r>
      <w:r>
        <w:rPr>
          <w:rFonts w:hint="eastAsia" w:ascii="仿宋_GB2312" w:eastAsia="仿宋_GB2312"/>
          <w:kern w:val="0"/>
          <w:sz w:val="32"/>
          <w:szCs w:val="32"/>
          <w:lang w:eastAsia="zh-CN"/>
        </w:rPr>
        <w:t>；</w:t>
      </w:r>
      <w:r>
        <w:rPr>
          <w:rFonts w:hint="eastAsia" w:ascii="仿宋_GB2312" w:eastAsia="仿宋_GB2312"/>
          <w:kern w:val="0"/>
          <w:sz w:val="32"/>
          <w:szCs w:val="32"/>
        </w:rPr>
        <w:t>科技小院和专家工作站评审经费年初无预算，预算调剂6.51万元</w:t>
      </w:r>
      <w:r>
        <w:rPr>
          <w:rFonts w:hint="eastAsia" w:ascii="仿宋_GB2312" w:eastAsia="仿宋_GB2312"/>
          <w:kern w:val="0"/>
          <w:sz w:val="32"/>
          <w:szCs w:val="32"/>
          <w:lang w:eastAsia="zh-CN"/>
        </w:rPr>
        <w:t>。</w:t>
      </w:r>
    </w:p>
    <w:p w14:paraId="2F89A9AC">
      <w:pPr>
        <w:pStyle w:val="12"/>
        <w:shd w:val="clear" w:color="auto" w:fill="FFFFFF"/>
        <w:spacing w:before="0" w:beforeAutospacing="0" w:after="0" w:afterAutospacing="0" w:line="360" w:lineRule="auto"/>
        <w:ind w:left="-4" w:leftChars="-2" w:firstLine="800" w:firstLineChars="25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项目资金（主要指财政资金）实际使用情况分析</w:t>
      </w:r>
    </w:p>
    <w:p w14:paraId="0075546B">
      <w:pPr>
        <w:pStyle w:val="12"/>
        <w:shd w:val="clear" w:color="auto" w:fill="FFFFFF"/>
        <w:spacing w:before="0" w:beforeAutospacing="0" w:after="0" w:afterAutospacing="0" w:line="360" w:lineRule="auto"/>
        <w:ind w:left="-4" w:leftChars="-2" w:firstLine="800" w:firstLineChars="25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年项目总支出</w:t>
      </w:r>
      <w:r>
        <w:rPr>
          <w:rFonts w:hint="eastAsia" w:ascii="Times New Roman" w:hAnsi="Times New Roman" w:eastAsia="仿宋_GB2312" w:cs="Times New Roman"/>
          <w:sz w:val="32"/>
          <w:szCs w:val="32"/>
          <w:lang w:val="en-US" w:eastAsia="zh-CN"/>
        </w:rPr>
        <w:t>425.63</w:t>
      </w:r>
      <w:r>
        <w:rPr>
          <w:rFonts w:hint="eastAsia" w:ascii="Times New Roman" w:hAnsi="Times New Roman" w:eastAsia="仿宋_GB2312" w:cs="Times New Roman"/>
          <w:sz w:val="32"/>
          <w:szCs w:val="32"/>
        </w:rPr>
        <w:t>万元，项目总资金使用完成率为</w:t>
      </w:r>
      <w:r>
        <w:rPr>
          <w:rFonts w:ascii="Times New Roman" w:hAnsi="Times New Roman" w:eastAsia="仿宋_GB2312" w:cs="Times New Roman"/>
          <w:sz w:val="32"/>
          <w:szCs w:val="32"/>
        </w:rPr>
        <w:t>100%</w:t>
      </w:r>
      <w:r>
        <w:rPr>
          <w:rFonts w:hint="eastAsia" w:ascii="Times New Roman" w:hAnsi="Times New Roman" w:eastAsia="仿宋_GB2312" w:cs="Times New Roman"/>
          <w:sz w:val="32"/>
          <w:szCs w:val="32"/>
        </w:rPr>
        <w:t>，其中：</w:t>
      </w:r>
    </w:p>
    <w:p w14:paraId="7672773A">
      <w:pPr>
        <w:pStyle w:val="12"/>
        <w:shd w:val="clear" w:color="auto" w:fill="FFFFFF"/>
        <w:spacing w:before="0" w:beforeAutospacing="0" w:after="0" w:afterAutospacing="0" w:line="360" w:lineRule="auto"/>
        <w:ind w:left="-4" w:leftChars="-2" w:firstLine="800" w:firstLineChars="250"/>
        <w:jc w:val="both"/>
        <w:rPr>
          <w:rFonts w:ascii="Times New Roman" w:hAnsi="Times New Roman" w:eastAsia="仿宋_GB2312" w:cs="Times New Roman"/>
          <w:sz w:val="32"/>
          <w:szCs w:val="32"/>
        </w:rPr>
      </w:pPr>
      <w:r>
        <w:rPr>
          <w:rFonts w:hint="eastAsia" w:eastAsia="仿宋_GB2312"/>
          <w:sz w:val="32"/>
          <w:szCs w:val="20"/>
        </w:rPr>
        <w:t>科普专项业务（工作）经费</w:t>
      </w:r>
      <w:r>
        <w:rPr>
          <w:rFonts w:hint="eastAsia" w:ascii="Times New Roman" w:hAnsi="Times New Roman" w:eastAsia="仿宋_GB2312" w:cs="Times New Roman"/>
          <w:sz w:val="32"/>
          <w:szCs w:val="32"/>
        </w:rPr>
        <w:t>支出</w:t>
      </w:r>
      <w:r>
        <w:rPr>
          <w:rFonts w:hint="eastAsia" w:ascii="仿宋_GB2312" w:eastAsia="仿宋_GB2312"/>
          <w:sz w:val="32"/>
          <w:szCs w:val="32"/>
        </w:rPr>
        <w:t>111.74</w:t>
      </w:r>
      <w:r>
        <w:rPr>
          <w:rFonts w:hint="eastAsia" w:ascii="Times New Roman" w:hAnsi="Times New Roman" w:eastAsia="仿宋_GB2312" w:cs="Times New Roman"/>
          <w:sz w:val="32"/>
          <w:szCs w:val="32"/>
        </w:rPr>
        <w:t>万元，用于科协开展科普等工作的所有支出，既包括科普活动、科普服务能力建设等科普专项业务经费，也包括保障日常工作所需办公费、邮电费、差旅费、维修费、会议费、劳务费、委托业务费等开支；</w:t>
      </w:r>
    </w:p>
    <w:p w14:paraId="32796B88">
      <w:pPr>
        <w:pStyle w:val="12"/>
        <w:shd w:val="clear" w:color="auto" w:fill="FFFFFF"/>
        <w:spacing w:before="0" w:beforeAutospacing="0" w:after="0" w:afterAutospacing="0" w:line="360" w:lineRule="auto"/>
        <w:ind w:left="-4" w:leftChars="-2" w:firstLine="800" w:firstLineChars="25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科技馆免费开放资金及科技馆运行经费</w:t>
      </w:r>
      <w:r>
        <w:rPr>
          <w:rFonts w:hint="eastAsia" w:ascii="Times New Roman" w:hAnsi="Times New Roman" w:eastAsia="仿宋_GB2312" w:cs="Times New Roman"/>
          <w:sz w:val="32"/>
          <w:szCs w:val="32"/>
          <w:lang w:val="en-US" w:eastAsia="zh-CN"/>
        </w:rPr>
        <w:t>261</w:t>
      </w:r>
      <w:r>
        <w:rPr>
          <w:rFonts w:hint="eastAsia" w:ascii="Times New Roman" w:hAnsi="Times New Roman" w:eastAsia="仿宋_GB2312" w:cs="Times New Roman"/>
          <w:sz w:val="32"/>
          <w:szCs w:val="32"/>
        </w:rPr>
        <w:t>万元，用于日常</w:t>
      </w:r>
      <w:r>
        <w:rPr>
          <w:rFonts w:hint="eastAsia" w:eastAsia="仿宋_GB2312"/>
          <w:sz w:val="32"/>
        </w:rPr>
        <w:t>开馆的运行费，如水费、电费、物业管理费、办公用品费、其他商品服务支出、馆内展品更新及维修、招标投标代理服务费等开支。</w:t>
      </w:r>
    </w:p>
    <w:p w14:paraId="4024B7AC">
      <w:pPr>
        <w:pStyle w:val="12"/>
        <w:shd w:val="clear" w:color="auto" w:fill="FFFFFF"/>
        <w:spacing w:before="0" w:beforeAutospacing="0" w:after="0" w:afterAutospacing="0" w:line="360" w:lineRule="auto"/>
        <w:ind w:left="-4" w:leftChars="-2" w:firstLine="800" w:firstLineChars="25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专项业务（工作）经费及老年活动经费</w:t>
      </w: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万元，用于</w:t>
      </w:r>
      <w:r>
        <w:rPr>
          <w:rFonts w:hint="eastAsia" w:ascii="仿宋_GB2312" w:eastAsia="仿宋_GB2312" w:cs="Arial"/>
          <w:bCs/>
          <w:color w:val="000000"/>
          <w:sz w:val="32"/>
          <w:szCs w:val="32"/>
        </w:rPr>
        <w:t>日常工作运行费、会议费、培训费等开支。</w:t>
      </w:r>
    </w:p>
    <w:p w14:paraId="5368B01E">
      <w:pPr>
        <w:pStyle w:val="12"/>
        <w:shd w:val="clear" w:color="auto" w:fill="FFFFFF"/>
        <w:spacing w:before="0" w:beforeAutospacing="0" w:after="0" w:afterAutospacing="0" w:line="360" w:lineRule="auto"/>
        <w:ind w:left="-4" w:leftChars="-2" w:firstLine="800" w:firstLineChars="250"/>
        <w:jc w:val="both"/>
        <w:rPr>
          <w:rFonts w:hint="eastAsia" w:eastAsia="仿宋_GB2312"/>
          <w:sz w:val="32"/>
        </w:rPr>
      </w:pPr>
      <w:r>
        <w:rPr>
          <w:rFonts w:hint="eastAsia" w:ascii="仿宋_GB2312" w:eastAsia="仿宋_GB2312"/>
          <w:sz w:val="32"/>
          <w:szCs w:val="32"/>
        </w:rPr>
        <w:t>市政协委员工作室建设和运行经费</w:t>
      </w:r>
      <w:r>
        <w:rPr>
          <w:rFonts w:hint="eastAsia" w:ascii="仿宋_GB2312" w:eastAsia="仿宋_GB2312"/>
          <w:sz w:val="32"/>
          <w:szCs w:val="32"/>
          <w:lang w:val="en-US" w:eastAsia="zh-CN"/>
        </w:rPr>
        <w:t>1.44</w:t>
      </w:r>
      <w:r>
        <w:rPr>
          <w:rFonts w:hint="eastAsia" w:ascii="仿宋_GB2312" w:eastAsia="仿宋_GB2312"/>
          <w:sz w:val="32"/>
          <w:szCs w:val="32"/>
        </w:rPr>
        <w:t>万元，用于政协委员工作室</w:t>
      </w:r>
      <w:r>
        <w:rPr>
          <w:rFonts w:hint="eastAsia" w:eastAsia="仿宋_GB2312"/>
          <w:sz w:val="32"/>
        </w:rPr>
        <w:t>办公经费开支。</w:t>
      </w:r>
    </w:p>
    <w:p w14:paraId="6DF1E6F3">
      <w:pPr>
        <w:pStyle w:val="12"/>
        <w:shd w:val="clear" w:color="auto" w:fill="FFFFFF"/>
        <w:spacing w:before="0" w:beforeAutospacing="0" w:after="0" w:afterAutospacing="0" w:line="600" w:lineRule="exact"/>
        <w:ind w:left="-4" w:leftChars="-2" w:firstLine="640" w:firstLineChars="200"/>
        <w:jc w:val="both"/>
        <w:rPr>
          <w:rFonts w:hint="eastAsia" w:eastAsia="仿宋_GB2312"/>
          <w:sz w:val="32"/>
        </w:rPr>
      </w:pPr>
      <w:r>
        <w:rPr>
          <w:rFonts w:hint="eastAsia" w:ascii="仿宋_GB2312" w:hAnsi="宋体" w:eastAsia="仿宋_GB2312" w:cs="宋体"/>
          <w:sz w:val="32"/>
          <w:szCs w:val="32"/>
        </w:rPr>
        <w:t>科学普及专项（科协）</w:t>
      </w:r>
      <w:r>
        <w:rPr>
          <w:rFonts w:hint="eastAsia" w:ascii="仿宋_GB2312" w:eastAsia="仿宋_GB2312"/>
          <w:sz w:val="32"/>
          <w:szCs w:val="32"/>
        </w:rPr>
        <w:t>项目</w:t>
      </w:r>
      <w:r>
        <w:rPr>
          <w:rFonts w:ascii="仿宋_GB2312" w:eastAsia="仿宋_GB2312"/>
          <w:sz w:val="32"/>
          <w:szCs w:val="32"/>
        </w:rPr>
        <w:t>8</w:t>
      </w:r>
      <w:r>
        <w:rPr>
          <w:rFonts w:hint="eastAsia" w:ascii="仿宋_GB2312" w:eastAsia="仿宋_GB2312"/>
          <w:sz w:val="32"/>
          <w:szCs w:val="32"/>
          <w:lang w:val="en-US" w:eastAsia="zh-CN"/>
        </w:rPr>
        <w:t>.94</w:t>
      </w:r>
      <w:r>
        <w:rPr>
          <w:rFonts w:hint="eastAsia" w:ascii="仿宋_GB2312" w:eastAsia="仿宋_GB2312"/>
          <w:sz w:val="32"/>
          <w:szCs w:val="32"/>
        </w:rPr>
        <w:t>万元，用于科普大篷车联合行动购买科普图书及专家授课，</w:t>
      </w:r>
      <w:r>
        <w:rPr>
          <w:rFonts w:hint="eastAsia" w:ascii="仿宋_GB2312" w:eastAsia="仿宋_GB2312"/>
          <w:sz w:val="32"/>
          <w:szCs w:val="32"/>
          <w:lang w:val="en-US" w:eastAsia="zh-CN"/>
        </w:rPr>
        <w:t>47届青少年科技创新</w:t>
      </w:r>
      <w:r>
        <w:rPr>
          <w:rFonts w:hint="eastAsia" w:ascii="仿宋_GB2312" w:eastAsia="仿宋_GB2312"/>
          <w:sz w:val="32"/>
          <w:szCs w:val="32"/>
        </w:rPr>
        <w:t>大赛广告制作费、科普资源包、培训伙食费、技术服务费、科普书籍等。</w:t>
      </w:r>
    </w:p>
    <w:p w14:paraId="516FC399">
      <w:pPr>
        <w:ind w:firstLine="640" w:firstLineChars="200"/>
        <w:rPr>
          <w:rFonts w:hint="eastAsia" w:ascii="仿宋_GB2312" w:hAnsi="宋体" w:eastAsia="仿宋_GB2312" w:cs="宋体"/>
          <w:kern w:val="0"/>
          <w:sz w:val="32"/>
          <w:szCs w:val="32"/>
          <w:lang w:val="en-US" w:eastAsia="zh-CN" w:bidi="ar-SA"/>
        </w:rPr>
      </w:pPr>
      <w:r>
        <w:rPr>
          <w:rFonts w:hint="eastAsia" w:ascii="仿宋_GB2312" w:hAnsi="宋体" w:eastAsia="仿宋_GB2312" w:cs="宋体"/>
          <w:kern w:val="0"/>
          <w:sz w:val="32"/>
          <w:szCs w:val="32"/>
          <w:lang w:val="en-US" w:eastAsia="zh-CN" w:bidi="ar-SA"/>
        </w:rPr>
        <w:t>科技小院和专家工作站评审项目6.51万元（市委组织部拨付），用于科技小院建设维护、开展专家工作站评审工作等费用。</w:t>
      </w:r>
    </w:p>
    <w:p w14:paraId="7E3204B2">
      <w:pPr>
        <w:pStyle w:val="12"/>
        <w:shd w:val="clear" w:color="auto" w:fill="FFFFFF"/>
        <w:spacing w:before="0" w:beforeAutospacing="0" w:after="0" w:afterAutospacing="0" w:line="360" w:lineRule="auto"/>
        <w:ind w:left="-4" w:leftChars="-2" w:firstLine="800" w:firstLineChars="25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项目资金管理情况分析，主要包括管理制度、办法的制订及执行情况。</w:t>
      </w:r>
    </w:p>
    <w:p w14:paraId="259692DA">
      <w:pPr>
        <w:pStyle w:val="12"/>
        <w:shd w:val="clear" w:color="auto" w:fill="FFFFFF"/>
        <w:spacing w:before="0" w:beforeAutospacing="0" w:after="0" w:afterAutospacing="0" w:line="360" w:lineRule="auto"/>
        <w:ind w:left="-4" w:leftChars="-2" w:firstLine="800" w:firstLineChars="250"/>
        <w:jc w:val="both"/>
        <w:rPr>
          <w:rFonts w:eastAsia="仿宋_GB2312"/>
          <w:sz w:val="32"/>
          <w:szCs w:val="32"/>
        </w:rPr>
      </w:pPr>
      <w:r>
        <w:rPr>
          <w:rFonts w:hint="eastAsia" w:ascii="Times New Roman" w:hAnsi="Times New Roman" w:eastAsia="仿宋_GB2312" w:cs="Times New Roman"/>
          <w:sz w:val="32"/>
          <w:szCs w:val="32"/>
        </w:rPr>
        <w:t>为加强项目管理，我单位建立了项目资金管理办法，严格遵循专款专用管理原则，项目资金的分配、使用、管理严格按制度执行，大额资金支出实行“三重一大”集体</w:t>
      </w:r>
      <w:r>
        <w:rPr>
          <w:rFonts w:hint="eastAsia" w:eastAsia="仿宋_GB2312"/>
          <w:sz w:val="32"/>
          <w:szCs w:val="32"/>
        </w:rPr>
        <w:t>决策机制，确保资金使用公开、公正、科学、高效，专款专用、不被挤占、挪用、借用或随意调整，实行报账制管理。</w:t>
      </w:r>
    </w:p>
    <w:p w14:paraId="0FC046CF">
      <w:pPr>
        <w:pStyle w:val="12"/>
        <w:shd w:val="clear" w:color="auto" w:fill="FFFFFF"/>
        <w:spacing w:before="0" w:beforeAutospacing="0" w:after="0" w:afterAutospacing="0" w:line="360" w:lineRule="auto"/>
        <w:ind w:left="-4" w:leftChars="-2" w:firstLine="800" w:firstLineChars="250"/>
        <w:jc w:val="both"/>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三、项目组织实施情况</w:t>
      </w:r>
    </w:p>
    <w:p w14:paraId="352B6E6F">
      <w:pPr>
        <w:pStyle w:val="12"/>
        <w:shd w:val="clear" w:color="auto" w:fill="FFFFFF"/>
        <w:spacing w:before="0" w:beforeAutospacing="0" w:after="0" w:afterAutospacing="0" w:line="360" w:lineRule="auto"/>
        <w:ind w:left="-4" w:leftChars="-2" w:firstLine="800" w:firstLineChars="250"/>
        <w:jc w:val="both"/>
        <w:rPr>
          <w:rFonts w:hint="eastAsia" w:ascii="楷体" w:hAnsi="楷体" w:eastAsia="楷体" w:cs="楷体"/>
          <w:b/>
          <w:sz w:val="32"/>
          <w:szCs w:val="32"/>
        </w:rPr>
      </w:pPr>
      <w:r>
        <w:rPr>
          <w:rFonts w:hint="eastAsia" w:ascii="楷体" w:hAnsi="楷体" w:eastAsia="楷体" w:cs="楷体"/>
          <w:b/>
          <w:sz w:val="32"/>
          <w:szCs w:val="32"/>
        </w:rPr>
        <w:t>（一）项目组织情况分析，主要包括项目招投标、调整、竣工验收等情况。</w:t>
      </w:r>
    </w:p>
    <w:p w14:paraId="6D49EB56">
      <w:pPr>
        <w:pStyle w:val="12"/>
        <w:shd w:val="clear" w:color="auto" w:fill="FFFFFF"/>
        <w:spacing w:before="0" w:beforeAutospacing="0" w:after="0" w:afterAutospacing="0" w:line="360" w:lineRule="auto"/>
        <w:ind w:left="-4" w:leftChars="-2" w:firstLine="800" w:firstLineChars="250"/>
        <w:jc w:val="both"/>
        <w:rPr>
          <w:rFonts w:eastAsia="仿宋_GB2312"/>
          <w:sz w:val="32"/>
        </w:rPr>
      </w:pPr>
      <w:r>
        <w:rPr>
          <w:rFonts w:hint="eastAsia" w:ascii="Times New Roman" w:hAnsi="Times New Roman" w:eastAsia="仿宋_GB2312" w:cs="Times New Roman"/>
          <w:sz w:val="32"/>
          <w:szCs w:val="32"/>
        </w:rPr>
        <w:t>我单位积极组织</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年专项项目开展，对于符合政策采购的项目按照怀化市</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年政府采购有关规定进行组织管理，科技馆</w:t>
      </w:r>
      <w:r>
        <w:rPr>
          <w:rFonts w:hint="eastAsia" w:eastAsia="仿宋_GB2312"/>
          <w:sz w:val="32"/>
        </w:rPr>
        <w:t>展品更新采取委托第三方方式进行公开招标、确定中标单位及时组织项目验收。</w:t>
      </w:r>
    </w:p>
    <w:p w14:paraId="151C22CA">
      <w:pPr>
        <w:pStyle w:val="12"/>
        <w:shd w:val="clear" w:color="auto" w:fill="FFFFFF"/>
        <w:spacing w:before="0" w:beforeAutospacing="0" w:after="0" w:afterAutospacing="0" w:line="360" w:lineRule="auto"/>
        <w:ind w:left="-4" w:leftChars="-2" w:firstLine="800" w:firstLineChars="250"/>
        <w:jc w:val="both"/>
        <w:rPr>
          <w:rFonts w:hint="eastAsia" w:ascii="楷体" w:hAnsi="楷体" w:eastAsia="楷体" w:cs="楷体"/>
          <w:b/>
          <w:sz w:val="32"/>
          <w:szCs w:val="32"/>
        </w:rPr>
      </w:pPr>
      <w:r>
        <w:rPr>
          <w:rFonts w:hint="eastAsia" w:ascii="楷体" w:hAnsi="楷体" w:eastAsia="楷体" w:cs="楷体"/>
          <w:b/>
          <w:sz w:val="32"/>
        </w:rPr>
        <w:t>（二）项目管理情况分析，主要包括项目管理制度建设、日常检查监督管理等情况。</w:t>
      </w:r>
    </w:p>
    <w:p w14:paraId="7CFCF10B">
      <w:pPr>
        <w:pStyle w:val="12"/>
        <w:shd w:val="clear" w:color="auto" w:fill="FFFFFF"/>
        <w:spacing w:before="0" w:beforeAutospacing="0" w:after="0" w:afterAutospacing="0" w:line="360" w:lineRule="auto"/>
        <w:ind w:left="-4" w:leftChars="-2" w:firstLine="800" w:firstLineChars="25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对于项目的实施，我单位根据内部控制规范，对于项目实施实行“三重一大”集体决策机制，对于项目招标、评审、结算按政府采购办、国库集中支付核算局要求进行。项目实施过程中，指导、监督相关工作人员依照有关规范高效率地开展工作。</w:t>
      </w:r>
    </w:p>
    <w:p w14:paraId="4210BD98">
      <w:pPr>
        <w:pStyle w:val="12"/>
        <w:shd w:val="clear" w:color="auto" w:fill="FFFFFF"/>
        <w:spacing w:before="0" w:beforeAutospacing="0" w:after="0" w:afterAutospacing="0" w:line="360" w:lineRule="auto"/>
        <w:ind w:left="-4" w:leftChars="-2" w:firstLine="800" w:firstLineChars="250"/>
        <w:jc w:val="both"/>
        <w:rPr>
          <w:rFonts w:hint="eastAsia" w:ascii="黑体" w:hAnsi="黑体" w:eastAsia="黑体" w:cs="黑体"/>
          <w:b w:val="0"/>
          <w:bCs/>
          <w:sz w:val="32"/>
          <w:szCs w:val="32"/>
        </w:rPr>
      </w:pPr>
      <w:r>
        <w:rPr>
          <w:rFonts w:hint="eastAsia" w:ascii="黑体" w:hAnsi="黑体" w:eastAsia="黑体" w:cs="黑体"/>
          <w:b w:val="0"/>
          <w:bCs/>
          <w:sz w:val="32"/>
          <w:szCs w:val="32"/>
        </w:rPr>
        <w:t>四、资产管理情况</w:t>
      </w:r>
    </w:p>
    <w:p w14:paraId="6FF3D379">
      <w:pPr>
        <w:pStyle w:val="12"/>
        <w:shd w:val="clear" w:color="auto" w:fill="FFFFFF"/>
        <w:spacing w:before="0" w:beforeAutospacing="0" w:after="0" w:afterAutospacing="0" w:line="360" w:lineRule="auto"/>
        <w:ind w:left="-4" w:leftChars="-2" w:firstLine="800" w:firstLineChars="25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我单位建立了《怀化市科学技术协会固定资产管理办法》，进一步规范了固定资产的配置、管理与处置。对单位确需购置的固定资产，严格遵守相关流程，通过怀化市机关事务、财政局资产科审批配置，对属于政府采购的项目执行政府采购，对固定资产的使用实行“谁使用，谁保管、谁维护”的原则。处置固定资产严格按照规定经怀化市机关事务局、财政局资产科审查批准后处置，处置资金全额上缴资产科专户。通过日常管理，使资产实时处于账实及信息系统一致的状态。</w:t>
      </w:r>
    </w:p>
    <w:p w14:paraId="04E8F7A8">
      <w:pPr>
        <w:pStyle w:val="12"/>
        <w:shd w:val="clear" w:color="auto" w:fill="FFFFFF"/>
        <w:spacing w:before="0" w:beforeAutospacing="0" w:after="0" w:afterAutospacing="0" w:line="360" w:lineRule="auto"/>
        <w:ind w:left="-4" w:leftChars="-2" w:firstLine="800" w:firstLineChars="250"/>
        <w:jc w:val="both"/>
        <w:rPr>
          <w:rFonts w:hint="eastAsia" w:ascii="黑体" w:hAnsi="黑体" w:eastAsia="黑体" w:cs="黑体"/>
          <w:b w:val="0"/>
          <w:bCs/>
          <w:sz w:val="32"/>
          <w:szCs w:val="32"/>
        </w:rPr>
      </w:pPr>
      <w:r>
        <w:rPr>
          <w:rFonts w:hint="eastAsia" w:ascii="黑体" w:hAnsi="黑体" w:eastAsia="黑体" w:cs="黑体"/>
          <w:b w:val="0"/>
          <w:bCs/>
          <w:sz w:val="32"/>
          <w:szCs w:val="32"/>
        </w:rPr>
        <w:t>五、政府性基金预算支出情况</w:t>
      </w:r>
    </w:p>
    <w:p w14:paraId="5AFCFE7F">
      <w:pPr>
        <w:pStyle w:val="12"/>
        <w:shd w:val="clear" w:color="auto" w:fill="FFFFFF"/>
        <w:spacing w:before="0" w:beforeAutospacing="0" w:after="0" w:afterAutospacing="0" w:line="360" w:lineRule="auto"/>
        <w:ind w:left="-4" w:leftChars="-2" w:firstLine="800" w:firstLineChars="25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年本单位无政府性基金预算支出。</w:t>
      </w:r>
    </w:p>
    <w:p w14:paraId="585158C1">
      <w:pPr>
        <w:pStyle w:val="12"/>
        <w:shd w:val="clear" w:color="auto" w:fill="FFFFFF"/>
        <w:spacing w:before="0" w:beforeAutospacing="0" w:after="0" w:afterAutospacing="0" w:line="360" w:lineRule="auto"/>
        <w:ind w:left="-4" w:leftChars="-2" w:firstLine="800" w:firstLineChars="250"/>
        <w:jc w:val="both"/>
        <w:rPr>
          <w:rFonts w:hint="eastAsia" w:ascii="黑体" w:hAnsi="黑体" w:eastAsia="黑体" w:cs="黑体"/>
          <w:b w:val="0"/>
          <w:bCs/>
          <w:sz w:val="32"/>
          <w:szCs w:val="32"/>
        </w:rPr>
      </w:pPr>
      <w:r>
        <w:rPr>
          <w:rFonts w:hint="eastAsia" w:ascii="黑体" w:hAnsi="黑体" w:eastAsia="黑体" w:cs="黑体"/>
          <w:b w:val="0"/>
          <w:bCs/>
          <w:sz w:val="32"/>
          <w:szCs w:val="32"/>
        </w:rPr>
        <w:t>六、国有资本经营预算支出情况</w:t>
      </w:r>
    </w:p>
    <w:p w14:paraId="4830466D">
      <w:pPr>
        <w:pStyle w:val="12"/>
        <w:shd w:val="clear" w:color="auto" w:fill="FFFFFF"/>
        <w:spacing w:before="0" w:beforeAutospacing="0" w:after="0" w:afterAutospacing="0" w:line="360" w:lineRule="auto"/>
        <w:ind w:left="-4" w:leftChars="-2" w:firstLine="800" w:firstLineChars="25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年本单位无国有资本经营预算支出。</w:t>
      </w:r>
    </w:p>
    <w:p w14:paraId="0E26F9D9">
      <w:pPr>
        <w:pStyle w:val="12"/>
        <w:shd w:val="clear" w:color="auto" w:fill="FFFFFF"/>
        <w:spacing w:before="0" w:beforeAutospacing="0" w:after="0" w:afterAutospacing="0" w:line="360" w:lineRule="auto"/>
        <w:ind w:left="-4" w:leftChars="-2" w:firstLine="800" w:firstLineChars="250"/>
        <w:jc w:val="both"/>
        <w:rPr>
          <w:rFonts w:hint="eastAsia" w:ascii="黑体" w:hAnsi="黑体" w:eastAsia="黑体" w:cs="黑体"/>
          <w:b w:val="0"/>
          <w:bCs/>
          <w:sz w:val="32"/>
          <w:szCs w:val="32"/>
        </w:rPr>
      </w:pPr>
      <w:r>
        <w:rPr>
          <w:rFonts w:hint="eastAsia" w:ascii="黑体" w:hAnsi="黑体" w:eastAsia="黑体" w:cs="黑体"/>
          <w:b w:val="0"/>
          <w:bCs/>
          <w:sz w:val="32"/>
          <w:szCs w:val="32"/>
        </w:rPr>
        <w:t>七、社会保险基金预算支出情况</w:t>
      </w:r>
    </w:p>
    <w:p w14:paraId="27D3F13B">
      <w:pPr>
        <w:pStyle w:val="12"/>
        <w:shd w:val="clear" w:color="auto" w:fill="FFFFFF"/>
        <w:spacing w:before="0" w:beforeAutospacing="0" w:after="0" w:afterAutospacing="0" w:line="360" w:lineRule="auto"/>
        <w:ind w:left="-4" w:leftChars="-2" w:firstLine="800" w:firstLineChars="250"/>
        <w:jc w:val="both"/>
        <w:rPr>
          <w:rFonts w:ascii="Times New Roman" w:hAnsi="Times New Roman" w:eastAsia="仿宋_GB2312" w:cs="Times New Roman"/>
          <w:b/>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年本单位无社会保险基金预算支出。</w:t>
      </w:r>
    </w:p>
    <w:p w14:paraId="393B3F93">
      <w:pPr>
        <w:pStyle w:val="12"/>
        <w:numPr>
          <w:ilvl w:val="0"/>
          <w:numId w:val="0"/>
        </w:numPr>
        <w:shd w:val="clear" w:color="auto" w:fill="FFFFFF"/>
        <w:spacing w:before="0" w:beforeAutospacing="0" w:after="0" w:afterAutospacing="0" w:line="360" w:lineRule="auto"/>
        <w:ind w:leftChars="200" w:firstLine="320" w:firstLineChars="100"/>
        <w:jc w:val="both"/>
        <w:rPr>
          <w:rFonts w:hint="eastAsia" w:ascii="黑体" w:hAnsi="黑体" w:eastAsia="黑体" w:cs="黑体"/>
          <w:b w:val="0"/>
          <w:bCs/>
          <w:sz w:val="32"/>
          <w:szCs w:val="32"/>
        </w:rPr>
      </w:pPr>
      <w:r>
        <w:rPr>
          <w:rFonts w:hint="eastAsia" w:ascii="黑体" w:hAnsi="黑体" w:eastAsia="黑体" w:cs="黑体"/>
          <w:b w:val="0"/>
          <w:bCs/>
          <w:sz w:val="32"/>
          <w:szCs w:val="32"/>
          <w:lang w:eastAsia="zh-CN"/>
        </w:rPr>
        <w:t>八、</w:t>
      </w:r>
      <w:r>
        <w:rPr>
          <w:rFonts w:hint="eastAsia" w:ascii="黑体" w:hAnsi="黑体" w:eastAsia="黑体" w:cs="黑体"/>
          <w:b w:val="0"/>
          <w:bCs/>
          <w:sz w:val="32"/>
          <w:szCs w:val="32"/>
        </w:rPr>
        <w:t>部门整体支出绩效情况</w:t>
      </w:r>
    </w:p>
    <w:p w14:paraId="51F5CAA1">
      <w:pPr>
        <w:pStyle w:val="12"/>
        <w:numPr>
          <w:ilvl w:val="0"/>
          <w:numId w:val="0"/>
        </w:numPr>
        <w:shd w:val="clear" w:color="auto" w:fill="FFFFFF"/>
        <w:spacing w:before="0" w:beforeAutospacing="0" w:after="0" w:afterAutospacing="0" w:line="360" w:lineRule="auto"/>
        <w:ind w:firstLine="640" w:firstLineChars="200"/>
        <w:jc w:val="both"/>
        <w:rPr>
          <w:rFonts w:hint="eastAsia" w:ascii="仿宋_GB2312" w:hAnsi="方正小标宋_GBK" w:eastAsia="仿宋_GB2312" w:cs="方正小标宋_GBK"/>
          <w:color w:val="000000"/>
          <w:sz w:val="32"/>
          <w:szCs w:val="32"/>
          <w:shd w:val="clear" w:color="auto" w:fill="FFFFFF"/>
        </w:rPr>
      </w:pPr>
      <w:r>
        <w:rPr>
          <w:rFonts w:hint="eastAsia" w:ascii="仿宋_GB2312" w:hAnsi="方正小标宋_GBK" w:eastAsia="仿宋_GB2312" w:cs="方正小标宋_GBK"/>
          <w:color w:val="000000"/>
          <w:sz w:val="32"/>
          <w:szCs w:val="32"/>
          <w:shd w:val="clear" w:color="auto" w:fill="FFFFFF"/>
        </w:rPr>
        <w:t>我单位围绕部门职责、行业发展规划，以预算资金管理为主线，结合部门资产管理和开展业务情况，从运行成本、管理效率、履职效能、社会效应、可持续发展能力和服务对象满意度等方面综合分析。总结归纳本部门“四本预算”支出的绩效目标完成情况，实现产出和取得效益的情况。</w:t>
      </w:r>
    </w:p>
    <w:p w14:paraId="64295149">
      <w:pPr>
        <w:pStyle w:val="12"/>
        <w:shd w:val="clear" w:color="auto" w:fill="FFFFFF"/>
        <w:spacing w:before="0" w:beforeAutospacing="0" w:after="0" w:afterAutospacing="0" w:line="360" w:lineRule="auto"/>
        <w:ind w:left="-4" w:leftChars="-2" w:firstLine="800" w:firstLineChars="250"/>
        <w:jc w:val="both"/>
        <w:rPr>
          <w:rFonts w:hint="eastAsia" w:ascii="黑体" w:hAnsi="黑体" w:eastAsia="黑体" w:cs="黑体"/>
          <w:b w:val="0"/>
          <w:bCs/>
          <w:sz w:val="32"/>
          <w:szCs w:val="32"/>
        </w:rPr>
      </w:pPr>
      <w:r>
        <w:rPr>
          <w:rFonts w:hint="eastAsia" w:ascii="黑体" w:hAnsi="黑体" w:eastAsia="黑体" w:cs="黑体"/>
          <w:b w:val="0"/>
          <w:bCs/>
          <w:sz w:val="32"/>
          <w:szCs w:val="32"/>
        </w:rPr>
        <w:t xml:space="preserve">九、存在的问题及原因分析 </w:t>
      </w:r>
    </w:p>
    <w:p w14:paraId="28BA1BC5">
      <w:pPr>
        <w:pStyle w:val="12"/>
        <w:shd w:val="clear" w:color="auto" w:fill="FFFFFF"/>
        <w:spacing w:before="0" w:beforeAutospacing="0" w:after="0" w:afterAutospacing="0" w:line="360" w:lineRule="auto"/>
        <w:ind w:left="-4" w:leftChars="-2" w:firstLine="800" w:firstLineChars="250"/>
        <w:jc w:val="both"/>
        <w:rPr>
          <w:rFonts w:ascii="仿宋_GB2312" w:eastAsia="仿宋_GB2312"/>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w:t>
      </w:r>
      <w:r>
        <w:rPr>
          <w:rFonts w:hint="eastAsia" w:ascii="仿宋_GB2312" w:hAnsi="Times New Roman" w:eastAsia="仿宋_GB2312" w:cs="Times New Roman"/>
          <w:sz w:val="32"/>
          <w:szCs w:val="32"/>
        </w:rPr>
        <w:t>部门预算编制的科学化、精细化有待提高。目前，预算编制要求经济科目细化到款级，但在实际编制过程中，由于有的预算支出项目具有预测性和不确定性等特点，造成实际</w:t>
      </w:r>
      <w:r>
        <w:rPr>
          <w:rFonts w:hint="eastAsia" w:ascii="仿宋_GB2312" w:eastAsia="仿宋_GB2312"/>
          <w:sz w:val="32"/>
          <w:szCs w:val="32"/>
        </w:rPr>
        <w:t>支出与预算编制不符。</w:t>
      </w:r>
    </w:p>
    <w:p w14:paraId="273249BF">
      <w:pPr>
        <w:pStyle w:val="12"/>
        <w:shd w:val="clear" w:color="auto" w:fill="FFFFFF"/>
        <w:spacing w:before="0" w:beforeAutospacing="0" w:after="0" w:afterAutospacing="0" w:line="360" w:lineRule="auto"/>
        <w:ind w:left="-4" w:leftChars="-2" w:firstLine="800" w:firstLineChars="250"/>
        <w:jc w:val="both"/>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全面预算绩效管理工作经验不太丰富，绩效管理专业人员匮乏，规范管理有盲点。</w:t>
      </w:r>
    </w:p>
    <w:p w14:paraId="27A17BFE">
      <w:pPr>
        <w:pStyle w:val="12"/>
        <w:shd w:val="clear" w:color="auto" w:fill="FFFFFF"/>
        <w:spacing w:before="0" w:beforeAutospacing="0" w:after="0" w:afterAutospacing="0" w:line="600" w:lineRule="exact"/>
        <w:ind w:firstLine="627" w:firstLineChars="196"/>
        <w:jc w:val="both"/>
        <w:rPr>
          <w:rFonts w:hint="eastAsia" w:ascii="黑体" w:hAnsi="黑体" w:eastAsia="黑体" w:cs="黑体"/>
          <w:b w:val="0"/>
          <w:bCs/>
          <w:sz w:val="32"/>
          <w:szCs w:val="32"/>
        </w:rPr>
      </w:pPr>
      <w:r>
        <w:rPr>
          <w:rFonts w:hint="eastAsia" w:ascii="黑体" w:hAnsi="黑体" w:eastAsia="黑体" w:cs="黑体"/>
          <w:b w:val="0"/>
          <w:bCs/>
          <w:sz w:val="32"/>
          <w:szCs w:val="32"/>
        </w:rPr>
        <w:t>十、下一步改进措施</w:t>
      </w:r>
    </w:p>
    <w:p w14:paraId="3994FA41">
      <w:pPr>
        <w:pStyle w:val="12"/>
        <w:shd w:val="clear" w:color="auto" w:fill="FFFFFF"/>
        <w:spacing w:line="560" w:lineRule="exact"/>
        <w:ind w:firstLine="640" w:firstLineChars="200"/>
        <w:rPr>
          <w:rFonts w:ascii="仿宋_GB2312" w:hAnsi="方正小标宋_GBK" w:eastAsia="仿宋_GB2312" w:cs="方正小标宋_GBK"/>
          <w:color w:val="000000"/>
          <w:sz w:val="32"/>
          <w:szCs w:val="32"/>
          <w:shd w:val="clear" w:color="auto" w:fill="FFFFFF"/>
        </w:rPr>
      </w:pPr>
      <w:r>
        <w:rPr>
          <w:rFonts w:ascii="仿宋_GB2312" w:hAnsi="方正小标宋_GBK" w:eastAsia="仿宋_GB2312" w:cs="方正小标宋_GBK"/>
          <w:color w:val="000000"/>
          <w:sz w:val="32"/>
          <w:szCs w:val="32"/>
          <w:shd w:val="clear" w:color="auto" w:fill="FFFFFF"/>
        </w:rPr>
        <w:t>1</w:t>
      </w:r>
      <w:r>
        <w:rPr>
          <w:rFonts w:hint="eastAsia" w:ascii="仿宋_GB2312" w:hAnsi="方正小标宋_GBK" w:eastAsia="仿宋_GB2312" w:cs="方正小标宋_GBK"/>
          <w:color w:val="000000"/>
          <w:sz w:val="32"/>
          <w:szCs w:val="32"/>
          <w:shd w:val="clear" w:color="auto" w:fill="FFFFFF"/>
        </w:rPr>
        <w:t>、我们将落实内控制度，严肃执行“三重一大”的原则，深入开展政府购买社会化服务，切实引进社会化竞争机制，引进相关专业人才，保障项目在公开、公平、公正的监督环境中实施，有效节约项目资金，把有限的资金用在刀刃上。</w:t>
      </w:r>
    </w:p>
    <w:p w14:paraId="2E63FB86">
      <w:pPr>
        <w:pStyle w:val="12"/>
        <w:shd w:val="clear" w:color="auto" w:fill="FFFFFF"/>
        <w:spacing w:line="560" w:lineRule="exact"/>
        <w:ind w:firstLine="640" w:firstLineChars="200"/>
        <w:rPr>
          <w:rFonts w:ascii="仿宋_GB2312" w:hAnsi="方正小标宋_GBK" w:eastAsia="仿宋_GB2312" w:cs="方正小标宋_GBK"/>
          <w:color w:val="000000"/>
          <w:sz w:val="32"/>
          <w:szCs w:val="32"/>
          <w:shd w:val="clear" w:color="auto" w:fill="FFFFFF"/>
        </w:rPr>
      </w:pPr>
      <w:r>
        <w:rPr>
          <w:rFonts w:ascii="仿宋_GB2312" w:hAnsi="方正小标宋_GBK" w:eastAsia="仿宋_GB2312" w:cs="方正小标宋_GBK"/>
          <w:color w:val="000000"/>
          <w:sz w:val="32"/>
          <w:szCs w:val="32"/>
          <w:shd w:val="clear" w:color="auto" w:fill="FFFFFF"/>
        </w:rPr>
        <w:t>2</w:t>
      </w:r>
      <w:r>
        <w:rPr>
          <w:rFonts w:hint="eastAsia" w:ascii="仿宋_GB2312" w:hAnsi="方正小标宋_GBK" w:eastAsia="仿宋_GB2312" w:cs="方正小标宋_GBK"/>
          <w:color w:val="000000"/>
          <w:sz w:val="32"/>
          <w:szCs w:val="32"/>
          <w:shd w:val="clear" w:color="auto" w:fill="FFFFFF"/>
        </w:rPr>
        <w:t>、加强对财政资金的拨付和使用管理，加强对财务干部职工的业务培训，强化预算管理意识，严格执行预算，做到专账核算，确保专款专用。</w:t>
      </w:r>
    </w:p>
    <w:p w14:paraId="28E0DF6F">
      <w:pPr>
        <w:pStyle w:val="12"/>
        <w:shd w:val="clear" w:color="auto" w:fill="FFFFFF"/>
        <w:spacing w:line="560" w:lineRule="exact"/>
        <w:ind w:firstLine="640" w:firstLineChars="200"/>
        <w:rPr>
          <w:rFonts w:ascii="仿宋_GB2312" w:hAnsi="方正小标宋_GBK" w:eastAsia="仿宋_GB2312" w:cs="方正小标宋_GBK"/>
          <w:color w:val="000000"/>
          <w:sz w:val="32"/>
          <w:szCs w:val="32"/>
          <w:shd w:val="clear" w:color="auto" w:fill="FFFFFF"/>
        </w:rPr>
      </w:pPr>
      <w:r>
        <w:rPr>
          <w:rFonts w:ascii="仿宋_GB2312" w:hAnsi="方正小标宋_GBK" w:eastAsia="仿宋_GB2312" w:cs="方正小标宋_GBK"/>
          <w:color w:val="000000"/>
          <w:sz w:val="32"/>
          <w:szCs w:val="32"/>
          <w:shd w:val="clear" w:color="auto" w:fill="FFFFFF"/>
        </w:rPr>
        <w:t>3</w:t>
      </w:r>
      <w:r>
        <w:rPr>
          <w:rFonts w:hint="eastAsia" w:ascii="仿宋_GB2312" w:hAnsi="方正小标宋_GBK" w:eastAsia="仿宋_GB2312" w:cs="方正小标宋_GBK"/>
          <w:color w:val="000000"/>
          <w:sz w:val="32"/>
          <w:szCs w:val="32"/>
          <w:shd w:val="clear" w:color="auto" w:fill="FFFFFF"/>
        </w:rPr>
        <w:t>、我们将更加全面、细致地制定绩效目标，进一步严肃财经纪律，在实施过程中遵循“实事求是、尊重客观、力求精准”的原则，努力使项目资金落到实处。</w:t>
      </w:r>
    </w:p>
    <w:p w14:paraId="3B1C9173">
      <w:pPr>
        <w:ind w:firstLine="800" w:firstLineChars="250"/>
        <w:rPr>
          <w:rFonts w:hint="eastAsia" w:ascii="黑体" w:hAnsi="黑体" w:eastAsia="黑体" w:cs="黑体"/>
          <w:b w:val="0"/>
          <w:bCs/>
          <w:sz w:val="32"/>
          <w:szCs w:val="32"/>
        </w:rPr>
      </w:pPr>
      <w:r>
        <w:rPr>
          <w:rFonts w:hint="eastAsia" w:ascii="黑体" w:hAnsi="黑体" w:eastAsia="黑体" w:cs="黑体"/>
          <w:b w:val="0"/>
          <w:bCs/>
          <w:sz w:val="32"/>
          <w:szCs w:val="32"/>
        </w:rPr>
        <w:t>十一、绩效自评结果拟应用和公开情况</w:t>
      </w:r>
    </w:p>
    <w:p w14:paraId="6EAA06C7">
      <w:pPr>
        <w:pStyle w:val="12"/>
        <w:shd w:val="clear" w:color="auto" w:fill="FFFFFF"/>
        <w:spacing w:line="480" w:lineRule="atLeast"/>
        <w:ind w:firstLine="640" w:firstLineChars="200"/>
        <w:rPr>
          <w:rFonts w:hint="default" w:eastAsia="仿宋_GB2312" w:cs="方正小标宋_GBK" w:asciiTheme="majorAscii" w:hAnsiTheme="majorAscii"/>
          <w:color w:val="000000"/>
          <w:sz w:val="32"/>
          <w:szCs w:val="32"/>
          <w:shd w:val="clear" w:color="auto" w:fill="FFFFFF"/>
        </w:rPr>
      </w:pPr>
      <w:r>
        <w:rPr>
          <w:rFonts w:hint="eastAsia" w:ascii="仿宋_GB2312" w:hAnsi="方正小标宋_GBK" w:eastAsia="仿宋_GB2312" w:cs="方正小标宋_GBK"/>
          <w:color w:val="000000"/>
          <w:sz w:val="32"/>
          <w:szCs w:val="32"/>
          <w:shd w:val="clear" w:color="auto" w:fill="FFFFFF"/>
        </w:rPr>
        <w:t>根据部门整体支出绩效评价指标规定的内容，经我单位认真自评，总评分为</w:t>
      </w:r>
      <w:r>
        <w:rPr>
          <w:rFonts w:ascii="仿宋_GB2312" w:hAnsi="方正小标宋_GBK" w:eastAsia="仿宋_GB2312" w:cs="方正小标宋_GBK"/>
          <w:color w:val="000000"/>
          <w:sz w:val="32"/>
          <w:szCs w:val="32"/>
          <w:shd w:val="clear" w:color="auto" w:fill="FFFFFF"/>
        </w:rPr>
        <w:t>100</w:t>
      </w:r>
      <w:r>
        <w:rPr>
          <w:rFonts w:hint="eastAsia" w:ascii="仿宋_GB2312" w:hAnsi="方正小标宋_GBK" w:eastAsia="仿宋_GB2312" w:cs="方正小标宋_GBK"/>
          <w:color w:val="000000"/>
          <w:sz w:val="32"/>
          <w:szCs w:val="32"/>
          <w:shd w:val="clear" w:color="auto" w:fill="FFFFFF"/>
        </w:rPr>
        <w:t>分，实际得分</w:t>
      </w:r>
      <w:r>
        <w:rPr>
          <w:rFonts w:ascii="仿宋_GB2312" w:hAnsi="方正小标宋_GBK" w:eastAsia="仿宋_GB2312" w:cs="方正小标宋_GBK"/>
          <w:color w:val="000000"/>
          <w:sz w:val="32"/>
          <w:szCs w:val="32"/>
          <w:shd w:val="clear" w:color="auto" w:fill="FFFFFF"/>
        </w:rPr>
        <w:t>99</w:t>
      </w:r>
      <w:r>
        <w:rPr>
          <w:rFonts w:hint="eastAsia" w:ascii="仿宋_GB2312" w:hAnsi="方正小标宋_GBK" w:eastAsia="仿宋_GB2312" w:cs="方正小标宋_GBK"/>
          <w:color w:val="000000"/>
          <w:sz w:val="32"/>
          <w:szCs w:val="32"/>
          <w:shd w:val="clear" w:color="auto" w:fill="FFFFFF"/>
        </w:rPr>
        <w:t>分，</w:t>
      </w:r>
      <w:r>
        <w:rPr>
          <w:rFonts w:ascii="仿宋_GB2312" w:hAnsi="方正小标宋_GBK" w:eastAsia="仿宋_GB2312" w:cs="方正小标宋_GBK"/>
          <w:color w:val="000000"/>
          <w:sz w:val="32"/>
          <w:szCs w:val="32"/>
          <w:shd w:val="clear" w:color="auto" w:fill="FFFFFF"/>
        </w:rPr>
        <w:t>202</w:t>
      </w:r>
      <w:r>
        <w:rPr>
          <w:rFonts w:hint="eastAsia" w:ascii="仿宋_GB2312" w:hAnsi="方正小标宋_GBK" w:eastAsia="仿宋_GB2312" w:cs="方正小标宋_GBK"/>
          <w:color w:val="000000"/>
          <w:sz w:val="32"/>
          <w:szCs w:val="32"/>
          <w:shd w:val="clear" w:color="auto" w:fill="FFFFFF"/>
          <w:lang w:val="en-US" w:eastAsia="zh-CN"/>
        </w:rPr>
        <w:t>5</w:t>
      </w:r>
      <w:r>
        <w:rPr>
          <w:rFonts w:hint="eastAsia" w:ascii="仿宋_GB2312" w:hAnsi="方正小标宋_GBK" w:eastAsia="仿宋_GB2312" w:cs="方正小标宋_GBK"/>
          <w:color w:val="000000"/>
          <w:sz w:val="32"/>
          <w:szCs w:val="32"/>
          <w:shd w:val="clear" w:color="auto" w:fill="FFFFFF"/>
        </w:rPr>
        <w:t>年度部门整</w:t>
      </w:r>
      <w:r>
        <w:rPr>
          <w:rFonts w:hint="default" w:eastAsia="仿宋_GB2312" w:cs="方正小标宋_GBK" w:asciiTheme="majorAscii" w:hAnsiTheme="majorAscii"/>
          <w:color w:val="000000"/>
          <w:sz w:val="32"/>
          <w:szCs w:val="32"/>
          <w:shd w:val="clear" w:color="auto" w:fill="FFFFFF"/>
        </w:rPr>
        <w:t>体绩效评价为优秀。</w:t>
      </w:r>
    </w:p>
    <w:p w14:paraId="1BDC7CF2">
      <w:pPr>
        <w:pStyle w:val="12"/>
        <w:shd w:val="clear" w:color="auto" w:fill="FFFFFF"/>
        <w:spacing w:line="480" w:lineRule="atLeast"/>
        <w:ind w:firstLine="640" w:firstLineChars="200"/>
        <w:rPr>
          <w:rFonts w:ascii="仿宋_GB2312" w:hAnsi="方正小标宋_GBK" w:eastAsia="仿宋_GB2312" w:cs="方正小标宋_GBK"/>
          <w:color w:val="000000"/>
          <w:sz w:val="32"/>
          <w:szCs w:val="32"/>
          <w:shd w:val="clear" w:color="auto" w:fill="FFFFFF"/>
        </w:rPr>
      </w:pPr>
      <w:r>
        <w:rPr>
          <w:rFonts w:hint="eastAsia" w:ascii="仿宋_GB2312" w:hAnsi="方正小标宋_GBK" w:eastAsia="仿宋_GB2312" w:cs="方正小标宋_GBK"/>
          <w:color w:val="000000"/>
          <w:sz w:val="32"/>
          <w:szCs w:val="32"/>
          <w:shd w:val="clear" w:color="auto" w:fill="FFFFFF"/>
        </w:rPr>
        <w:t>按照市级部门预决算编制通知和有关要求，按时完成预决算编制工作，并及时在网上进行预决算公开。部门整体绩效目标编制完整、合理，项目绩效目标编制明确、量化。按要求严格预算执行管理，及时足额将专项资金按标拨付。严格执行“三公经费”预算，按要求及时公开预算、决算、绩效等信息。按要求及时、准确、全面开展资产清查工作。内部控制制度健全完整并执行良好，在本年度内未出现廉政风险。</w:t>
      </w:r>
    </w:p>
    <w:p w14:paraId="28EE2C65">
      <w:pPr>
        <w:ind w:firstLine="800" w:firstLineChars="250"/>
        <w:rPr>
          <w:rFonts w:hint="eastAsia" w:ascii="黑体" w:hAnsi="黑体" w:eastAsia="黑体" w:cs="黑体"/>
          <w:b w:val="0"/>
          <w:bCs/>
          <w:sz w:val="32"/>
          <w:szCs w:val="32"/>
        </w:rPr>
      </w:pPr>
      <w:r>
        <w:rPr>
          <w:rFonts w:hint="eastAsia" w:ascii="黑体" w:hAnsi="黑体" w:eastAsia="黑体" w:cs="黑体"/>
          <w:b w:val="0"/>
          <w:bCs/>
          <w:sz w:val="32"/>
          <w:szCs w:val="32"/>
        </w:rPr>
        <w:t>十二、其他需要说明的情况</w:t>
      </w:r>
    </w:p>
    <w:p w14:paraId="5A9183AE">
      <w:pPr>
        <w:ind w:firstLine="640" w:firstLineChars="200"/>
        <w:rPr>
          <w:rFonts w:ascii="仿宋_GB2312" w:eastAsia="仿宋_GB2312"/>
          <w:sz w:val="32"/>
          <w:szCs w:val="32"/>
        </w:rPr>
      </w:pPr>
      <w:r>
        <w:rPr>
          <w:rFonts w:hint="eastAsia" w:ascii="仿宋_GB2312" w:eastAsia="仿宋_GB2312"/>
          <w:sz w:val="32"/>
          <w:szCs w:val="32"/>
        </w:rPr>
        <w:t>无</w:t>
      </w:r>
    </w:p>
    <w:p w14:paraId="36E4C178">
      <w:pPr>
        <w:jc w:val="left"/>
        <w:rPr>
          <w:rFonts w:ascii="宋体" w:cs="黑体"/>
          <w:color w:val="000000"/>
          <w:kern w:val="0"/>
          <w:sz w:val="32"/>
          <w:szCs w:val="32"/>
        </w:rPr>
      </w:pPr>
    </w:p>
    <w:p w14:paraId="7EDB0809">
      <w:pPr>
        <w:pStyle w:val="12"/>
        <w:numPr>
          <w:ilvl w:val="0"/>
          <w:numId w:val="0"/>
        </w:numPr>
        <w:shd w:val="clear" w:color="auto" w:fill="FFFFFF"/>
        <w:spacing w:before="0" w:beforeAutospacing="0" w:after="0" w:afterAutospacing="0" w:line="360" w:lineRule="auto"/>
        <w:ind w:firstLine="640" w:firstLineChars="200"/>
        <w:jc w:val="both"/>
        <w:rPr>
          <w:rFonts w:hint="eastAsia" w:ascii="仿宋_GB2312" w:hAnsi="方正小标宋_GBK" w:eastAsia="仿宋_GB2312" w:cs="方正小标宋_GBK"/>
          <w:color w:val="000000"/>
          <w:sz w:val="32"/>
          <w:szCs w:val="32"/>
          <w:shd w:val="clear" w:color="auto" w:fill="FFFFFF"/>
        </w:rPr>
      </w:pPr>
    </w:p>
    <w:p w14:paraId="239010A4">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Tahoma">
    <w:altName w:val="noto sans thai"/>
    <w:panose1 w:val="020B0604030504040204"/>
    <w:charset w:val="00"/>
    <w:family w:val="swiss"/>
    <w:pitch w:val="default"/>
    <w:sig w:usb0="00000000" w:usb1="00000000" w:usb2="00000008" w:usb3="00000000" w:csb0="000101FF" w:csb1="00000000"/>
  </w:font>
  <w:font w:name="noto sans thai">
    <w:panose1 w:val="020B0502040504020204"/>
    <w:charset w:val="00"/>
    <w:family w:val="auto"/>
    <w:pitch w:val="default"/>
    <w:sig w:usb0="81000063" w:usb1="00002000" w:usb2="00000000" w:usb3="00000000" w:csb0="00010000" w:csb1="00000000"/>
  </w:font>
  <w:font w:name="华文中宋">
    <w:altName w:val="汉仪中宋简"/>
    <w:panose1 w:val="00000000000000000000"/>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Cambria">
    <w:altName w:val="仿宋_GB2312"/>
    <w:panose1 w:val="00000000000000000000"/>
    <w:charset w:val="00"/>
    <w:family w:val="auto"/>
    <w:pitch w:val="default"/>
    <w:sig w:usb0="00000000" w:usb1="00000000" w:usb2="00000000" w:usb3="00000000" w:csb0="00000000"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7ABEF">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BCCAF">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145C7">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CA2D5">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BD40878">
                          <w:pPr>
                            <w:pStyle w:val="9"/>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4BD40878">
                    <w:pPr>
                      <w:pStyle w:val="9"/>
                    </w:pPr>
                    <w:r>
                      <w:fldChar w:fldCharType="begin"/>
                    </w:r>
                    <w:r>
                      <w:instrText xml:space="preserve"> PAGE  \* MERGEFORMAT </w:instrText>
                    </w:r>
                    <w:r>
                      <w:fldChar w:fldCharType="separate"/>
                    </w:r>
                    <w:r>
                      <w:t>25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DB1202"/>
    <w:multiLevelType w:val="singleLevel"/>
    <w:tmpl w:val="FBDB1202"/>
    <w:lvl w:ilvl="0" w:tentative="0">
      <w:start w:val="7"/>
      <w:numFmt w:val="chineseCounting"/>
      <w:suff w:val="nothing"/>
      <w:lvlText w:val="%1、"/>
      <w:lvlJc w:val="left"/>
      <w:rPr>
        <w:rFonts w:hint="eastAsia"/>
      </w:rPr>
    </w:lvl>
  </w:abstractNum>
  <w:abstractNum w:abstractNumId="1">
    <w:nsid w:val="45F16EC1"/>
    <w:multiLevelType w:val="multilevel"/>
    <w:tmpl w:val="45F16EC1"/>
    <w:lvl w:ilvl="0" w:tentative="0">
      <w:start w:val="1"/>
      <w:numFmt w:val="japaneseCounting"/>
      <w:lvlText w:val="%1、"/>
      <w:lvlJc w:val="left"/>
      <w:pPr>
        <w:tabs>
          <w:tab w:val="left" w:pos="1360"/>
        </w:tabs>
        <w:ind w:left="1360" w:hanging="720"/>
      </w:pPr>
      <w:rPr>
        <w:rFonts w:cs="Times New Roman"/>
      </w:rPr>
    </w:lvl>
    <w:lvl w:ilvl="1" w:tentative="0">
      <w:start w:val="1"/>
      <w:numFmt w:val="decimal"/>
      <w:lvlText w:val="%2、"/>
      <w:lvlJc w:val="left"/>
      <w:pPr>
        <w:tabs>
          <w:tab w:val="left" w:pos="1780"/>
        </w:tabs>
        <w:ind w:left="1780" w:hanging="720"/>
      </w:pPr>
      <w:rPr>
        <w:rFonts w:cs="Times New Roman"/>
      </w:rPr>
    </w:lvl>
    <w:lvl w:ilvl="2" w:tentative="0">
      <w:start w:val="1"/>
      <w:numFmt w:val="lowerRoman"/>
      <w:lvlText w:val="%3."/>
      <w:lvlJc w:val="right"/>
      <w:pPr>
        <w:tabs>
          <w:tab w:val="left" w:pos="1900"/>
        </w:tabs>
        <w:ind w:left="1900" w:hanging="420"/>
      </w:pPr>
      <w:rPr>
        <w:rFonts w:cs="Times New Roman"/>
      </w:rPr>
    </w:lvl>
    <w:lvl w:ilvl="3" w:tentative="0">
      <w:start w:val="1"/>
      <w:numFmt w:val="decimal"/>
      <w:lvlText w:val="%4."/>
      <w:lvlJc w:val="left"/>
      <w:pPr>
        <w:tabs>
          <w:tab w:val="left" w:pos="2320"/>
        </w:tabs>
        <w:ind w:left="2320" w:hanging="420"/>
      </w:pPr>
      <w:rPr>
        <w:rFonts w:cs="Times New Roman"/>
      </w:rPr>
    </w:lvl>
    <w:lvl w:ilvl="4" w:tentative="0">
      <w:start w:val="1"/>
      <w:numFmt w:val="lowerLetter"/>
      <w:lvlText w:val="%5)"/>
      <w:lvlJc w:val="left"/>
      <w:pPr>
        <w:tabs>
          <w:tab w:val="left" w:pos="2740"/>
        </w:tabs>
        <w:ind w:left="2740" w:hanging="420"/>
      </w:pPr>
      <w:rPr>
        <w:rFonts w:cs="Times New Roman"/>
      </w:rPr>
    </w:lvl>
    <w:lvl w:ilvl="5" w:tentative="0">
      <w:start w:val="1"/>
      <w:numFmt w:val="lowerRoman"/>
      <w:lvlText w:val="%6."/>
      <w:lvlJc w:val="right"/>
      <w:pPr>
        <w:tabs>
          <w:tab w:val="left" w:pos="3160"/>
        </w:tabs>
        <w:ind w:left="3160" w:hanging="420"/>
      </w:pPr>
      <w:rPr>
        <w:rFonts w:cs="Times New Roman"/>
      </w:rPr>
    </w:lvl>
    <w:lvl w:ilvl="6" w:tentative="0">
      <w:start w:val="1"/>
      <w:numFmt w:val="decimal"/>
      <w:lvlText w:val="%7."/>
      <w:lvlJc w:val="left"/>
      <w:pPr>
        <w:tabs>
          <w:tab w:val="left" w:pos="3580"/>
        </w:tabs>
        <w:ind w:left="3580" w:hanging="420"/>
      </w:pPr>
      <w:rPr>
        <w:rFonts w:cs="Times New Roman"/>
      </w:rPr>
    </w:lvl>
    <w:lvl w:ilvl="7" w:tentative="0">
      <w:start w:val="1"/>
      <w:numFmt w:val="lowerLetter"/>
      <w:lvlText w:val="%8)"/>
      <w:lvlJc w:val="left"/>
      <w:pPr>
        <w:tabs>
          <w:tab w:val="left" w:pos="4000"/>
        </w:tabs>
        <w:ind w:left="4000" w:hanging="420"/>
      </w:pPr>
      <w:rPr>
        <w:rFonts w:cs="Times New Roman"/>
      </w:rPr>
    </w:lvl>
    <w:lvl w:ilvl="8" w:tentative="0">
      <w:start w:val="1"/>
      <w:numFmt w:val="lowerRoman"/>
      <w:lvlText w:val="%9."/>
      <w:lvlJc w:val="right"/>
      <w:pPr>
        <w:tabs>
          <w:tab w:val="left" w:pos="4420"/>
        </w:tabs>
        <w:ind w:left="4420" w:hanging="42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2F5CF6"/>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65D0C"/>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0149"/>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D97DEFF"/>
    <w:rsid w:val="1DFF72E5"/>
    <w:rsid w:val="1EFC6F07"/>
    <w:rsid w:val="1F5EB0B0"/>
    <w:rsid w:val="2FDF85B8"/>
    <w:rsid w:val="2FFFEE04"/>
    <w:rsid w:val="31EDEC9C"/>
    <w:rsid w:val="31FC31EB"/>
    <w:rsid w:val="32D74678"/>
    <w:rsid w:val="34DF85B0"/>
    <w:rsid w:val="3B8F36BC"/>
    <w:rsid w:val="3BEC481C"/>
    <w:rsid w:val="3FFE4C01"/>
    <w:rsid w:val="47F3F2E0"/>
    <w:rsid w:val="491FF225"/>
    <w:rsid w:val="4FFD214C"/>
    <w:rsid w:val="5777D4F5"/>
    <w:rsid w:val="59DD8326"/>
    <w:rsid w:val="59FD35F2"/>
    <w:rsid w:val="5BF14260"/>
    <w:rsid w:val="5DEF592A"/>
    <w:rsid w:val="5EFF1658"/>
    <w:rsid w:val="5F7F0E31"/>
    <w:rsid w:val="5FC6BB1E"/>
    <w:rsid w:val="5FF720F1"/>
    <w:rsid w:val="67FF5C0B"/>
    <w:rsid w:val="6EFC0924"/>
    <w:rsid w:val="6FAB3892"/>
    <w:rsid w:val="6FB74722"/>
    <w:rsid w:val="6FEB7C81"/>
    <w:rsid w:val="6FEF8B7E"/>
    <w:rsid w:val="71A6591B"/>
    <w:rsid w:val="72AD9F8D"/>
    <w:rsid w:val="737D59BA"/>
    <w:rsid w:val="761D8F66"/>
    <w:rsid w:val="77C37683"/>
    <w:rsid w:val="77ED1225"/>
    <w:rsid w:val="79D19834"/>
    <w:rsid w:val="79FF515B"/>
    <w:rsid w:val="7BBE2A70"/>
    <w:rsid w:val="7BDFA357"/>
    <w:rsid w:val="7BDFF77C"/>
    <w:rsid w:val="7BF549BF"/>
    <w:rsid w:val="7BFFBAAC"/>
    <w:rsid w:val="7DDEFE96"/>
    <w:rsid w:val="7E9E1962"/>
    <w:rsid w:val="7E9F11B4"/>
    <w:rsid w:val="7F37EC1E"/>
    <w:rsid w:val="7F3DBD1C"/>
    <w:rsid w:val="7F7DCD9D"/>
    <w:rsid w:val="7F970A6F"/>
    <w:rsid w:val="7FC1FFF3"/>
    <w:rsid w:val="7FC69637"/>
    <w:rsid w:val="7FD9E3E6"/>
    <w:rsid w:val="7FDF8620"/>
    <w:rsid w:val="7FE8C8F7"/>
    <w:rsid w:val="7FFB242F"/>
    <w:rsid w:val="7FFDB408"/>
    <w:rsid w:val="7FFE4EEB"/>
    <w:rsid w:val="7FFFB6EC"/>
    <w:rsid w:val="95FB2B98"/>
    <w:rsid w:val="97E4145D"/>
    <w:rsid w:val="9A639BC2"/>
    <w:rsid w:val="9BFA491D"/>
    <w:rsid w:val="9EF36E36"/>
    <w:rsid w:val="9FF7D786"/>
    <w:rsid w:val="ABBFB23D"/>
    <w:rsid w:val="ADFE1E3C"/>
    <w:rsid w:val="B6AFFE39"/>
    <w:rsid w:val="BB7C01EF"/>
    <w:rsid w:val="BBFE8147"/>
    <w:rsid w:val="BDFF6A36"/>
    <w:rsid w:val="BFFFA93D"/>
    <w:rsid w:val="C3B4DA5A"/>
    <w:rsid w:val="CBFF70E0"/>
    <w:rsid w:val="CFF50B82"/>
    <w:rsid w:val="CFFFAD89"/>
    <w:rsid w:val="DFFE359E"/>
    <w:rsid w:val="DFFE4FFD"/>
    <w:rsid w:val="EDBE6210"/>
    <w:rsid w:val="EEABED75"/>
    <w:rsid w:val="EEEF7AFD"/>
    <w:rsid w:val="EFFAE219"/>
    <w:rsid w:val="F4FB80E4"/>
    <w:rsid w:val="F56FDF51"/>
    <w:rsid w:val="F5D834D9"/>
    <w:rsid w:val="F6B69F17"/>
    <w:rsid w:val="F77F1D61"/>
    <w:rsid w:val="F7FED3A9"/>
    <w:rsid w:val="F8C9DB26"/>
    <w:rsid w:val="F97E8EAE"/>
    <w:rsid w:val="FB36E1A6"/>
    <w:rsid w:val="FB3BE134"/>
    <w:rsid w:val="FBE3ECDE"/>
    <w:rsid w:val="FCFF4275"/>
    <w:rsid w:val="FD7FEEEA"/>
    <w:rsid w:val="FDFFB577"/>
    <w:rsid w:val="FEEA50FE"/>
    <w:rsid w:val="FF7D47A9"/>
    <w:rsid w:val="FF7F63BE"/>
    <w:rsid w:val="FFAF4188"/>
    <w:rsid w:val="FFCF21CB"/>
    <w:rsid w:val="FFFBF07B"/>
    <w:rsid w:val="FFFEA24C"/>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widowControl w:val="0"/>
      <w:spacing w:before="100" w:beforeAutospacing="1" w:after="100" w:afterAutospacing="1"/>
      <w:ind w:left="0" w:right="0"/>
      <w:jc w:val="left"/>
      <w:outlineLvl w:val="0"/>
    </w:pPr>
    <w:rPr>
      <w:rFonts w:ascii="宋体" w:hAnsi="宋体" w:eastAsia="宋体" w:cs="宋体"/>
      <w:b/>
      <w:bCs/>
      <w:kern w:val="44"/>
      <w:sz w:val="48"/>
      <w:szCs w:val="48"/>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lock Text"/>
    <w:basedOn w:val="1"/>
    <w:unhideWhenUsed/>
    <w:qFormat/>
    <w:uiPriority w:val="99"/>
    <w:pPr>
      <w:ind w:firstLine="640"/>
    </w:pPr>
  </w:style>
  <w:style w:type="paragraph" w:styleId="7">
    <w:name w:val="Plain Text"/>
    <w:basedOn w:val="1"/>
    <w:qFormat/>
    <w:uiPriority w:val="0"/>
    <w:rPr>
      <w:rFonts w:ascii="宋体" w:hAnsi="Courier New"/>
    </w:rPr>
  </w:style>
  <w:style w:type="paragraph" w:styleId="8">
    <w:name w:val="Balloon Text"/>
    <w:basedOn w:val="1"/>
    <w:link w:val="19"/>
    <w:semiHidden/>
    <w:unhideWhenUsed/>
    <w:qFormat/>
    <w:uiPriority w:val="99"/>
    <w:rPr>
      <w:sz w:val="18"/>
      <w:szCs w:val="18"/>
    </w:rPr>
  </w:style>
  <w:style w:type="paragraph" w:styleId="9">
    <w:name w:val="footer"/>
    <w:basedOn w:val="1"/>
    <w:link w:val="16"/>
    <w:unhideWhenUsed/>
    <w:qFormat/>
    <w:uiPriority w:val="99"/>
    <w:pPr>
      <w:tabs>
        <w:tab w:val="center" w:pos="4153"/>
        <w:tab w:val="right" w:pos="8306"/>
      </w:tabs>
      <w:snapToGrid w:val="0"/>
      <w:jc w:val="left"/>
    </w:pPr>
    <w:rPr>
      <w:sz w:val="18"/>
      <w:szCs w:val="18"/>
    </w:rPr>
  </w:style>
  <w:style w:type="paragraph" w:styleId="10">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footnote text"/>
    <w:basedOn w:val="1"/>
    <w:next w:val="5"/>
    <w:semiHidden/>
    <w:qFormat/>
    <w:uiPriority w:val="0"/>
    <w:pPr>
      <w:snapToGrid w:val="0"/>
      <w:jc w:val="left"/>
    </w:pPr>
    <w:rPr>
      <w:sz w:val="18"/>
      <w:szCs w:val="18"/>
    </w:rPr>
  </w:style>
  <w:style w:type="paragraph" w:styleId="12">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character" w:customStyle="1" w:styleId="15">
    <w:name w:val="页眉 Char"/>
    <w:basedOn w:val="14"/>
    <w:link w:val="10"/>
    <w:qFormat/>
    <w:uiPriority w:val="99"/>
    <w:rPr>
      <w:sz w:val="18"/>
      <w:szCs w:val="18"/>
    </w:rPr>
  </w:style>
  <w:style w:type="character" w:customStyle="1" w:styleId="16">
    <w:name w:val="页脚 Char"/>
    <w:basedOn w:val="14"/>
    <w:link w:val="9"/>
    <w:qFormat/>
    <w:uiPriority w:val="99"/>
    <w:rPr>
      <w:sz w:val="18"/>
      <w:szCs w:val="18"/>
    </w:r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8">
    <w:name w:val="List Paragraph"/>
    <w:basedOn w:val="1"/>
    <w:qFormat/>
    <w:uiPriority w:val="34"/>
    <w:pPr>
      <w:ind w:firstLine="420" w:firstLineChars="200"/>
    </w:pPr>
  </w:style>
  <w:style w:type="character" w:customStyle="1" w:styleId="19">
    <w:name w:val="批注框文本 Char"/>
    <w:basedOn w:val="14"/>
    <w:link w:val="8"/>
    <w:semiHidden/>
    <w:qFormat/>
    <w:uiPriority w:val="99"/>
    <w:rPr>
      <w:sz w:val="18"/>
      <w:szCs w:val="18"/>
    </w:rPr>
  </w:style>
  <w:style w:type="character" w:customStyle="1" w:styleId="20">
    <w:name w:val="font01"/>
    <w:basedOn w:val="14"/>
    <w:qFormat/>
    <w:uiPriority w:val="0"/>
    <w:rPr>
      <w:rFonts w:hint="eastAsia" w:ascii="宋体" w:hAnsi="宋体" w:eastAsia="宋体" w:cs="宋体"/>
      <w:color w:val="000000"/>
      <w:sz w:val="22"/>
      <w:szCs w:val="22"/>
      <w:u w:val="none"/>
    </w:rPr>
  </w:style>
  <w:style w:type="character" w:customStyle="1" w:styleId="21">
    <w:name w:val="font21"/>
    <w:basedOn w:val="14"/>
    <w:qFormat/>
    <w:uiPriority w:val="0"/>
    <w:rPr>
      <w:rFonts w:hint="eastAsia" w:ascii="宋体" w:hAnsi="宋体" w:eastAsia="宋体" w:cs="宋体"/>
      <w:color w:val="000000"/>
      <w:sz w:val="24"/>
      <w:szCs w:val="24"/>
      <w:u w:val="none"/>
    </w:rPr>
  </w:style>
  <w:style w:type="character" w:customStyle="1" w:styleId="22">
    <w:name w:val="font11"/>
    <w:basedOn w:val="14"/>
    <w:qFormat/>
    <w:uiPriority w:val="0"/>
    <w:rPr>
      <w:rFonts w:hint="eastAsia" w:ascii="宋体" w:hAnsi="宋体" w:eastAsia="宋体" w:cs="宋体"/>
      <w:color w:val="000000"/>
      <w:sz w:val="24"/>
      <w:szCs w:val="24"/>
      <w:u w:val="none"/>
    </w:rPr>
  </w:style>
  <w:style w:type="paragraph" w:customStyle="1" w:styleId="23">
    <w:name w:val="列出段落"/>
    <w:basedOn w:val="1"/>
    <w:qFormat/>
    <w:uiPriority w:val="99"/>
    <w:pPr>
      <w:ind w:firstLine="200" w:firstLineChars="200"/>
    </w:pPr>
  </w:style>
  <w:style w:type="paragraph" w:customStyle="1" w:styleId="24">
    <w:name w:val="p"/>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25">
    <w:name w:val="4正文"/>
    <w:basedOn w:val="1"/>
    <w:qFormat/>
    <w:uiPriority w:val="99"/>
    <w:pPr>
      <w:snapToGrid w:val="0"/>
      <w:spacing w:line="440" w:lineRule="exact"/>
      <w:ind w:firstLine="200" w:firstLineChars="200"/>
    </w:pPr>
    <w:rPr>
      <w:rFonts w:ascii="Times New Roman" w:hAnsi="Times New Roman"/>
      <w:sz w:val="22"/>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37</Pages>
  <Words>12615</Words>
  <Characters>14494</Characters>
  <Lines>72</Lines>
  <Paragraphs>20</Paragraphs>
  <TotalTime>13</TotalTime>
  <ScaleCrop>false</ScaleCrop>
  <LinksUpToDate>false</LinksUpToDate>
  <CharactersWithSpaces>15799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2026-09-11T08:39:00Z</dcterms:created>
  <dc:creator>李航 null</dc:creator>
  <cp:lastModifiedBy>A梦</cp:lastModifiedBy>
  <cp:lastPrinted>2024-08-13T10:20:00Z</cp:lastPrinted>
  <dcterms:modified xsi:type="dcterms:W3CDTF">2026-10-15T17:27:29Z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ies>
</file>