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color w:val="auto"/>
          <w:sz w:val="56"/>
          <w:szCs w:val="56"/>
          <w:highlight w:val="none"/>
        </w:rPr>
      </w:pPr>
    </w:p>
    <w:p>
      <w:pPr>
        <w:pStyle w:val="10"/>
        <w:jc w:val="center"/>
        <w:rPr>
          <w:color w:val="auto"/>
          <w:sz w:val="56"/>
          <w:szCs w:val="56"/>
          <w:highlight w:val="none"/>
        </w:rPr>
      </w:pPr>
    </w:p>
    <w:p>
      <w:pPr>
        <w:pStyle w:val="10"/>
        <w:jc w:val="center"/>
        <w:rPr>
          <w:color w:val="auto"/>
          <w:sz w:val="84"/>
          <w:szCs w:val="84"/>
          <w:highlight w:val="none"/>
        </w:rPr>
      </w:pPr>
    </w:p>
    <w:p>
      <w:pPr>
        <w:pStyle w:val="10"/>
        <w:jc w:val="center"/>
        <w:rPr>
          <w:color w:val="auto"/>
          <w:sz w:val="84"/>
          <w:szCs w:val="84"/>
          <w:highlight w:val="none"/>
        </w:rPr>
      </w:pPr>
    </w:p>
    <w:p>
      <w:pPr>
        <w:pStyle w:val="10"/>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w:t>
      </w:r>
      <w:r>
        <w:rPr>
          <w:rFonts w:hint="eastAsia" w:ascii="方正小标宋_GBK" w:hAnsi="方正小标宋_GBK" w:eastAsia="方正小标宋_GBK" w:cs="方正小标宋_GBK"/>
          <w:color w:val="auto"/>
          <w:sz w:val="84"/>
          <w:szCs w:val="84"/>
          <w:highlight w:val="none"/>
          <w:lang w:val="en-US" w:eastAsia="zh-CN"/>
        </w:rPr>
        <w:t>2</w:t>
      </w:r>
      <w:r>
        <w:rPr>
          <w:rFonts w:hint="eastAsia" w:ascii="方正小标宋_GBK" w:hAnsi="方正小标宋_GBK" w:eastAsia="方正小标宋_GBK" w:cs="方正小标宋_GBK"/>
          <w:color w:val="auto"/>
          <w:sz w:val="84"/>
          <w:szCs w:val="84"/>
          <w:highlight w:val="none"/>
        </w:rPr>
        <w:t>年度</w:t>
      </w:r>
    </w:p>
    <w:p>
      <w:pPr>
        <w:pStyle w:val="10"/>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怀化市科技局</w:t>
      </w:r>
      <w:r>
        <w:rPr>
          <w:rFonts w:hint="eastAsia" w:ascii="方正小标宋_GBK" w:hAnsi="方正小标宋_GBK" w:eastAsia="方正小标宋_GBK" w:cs="方正小标宋_GBK"/>
          <w:color w:val="auto"/>
          <w:sz w:val="84"/>
          <w:szCs w:val="84"/>
          <w:highlight w:val="none"/>
        </w:rPr>
        <w:t>部门决算</w:t>
      </w:r>
    </w:p>
    <w:p>
      <w:pPr>
        <w:pStyle w:val="10"/>
        <w:jc w:val="center"/>
        <w:rPr>
          <w:rFonts w:hint="eastAsia" w:ascii="方正小标宋_GBK" w:hAnsi="方正小标宋_GBK" w:eastAsia="方正小标宋_GBK" w:cs="方正小标宋_GBK"/>
          <w:color w:val="auto"/>
          <w:sz w:val="56"/>
          <w:szCs w:val="56"/>
          <w:highlight w:val="none"/>
        </w:rPr>
      </w:pPr>
    </w:p>
    <w:p>
      <w:pPr>
        <w:pStyle w:val="10"/>
        <w:jc w:val="center"/>
        <w:rPr>
          <w:color w:val="auto"/>
          <w:sz w:val="56"/>
          <w:szCs w:val="56"/>
          <w:highlight w:val="none"/>
        </w:rPr>
      </w:pPr>
    </w:p>
    <w:p>
      <w:pPr>
        <w:pStyle w:val="10"/>
        <w:jc w:val="center"/>
        <w:rPr>
          <w:color w:val="auto"/>
          <w:sz w:val="56"/>
          <w:szCs w:val="56"/>
          <w:highlight w:val="none"/>
        </w:rPr>
      </w:pPr>
    </w:p>
    <w:p>
      <w:pPr>
        <w:pStyle w:val="10"/>
        <w:jc w:val="center"/>
        <w:rPr>
          <w:color w:val="auto"/>
          <w:sz w:val="56"/>
          <w:szCs w:val="56"/>
          <w:highlight w:val="none"/>
        </w:rPr>
      </w:pPr>
    </w:p>
    <w:p>
      <w:pPr>
        <w:pStyle w:val="10"/>
        <w:jc w:val="center"/>
        <w:rPr>
          <w:color w:val="auto"/>
          <w:sz w:val="32"/>
          <w:szCs w:val="32"/>
          <w:highlight w:val="none"/>
        </w:rPr>
      </w:pPr>
    </w:p>
    <w:p>
      <w:pPr>
        <w:pStyle w:val="10"/>
        <w:jc w:val="center"/>
        <w:rPr>
          <w:color w:val="auto"/>
          <w:sz w:val="32"/>
          <w:szCs w:val="32"/>
          <w:highlight w:val="none"/>
        </w:rPr>
      </w:pPr>
    </w:p>
    <w:p>
      <w:pPr>
        <w:pStyle w:val="10"/>
        <w:jc w:val="center"/>
        <w:rPr>
          <w:color w:val="auto"/>
          <w:sz w:val="32"/>
          <w:szCs w:val="32"/>
          <w:highlight w:val="none"/>
        </w:rPr>
      </w:pPr>
    </w:p>
    <w:p>
      <w:pPr>
        <w:pStyle w:val="10"/>
        <w:jc w:val="center"/>
        <w:rPr>
          <w:color w:val="auto"/>
          <w:sz w:val="32"/>
          <w:szCs w:val="32"/>
          <w:highlight w:val="none"/>
        </w:rPr>
      </w:pPr>
    </w:p>
    <w:p>
      <w:pPr>
        <w:pStyle w:val="10"/>
        <w:jc w:val="center"/>
        <w:rPr>
          <w:color w:val="auto"/>
          <w:sz w:val="32"/>
          <w:szCs w:val="32"/>
          <w:highlight w:val="none"/>
        </w:rPr>
      </w:pPr>
    </w:p>
    <w:p>
      <w:pPr>
        <w:pStyle w:val="10"/>
        <w:spacing w:line="540" w:lineRule="exact"/>
        <w:jc w:val="center"/>
        <w:rPr>
          <w:color w:val="auto"/>
          <w:sz w:val="56"/>
          <w:szCs w:val="56"/>
          <w:highlight w:val="none"/>
        </w:rPr>
      </w:pPr>
    </w:p>
    <w:p>
      <w:pPr>
        <w:pStyle w:val="10"/>
        <w:spacing w:line="500" w:lineRule="exact"/>
        <w:jc w:val="both"/>
        <w:rPr>
          <w:b/>
          <w:color w:val="auto"/>
          <w:sz w:val="36"/>
          <w:szCs w:val="28"/>
          <w:highlight w:val="none"/>
        </w:rPr>
      </w:pPr>
    </w:p>
    <w:p>
      <w:pPr>
        <w:pStyle w:val="10"/>
        <w:spacing w:line="500" w:lineRule="exact"/>
        <w:jc w:val="center"/>
        <w:rPr>
          <w:b/>
          <w:color w:val="auto"/>
          <w:sz w:val="36"/>
          <w:szCs w:val="28"/>
          <w:highlight w:val="none"/>
        </w:rPr>
      </w:pPr>
      <w:r>
        <w:rPr>
          <w:rFonts w:hint="eastAsia"/>
          <w:b/>
          <w:color w:val="auto"/>
          <w:sz w:val="36"/>
          <w:szCs w:val="28"/>
          <w:highlight w:val="none"/>
        </w:rPr>
        <w:t>目录</w:t>
      </w:r>
    </w:p>
    <w:p>
      <w:pPr>
        <w:pStyle w:val="10"/>
        <w:spacing w:line="500" w:lineRule="exac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第一部分</w:t>
      </w:r>
      <w:r>
        <w:rPr>
          <w:rFonts w:hint="default" w:hAnsi="黑体" w:cs="黑体"/>
          <w:b w:val="0"/>
          <w:bCs/>
          <w:color w:val="auto"/>
          <w:sz w:val="32"/>
          <w:szCs w:val="32"/>
          <w:highlight w:val="none"/>
        </w:rPr>
        <w:t xml:space="preserve"> </w:t>
      </w:r>
      <w:r>
        <w:rPr>
          <w:rFonts w:hint="default" w:hAnsi="黑体" w:cs="黑体"/>
          <w:b w:val="0"/>
          <w:bCs/>
          <w:color w:val="auto"/>
          <w:sz w:val="32"/>
          <w:szCs w:val="32"/>
          <w:highlight w:val="none"/>
          <w:lang w:eastAsia="zh-CN"/>
        </w:rPr>
        <w:t>怀化市科技局</w:t>
      </w:r>
      <w:r>
        <w:rPr>
          <w:rFonts w:hint="eastAsia" w:ascii="黑体" w:hAnsi="黑体" w:eastAsia="黑体" w:cs="黑体"/>
          <w:b w:val="0"/>
          <w:bCs/>
          <w:color w:val="auto"/>
          <w:sz w:val="32"/>
          <w:szCs w:val="32"/>
          <w:highlight w:val="none"/>
        </w:rPr>
        <w:t>概况</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一、部门职责</w:t>
      </w:r>
    </w:p>
    <w:p>
      <w:pPr>
        <w:pStyle w:val="10"/>
        <w:spacing w:line="500" w:lineRule="exact"/>
        <w:ind w:firstLine="8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szCs w:val="32"/>
          <w:highlight w:val="none"/>
        </w:rPr>
        <w:t>二、机构设置</w:t>
      </w:r>
    </w:p>
    <w:p>
      <w:pPr>
        <w:pStyle w:val="10"/>
        <w:spacing w:line="500" w:lineRule="exac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第二部分</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部门决算表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六、一般公共预算财政拨款基本支出决算明细表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七、政府性基金预算财政拨款收入支出决算表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八、国有资本经营预算财政拨款支出决算表</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九、财政拨款“三公”经费支出决算表</w:t>
      </w:r>
    </w:p>
    <w:p>
      <w:pPr>
        <w:pStyle w:val="10"/>
        <w:spacing w:line="500" w:lineRule="exac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第三部分</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部门决算情况说明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六、一般公共预算财政拨款基本支出决算情况说明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七、一般公共预算财政拨款三公经费支出决算情况说明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八、政府性基金预算</w:t>
      </w:r>
      <w:r>
        <w:rPr>
          <w:rFonts w:hint="default" w:ascii="仿宋_GB2312" w:hAnsi="仿宋_GB2312" w:eastAsia="仿宋_GB2312" w:cs="仿宋_GB2312"/>
          <w:color w:val="auto"/>
          <w:sz w:val="32"/>
          <w:szCs w:val="32"/>
          <w:highlight w:val="none"/>
        </w:rPr>
        <w:t>财政拨款</w:t>
      </w:r>
      <w:r>
        <w:rPr>
          <w:rFonts w:hint="eastAsia" w:ascii="仿宋_GB2312" w:hAnsi="仿宋_GB2312" w:eastAsia="仿宋_GB2312" w:cs="仿宋_GB2312"/>
          <w:color w:val="auto"/>
          <w:sz w:val="32"/>
          <w:szCs w:val="32"/>
          <w:highlight w:val="none"/>
        </w:rPr>
        <w:t>收入支出决算情况</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九、国有资本经营预算财政拨款</w:t>
      </w:r>
      <w:r>
        <w:rPr>
          <w:rFonts w:hint="default" w:ascii="仿宋_GB2312" w:hAnsi="仿宋_GB2312" w:eastAsia="仿宋_GB2312" w:cs="仿宋_GB2312"/>
          <w:color w:val="auto"/>
          <w:sz w:val="32"/>
          <w:szCs w:val="32"/>
          <w:highlight w:val="none"/>
        </w:rPr>
        <w:t>收入</w:t>
      </w:r>
      <w:r>
        <w:rPr>
          <w:rFonts w:hint="eastAsia" w:ascii="仿宋_GB2312" w:hAnsi="仿宋_GB2312" w:eastAsia="仿宋_GB2312" w:cs="仿宋_GB2312"/>
          <w:color w:val="auto"/>
          <w:sz w:val="32"/>
          <w:szCs w:val="32"/>
          <w:highlight w:val="none"/>
        </w:rPr>
        <w:t>支出决算情况说明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rPr>
        <w:t>关于机关运行经费支出说明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default"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rPr>
        <w:t>、一般性支出情况说明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default"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rPr>
        <w:t>、关于政府采购支出说明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default"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rPr>
        <w:t>、关于国有资产占用情况说明</w:t>
      </w:r>
    </w:p>
    <w:p>
      <w:pPr>
        <w:pStyle w:val="10"/>
        <w:spacing w:line="50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default"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rPr>
        <w:t>、关于预算绩效情况的说明</w:t>
      </w:r>
    </w:p>
    <w:p>
      <w:pPr>
        <w:pStyle w:val="10"/>
        <w:spacing w:line="500" w:lineRule="exac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第四部分</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名词解释</w:t>
      </w:r>
    </w:p>
    <w:p>
      <w:pPr>
        <w:pStyle w:val="10"/>
        <w:spacing w:line="500" w:lineRule="exac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第五部分</w:t>
      </w:r>
      <w:r>
        <w:rPr>
          <w:rFonts w:hint="eastAsia" w:hAnsi="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附件</w:t>
      </w:r>
    </w:p>
    <w:p>
      <w:pPr>
        <w:pStyle w:val="10"/>
        <w:spacing w:line="500" w:lineRule="exact"/>
        <w:rPr>
          <w:rFonts w:hint="eastAsia" w:ascii="黑体" w:hAnsi="黑体" w:eastAsia="黑体" w:cs="黑体"/>
          <w:b w:val="0"/>
          <w:bCs/>
          <w:color w:val="auto"/>
          <w:sz w:val="32"/>
          <w:szCs w:val="32"/>
          <w:highlight w:val="none"/>
        </w:rPr>
      </w:pPr>
    </w:p>
    <w:p>
      <w:pPr>
        <w:pStyle w:val="10"/>
        <w:spacing w:line="500" w:lineRule="exact"/>
        <w:rPr>
          <w:rFonts w:hint="eastAsia" w:ascii="黑体" w:hAnsi="黑体" w:eastAsia="黑体" w:cs="黑体"/>
          <w:b w:val="0"/>
          <w:bCs/>
          <w:color w:val="auto"/>
          <w:sz w:val="32"/>
          <w:szCs w:val="32"/>
          <w:highlight w:val="none"/>
        </w:rPr>
      </w:pPr>
    </w:p>
    <w:p>
      <w:pPr>
        <w:pStyle w:val="10"/>
        <w:spacing w:line="500" w:lineRule="exact"/>
        <w:rPr>
          <w:rFonts w:hint="eastAsia" w:ascii="黑体" w:hAnsi="黑体" w:eastAsia="黑体" w:cs="黑体"/>
          <w:b w:val="0"/>
          <w:bCs/>
          <w:color w:val="auto"/>
          <w:sz w:val="32"/>
          <w:szCs w:val="32"/>
          <w:highlight w:val="none"/>
        </w:rPr>
      </w:pPr>
    </w:p>
    <w:p>
      <w:pPr>
        <w:pStyle w:val="10"/>
        <w:spacing w:line="500" w:lineRule="exact"/>
        <w:rPr>
          <w:rFonts w:hint="eastAsia" w:ascii="黑体" w:hAnsi="黑体" w:eastAsia="黑体" w:cs="黑体"/>
          <w:b w:val="0"/>
          <w:bCs/>
          <w:color w:val="auto"/>
          <w:sz w:val="32"/>
          <w:szCs w:val="32"/>
          <w:highlight w:val="none"/>
        </w:rPr>
      </w:pPr>
    </w:p>
    <w:p>
      <w:pPr>
        <w:pStyle w:val="10"/>
        <w:spacing w:line="500" w:lineRule="exact"/>
        <w:rPr>
          <w:rFonts w:hint="eastAsia" w:ascii="黑体" w:hAnsi="黑体" w:eastAsia="黑体" w:cs="黑体"/>
          <w:b w:val="0"/>
          <w:bCs/>
          <w:color w:val="auto"/>
          <w:sz w:val="32"/>
          <w:szCs w:val="32"/>
          <w:highlight w:val="none"/>
        </w:rPr>
      </w:pPr>
    </w:p>
    <w:p>
      <w:pPr>
        <w:pStyle w:val="10"/>
        <w:jc w:val="center"/>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 xml:space="preserve">第一部分 </w:t>
      </w: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lang w:eastAsia="zh-CN"/>
        </w:rPr>
        <w:t>怀化市科技局</w:t>
      </w:r>
      <w:r>
        <w:rPr>
          <w:rFonts w:hint="eastAsia" w:ascii="黑体" w:hAnsi="黑体" w:eastAsia="黑体" w:cs="黑体"/>
          <w:color w:val="auto"/>
          <w:sz w:val="72"/>
          <w:szCs w:val="72"/>
          <w:highlight w:val="none"/>
        </w:rPr>
        <w:t>概况</w:t>
      </w: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both"/>
        <w:rPr>
          <w:rFonts w:hint="eastAsia" w:ascii="黑体" w:hAnsi="黑体" w:eastAsia="黑体" w:cs="黑体"/>
          <w:color w:val="auto"/>
          <w:sz w:val="44"/>
          <w:szCs w:val="44"/>
          <w:highlight w:val="none"/>
        </w:rPr>
      </w:pPr>
    </w:p>
    <w:p>
      <w:pPr>
        <w:pStyle w:val="11"/>
        <w:numPr>
          <w:ilvl w:val="0"/>
          <w:numId w:val="0"/>
        </w:numPr>
        <w:ind w:leftChars="0" w:firstLine="640" w:firstLineChars="200"/>
        <w:jc w:val="left"/>
        <w:rPr>
          <w:rFonts w:hint="eastAsia"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rPr>
        <w:t>部门职责</w:t>
      </w:r>
    </w:p>
    <w:p>
      <w:pPr>
        <w:pStyle w:val="10"/>
        <w:spacing w:line="5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职责是负责全市科学技术进步的宏观管理和统筹协调。负责组织实施科技重大专项。负责组织实施市级科技计划工作，负责市级科技经费预决算和经费使用的监督管理。牵头组织全市农村和社会发展领域的科技进步工作。牵头组织协调促进全市产学研结合工作。主管全市高新技术的研究开发、成果转化以及产业化工作。会同有关部门提出全市科技体制改革的政策和措施建议，推进全市创新体系建设。负责全市科学技术普及工作。负责全市科技人才有关工作等。</w:t>
      </w:r>
    </w:p>
    <w:p>
      <w:pPr>
        <w:widowControl/>
        <w:spacing w:line="600" w:lineRule="exact"/>
        <w:ind w:firstLine="640" w:firstLineChars="200"/>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二、机构设置及决算单位构成</w:t>
      </w:r>
    </w:p>
    <w:p>
      <w:pPr>
        <w:pStyle w:val="10"/>
        <w:spacing w:line="5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内设机构设置。怀化市科技局作为一级部门决算单位，内设科室为五科一室：办公室、战略规划与政策法规科、高新技术发展与产业化科、农村与社会发展科技科、成果转化与科技合作科、科技人才与基础研究科。</w:t>
      </w:r>
    </w:p>
    <w:p>
      <w:pPr>
        <w:pStyle w:val="10"/>
        <w:spacing w:line="5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（二）决算单位构成。市科技局20</w:t>
      </w:r>
      <w:r>
        <w:rPr>
          <w:rFonts w:hint="default"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t>年部门决算汇总公开单位构成包括：怀化市科技局本级。</w:t>
      </w:r>
    </w:p>
    <w:p>
      <w:pPr>
        <w:jc w:val="left"/>
        <w:rPr>
          <w:rFonts w:ascii="仿宋_GB2312" w:eastAsia="仿宋_GB2312" w:hAnsiTheme="minorEastAsia"/>
          <w:color w:val="auto"/>
          <w:sz w:val="28"/>
          <w:szCs w:val="32"/>
          <w:highlight w:val="none"/>
        </w:rPr>
      </w:pPr>
    </w:p>
    <w:p>
      <w:pPr>
        <w:pStyle w:val="10"/>
        <w:jc w:val="center"/>
        <w:rPr>
          <w:rFonts w:hint="eastAsia" w:ascii="方正小标宋_GBK" w:hAnsi="方正小标宋_GBK" w:eastAsia="方正小标宋_GBK" w:cs="方正小标宋_GBK"/>
          <w:color w:val="auto"/>
          <w:sz w:val="84"/>
          <w:szCs w:val="84"/>
          <w:highlight w:val="none"/>
        </w:rPr>
      </w:pPr>
    </w:p>
    <w:p>
      <w:pPr>
        <w:pStyle w:val="10"/>
        <w:jc w:val="center"/>
        <w:rPr>
          <w:rFonts w:hint="eastAsia" w:ascii="方正小标宋_GBK" w:hAnsi="方正小标宋_GBK" w:eastAsia="方正小标宋_GBK" w:cs="方正小标宋_GBK"/>
          <w:color w:val="auto"/>
          <w:sz w:val="84"/>
          <w:szCs w:val="84"/>
          <w:highlight w:val="none"/>
        </w:rPr>
      </w:pPr>
    </w:p>
    <w:p>
      <w:pPr>
        <w:pStyle w:val="10"/>
        <w:jc w:val="center"/>
        <w:rPr>
          <w:rFonts w:hint="eastAsia" w:ascii="方正小标宋_GBK" w:hAnsi="方正小标宋_GBK" w:eastAsia="方正小标宋_GBK" w:cs="方正小标宋_GBK"/>
          <w:color w:val="auto"/>
          <w:sz w:val="84"/>
          <w:szCs w:val="84"/>
          <w:highlight w:val="none"/>
        </w:rPr>
      </w:pPr>
    </w:p>
    <w:p>
      <w:pPr>
        <w:pStyle w:val="10"/>
        <w:jc w:val="center"/>
        <w:rPr>
          <w:rFonts w:hint="eastAsia" w:ascii="方正小标宋_GBK" w:hAnsi="方正小标宋_GBK" w:eastAsia="方正小标宋_GBK" w:cs="方正小标宋_GBK"/>
          <w:color w:val="auto"/>
          <w:sz w:val="84"/>
          <w:szCs w:val="84"/>
          <w:highlight w:val="none"/>
        </w:rPr>
      </w:pPr>
    </w:p>
    <w:p>
      <w:pPr>
        <w:pStyle w:val="10"/>
        <w:jc w:val="center"/>
        <w:rPr>
          <w:rFonts w:hint="eastAsia" w:ascii="方正小标宋_GBK" w:hAnsi="方正小标宋_GBK" w:eastAsia="方正小标宋_GBK" w:cs="方正小标宋_GBK"/>
          <w:color w:val="auto"/>
          <w:sz w:val="84"/>
          <w:szCs w:val="84"/>
          <w:highlight w:val="none"/>
        </w:rPr>
      </w:pPr>
    </w:p>
    <w:p>
      <w:pPr>
        <w:pStyle w:val="10"/>
        <w:jc w:val="center"/>
        <w:rPr>
          <w:rFonts w:hint="eastAsia" w:ascii="方正小标宋_GBK" w:hAnsi="方正小标宋_GBK" w:eastAsia="方正小标宋_GBK" w:cs="方正小标宋_GBK"/>
          <w:color w:val="auto"/>
          <w:sz w:val="84"/>
          <w:szCs w:val="84"/>
          <w:highlight w:val="none"/>
        </w:rPr>
      </w:pP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第二部分</w:t>
      </w: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部门决算表</w:t>
      </w:r>
    </w:p>
    <w:p>
      <w:pPr>
        <w:jc w:val="left"/>
        <w:rPr>
          <w:color w:val="auto"/>
          <w:sz w:val="32"/>
          <w:szCs w:val="32"/>
          <w:highlight w:val="none"/>
        </w:rPr>
      </w:pPr>
    </w:p>
    <w:p>
      <w:pPr>
        <w:jc w:val="left"/>
        <w:rPr>
          <w:rFonts w:asciiTheme="minorEastAsia" w:hAnsiTheme="minorEastAsia"/>
          <w:color w:val="auto"/>
          <w:sz w:val="32"/>
          <w:szCs w:val="32"/>
          <w:highlight w:val="none"/>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fixed"/>
        <w:tblCellMar>
          <w:top w:w="0" w:type="dxa"/>
          <w:left w:w="0" w:type="dxa"/>
          <w:bottom w:w="0" w:type="dxa"/>
          <w:right w:w="0" w:type="dxa"/>
        </w:tblCellMar>
      </w:tblPr>
      <w:tblGrid>
        <w:gridCol w:w="277"/>
        <w:gridCol w:w="567"/>
        <w:gridCol w:w="1725"/>
        <w:gridCol w:w="1470"/>
        <w:gridCol w:w="1604"/>
        <w:gridCol w:w="1805"/>
        <w:gridCol w:w="1805"/>
        <w:gridCol w:w="1805"/>
        <w:gridCol w:w="1805"/>
        <w:gridCol w:w="2565"/>
      </w:tblGrid>
      <w:tr>
        <w:tblPrEx>
          <w:tblCellMar>
            <w:top w:w="0" w:type="dxa"/>
            <w:left w:w="0" w:type="dxa"/>
            <w:bottom w:w="0" w:type="dxa"/>
            <w:right w:w="0" w:type="dxa"/>
          </w:tblCellMar>
        </w:tblPrEx>
        <w:trPr>
          <w:trHeight w:val="683"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23053"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1"/>
              <w:gridCol w:w="731"/>
              <w:gridCol w:w="1334"/>
              <w:gridCol w:w="4769"/>
              <w:gridCol w:w="1547"/>
              <w:gridCol w:w="487"/>
              <w:gridCol w:w="553"/>
              <w:gridCol w:w="1916"/>
              <w:gridCol w:w="2886"/>
              <w:gridCol w:w="4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5" w:type="dxa"/>
                <w:trHeight w:val="45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auto"/>
                      <w:sz w:val="32"/>
                      <w:szCs w:val="32"/>
                      <w:highlight w:val="none"/>
                      <w:u w:val="none"/>
                    </w:rPr>
                  </w:pPr>
                  <w:r>
                    <w:rPr>
                      <w:rFonts w:hint="eastAsia" w:ascii="华文中宋" w:hAnsi="华文中宋" w:eastAsia="华文中宋" w:cs="华文中宋"/>
                      <w:i w:val="0"/>
                      <w:color w:val="auto"/>
                      <w:kern w:val="0"/>
                      <w:sz w:val="32"/>
                      <w:szCs w:val="32"/>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655" w:type="dxa"/>
                <w:trHeight w:val="304" w:hRule="atLeast"/>
              </w:trPr>
              <w:tc>
                <w:tcPr>
                  <w:tcW w:w="4061"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731"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1334"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4769"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2034" w:type="dxa"/>
                  <w:gridSpan w:val="2"/>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2469" w:type="dxa"/>
                  <w:gridSpan w:val="2"/>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5" w:type="dxa"/>
                <w:trHeight w:val="304" w:hRule="atLeast"/>
              </w:trPr>
              <w:tc>
                <w:tcPr>
                  <w:tcW w:w="4061" w:type="dxa"/>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w:t>
                  </w:r>
                </w:p>
              </w:tc>
              <w:tc>
                <w:tcPr>
                  <w:tcW w:w="731"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1334"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4769" w:type="dxa"/>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2034" w:type="dxa"/>
                  <w:gridSpan w:val="2"/>
                  <w:tcBorders>
                    <w:top w:val="nil"/>
                    <w:left w:val="nil"/>
                    <w:bottom w:val="nil"/>
                    <w:right w:val="nil"/>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20" w:lineRule="exact"/>
                    <w:jc w:val="right"/>
                    <w:rPr>
                      <w:rFonts w:hint="eastAsia" w:ascii="宋体" w:hAnsi="宋体" w:eastAsia="宋体" w:cs="宋体"/>
                      <w:i w:val="0"/>
                      <w:color w:val="auto"/>
                      <w:sz w:val="24"/>
                      <w:szCs w:val="24"/>
                      <w:highlight w:val="none"/>
                      <w:u w:val="none"/>
                    </w:rPr>
                  </w:pPr>
                </w:p>
              </w:tc>
              <w:tc>
                <w:tcPr>
                  <w:tcW w:w="2469" w:type="dxa"/>
                  <w:gridSpan w:val="2"/>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64" w:hRule="atLeast"/>
              </w:trPr>
              <w:tc>
                <w:tcPr>
                  <w:tcW w:w="61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收入</w:t>
                  </w:r>
                </w:p>
              </w:tc>
              <w:tc>
                <w:tcPr>
                  <w:tcW w:w="735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52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项    目</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行次</w:t>
                  </w: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决算数</w:t>
                  </w: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项    目</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行次</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栏    次</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auto"/>
                      <w:sz w:val="21"/>
                      <w:szCs w:val="21"/>
                      <w:highlight w:val="none"/>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栏    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auto"/>
                      <w:sz w:val="21"/>
                      <w:szCs w:val="21"/>
                      <w:highlight w:val="none"/>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一、一般公共预算财政拨款收入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val="en-US" w:eastAsia="zh-CN"/>
                    </w:rPr>
                    <w:t>1460.6</w:t>
                  </w:r>
                  <w:r>
                    <w:rPr>
                      <w:rFonts w:hint="eastAsia" w:ascii="仿宋" w:hAnsi="仿宋" w:eastAsia="仿宋" w:cs="仿宋"/>
                      <w:i w:val="0"/>
                      <w:color w:val="auto"/>
                      <w:sz w:val="21"/>
                      <w:szCs w:val="21"/>
                      <w:highlight w:val="none"/>
                      <w:u w:val="none"/>
                      <w:lang w:eastAsia="zh-CN"/>
                    </w:rPr>
                    <w:t>0</w:t>
                  </w: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14</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二、政府性基金预算财政拨款收入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15</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三、国有资本经营预算财政拨款收入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16</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四、上级补助收入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17</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73"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五、事业收入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18</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六、经营收入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19</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1263.82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七、附属单位上缴收入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20</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23"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八、其他收入</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21</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73.99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22</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b w:val="0"/>
                      <w:bCs/>
                      <w:i w:val="0"/>
                      <w:color w:val="auto"/>
                      <w:sz w:val="21"/>
                      <w:szCs w:val="21"/>
                      <w:highlight w:val="none"/>
                      <w:u w:val="none"/>
                      <w:lang w:val="en-US" w:eastAsia="zh-CN"/>
                    </w:rPr>
                  </w:pPr>
                  <w:r>
                    <w:rPr>
                      <w:rFonts w:hint="eastAsia" w:ascii="仿宋" w:hAnsi="仿宋" w:eastAsia="仿宋" w:cs="仿宋"/>
                      <w:b w:val="0"/>
                      <w:bCs/>
                      <w:i w:val="0"/>
                      <w:color w:val="auto"/>
                      <w:sz w:val="21"/>
                      <w:szCs w:val="21"/>
                      <w:highlight w:val="none"/>
                      <w:u w:val="none"/>
                      <w:lang w:val="en-US" w:eastAsia="zh-CN"/>
                    </w:rPr>
                    <w:t>24.2</w:t>
                  </w:r>
                </w:p>
              </w:tc>
              <w:tc>
                <w:tcPr>
                  <w:tcW w:w="4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auto"/>
                      <w:kern w:val="2"/>
                      <w:sz w:val="22"/>
                      <w:szCs w:val="22"/>
                      <w:highlight w:val="none"/>
                      <w:u w:val="none"/>
                      <w:lang w:val="en-US" w:eastAsia="zh-CN" w:bidi="ar-SA"/>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本年收入合计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val="en-US" w:eastAsia="zh-CN"/>
                    </w:rPr>
                    <w:t>1460.6</w:t>
                  </w:r>
                  <w:r>
                    <w:rPr>
                      <w:rFonts w:hint="eastAsia" w:ascii="仿宋" w:hAnsi="仿宋" w:eastAsia="仿宋" w:cs="仿宋"/>
                      <w:i w:val="0"/>
                      <w:color w:val="auto"/>
                      <w:sz w:val="21"/>
                      <w:szCs w:val="21"/>
                      <w:highlight w:val="none"/>
                      <w:u w:val="none"/>
                      <w:lang w:eastAsia="zh-CN"/>
                    </w:rPr>
                    <w:t>0</w:t>
                  </w: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23</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val="en-US" w:eastAsia="zh-CN"/>
                    </w:rPr>
                    <w:t>1460.6</w:t>
                  </w:r>
                  <w:r>
                    <w:rPr>
                      <w:rFonts w:hint="eastAsia" w:ascii="仿宋" w:hAnsi="仿宋" w:eastAsia="仿宋" w:cs="仿宋"/>
                      <w:i w:val="0"/>
                      <w:color w:val="auto"/>
                      <w:sz w:val="21"/>
                      <w:szCs w:val="21"/>
                      <w:highlight w:val="none"/>
                      <w:u w:val="none"/>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         使用非财政拨款结余</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                结余分配</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24</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62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         年初结转和结余</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                年末结转和结余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25</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571" w:type="dxa"/>
                <w:trHeight w:val="448" w:hRule="atLeast"/>
              </w:trPr>
              <w:tc>
                <w:tcPr>
                  <w:tcW w:w="40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总计</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val="en-US" w:eastAsia="zh-CN"/>
                    </w:rPr>
                    <w:t>1460.6</w:t>
                  </w:r>
                  <w:r>
                    <w:rPr>
                      <w:rFonts w:hint="eastAsia" w:ascii="仿宋" w:hAnsi="仿宋" w:eastAsia="仿宋" w:cs="仿宋"/>
                      <w:i w:val="0"/>
                      <w:color w:val="auto"/>
                      <w:sz w:val="21"/>
                      <w:szCs w:val="21"/>
                      <w:highlight w:val="none"/>
                      <w:u w:val="none"/>
                      <w:lang w:eastAsia="zh-CN"/>
                    </w:rPr>
                    <w:t>0</w:t>
                  </w:r>
                </w:p>
              </w:tc>
              <w:tc>
                <w:tcPr>
                  <w:tcW w:w="4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bidi="ar"/>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val="0"/>
                      <w:i w:val="0"/>
                      <w:color w:val="auto"/>
                      <w:sz w:val="21"/>
                      <w:szCs w:val="21"/>
                      <w:highlight w:val="none"/>
                      <w:u w:val="none"/>
                    </w:rPr>
                  </w:pPr>
                  <w:r>
                    <w:rPr>
                      <w:rFonts w:hint="eastAsia" w:ascii="仿宋" w:hAnsi="仿宋" w:eastAsia="仿宋" w:cs="仿宋"/>
                      <w:b w:val="0"/>
                      <w:bCs w:val="0"/>
                      <w:i w:val="0"/>
                      <w:color w:val="auto"/>
                      <w:kern w:val="0"/>
                      <w:sz w:val="21"/>
                      <w:szCs w:val="21"/>
                      <w:highlight w:val="none"/>
                      <w:u w:val="none"/>
                      <w:lang w:val="en-US" w:eastAsia="zh-CN" w:bidi="ar"/>
                    </w:rPr>
                    <w:t>26</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仿宋" w:hAnsi="仿宋" w:eastAsia="仿宋" w:cs="仿宋"/>
                      <w:b w:val="0"/>
                      <w:bCs w:val="0"/>
                      <w:i w:val="0"/>
                      <w:color w:val="auto"/>
                      <w:sz w:val="21"/>
                      <w:szCs w:val="21"/>
                      <w:highlight w:val="none"/>
                      <w:u w:val="none"/>
                      <w:lang w:eastAsia="zh-CN"/>
                    </w:rPr>
                  </w:pPr>
                  <w:r>
                    <w:rPr>
                      <w:rFonts w:hint="eastAsia" w:ascii="仿宋" w:hAnsi="仿宋" w:eastAsia="仿宋" w:cs="仿宋"/>
                      <w:b w:val="0"/>
                      <w:bCs w:val="0"/>
                      <w:i w:val="0"/>
                      <w:color w:val="auto"/>
                      <w:sz w:val="21"/>
                      <w:szCs w:val="21"/>
                      <w:highlight w:val="none"/>
                      <w:u w:val="none"/>
                      <w:lang w:val="en-US" w:eastAsia="zh-CN"/>
                    </w:rPr>
                    <w:t>1460.6</w:t>
                  </w:r>
                  <w:r>
                    <w:rPr>
                      <w:rFonts w:hint="eastAsia" w:ascii="仿宋" w:hAnsi="仿宋" w:eastAsia="仿宋" w:cs="仿宋"/>
                      <w:b w:val="0"/>
                      <w:bCs w:val="0"/>
                      <w:i w:val="0"/>
                      <w:color w:val="auto"/>
                      <w:sz w:val="21"/>
                      <w:szCs w:val="21"/>
                      <w:highlight w:val="none"/>
                      <w:u w:val="none"/>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655" w:type="dxa"/>
                <w:trHeight w:val="2240" w:hRule="atLeast"/>
              </w:trPr>
              <w:tc>
                <w:tcPr>
                  <w:tcW w:w="15398"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注：1.本表反映部门本年度的总收支和年末结转结余情况。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    2.本套报表金额单位转换时可能存在尾数误差。</w:t>
                  </w:r>
                </w:p>
              </w:tc>
            </w:tr>
          </w:tbl>
          <w:p>
            <w:pPr>
              <w:jc w:val="center"/>
              <w:rPr>
                <w:rFonts w:hint="eastAsia" w:ascii="华文中宋" w:hAnsi="华文中宋" w:eastAsia="华文中宋"/>
                <w:color w:val="auto"/>
                <w:sz w:val="32"/>
                <w:szCs w:val="32"/>
                <w:highlight w:val="none"/>
              </w:rPr>
            </w:pPr>
          </w:p>
          <w:p>
            <w:pPr>
              <w:jc w:val="center"/>
              <w:rPr>
                <w:rFonts w:ascii="华文中宋" w:hAnsi="华文中宋" w:eastAsia="华文中宋" w:cs="宋体"/>
                <w:color w:val="auto"/>
                <w:sz w:val="32"/>
                <w:szCs w:val="32"/>
                <w:highlight w:val="none"/>
              </w:rPr>
            </w:pPr>
            <w:r>
              <w:rPr>
                <w:rFonts w:hint="eastAsia" w:ascii="华文中宋" w:hAnsi="华文中宋" w:eastAsia="华文中宋"/>
                <w:color w:val="auto"/>
                <w:sz w:val="32"/>
                <w:szCs w:val="32"/>
                <w:highlight w:val="none"/>
              </w:rPr>
              <w:t>收入决算表</w:t>
            </w:r>
          </w:p>
        </w:tc>
      </w:tr>
      <w:tr>
        <w:tblPrEx>
          <w:tblCellMar>
            <w:top w:w="0" w:type="dxa"/>
            <w:left w:w="0" w:type="dxa"/>
            <w:bottom w:w="0" w:type="dxa"/>
            <w:right w:w="0" w:type="dxa"/>
          </w:tblCellMar>
        </w:tblPrEx>
        <w:trPr>
          <w:trHeight w:val="285" w:hRule="atLeast"/>
        </w:trPr>
        <w:tc>
          <w:tcPr>
            <w:tcW w:w="277"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567"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604"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4"/>
                <w:szCs w:val="24"/>
                <w:highlight w:val="none"/>
              </w:rPr>
            </w:pPr>
            <w:r>
              <w:rPr>
                <w:rFonts w:hint="eastAsia"/>
                <w:color w:val="auto"/>
                <w:highlight w:val="none"/>
              </w:rPr>
              <w:t>　</w:t>
            </w:r>
          </w:p>
        </w:tc>
        <w:tc>
          <w:tcPr>
            <w:tcW w:w="256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ascii="宋体" w:hAnsi="宋体" w:eastAsia="宋体" w:cs="宋体"/>
                <w:color w:val="auto"/>
                <w:sz w:val="20"/>
                <w:szCs w:val="20"/>
                <w:highlight w:val="none"/>
              </w:rPr>
            </w:pPr>
            <w:r>
              <w:rPr>
                <w:rFonts w:hint="eastAsia"/>
                <w:color w:val="auto"/>
                <w:sz w:val="20"/>
                <w:szCs w:val="20"/>
                <w:highlight w:val="none"/>
              </w:rPr>
              <w:t>公开02表</w:t>
            </w:r>
          </w:p>
        </w:tc>
      </w:tr>
      <w:tr>
        <w:tblPrEx>
          <w:tblCellMar>
            <w:top w:w="0" w:type="dxa"/>
            <w:left w:w="0" w:type="dxa"/>
            <w:bottom w:w="0" w:type="dxa"/>
            <w:right w:w="0" w:type="dxa"/>
          </w:tblCellMar>
        </w:tblPrEx>
        <w:trPr>
          <w:trHeight w:val="285" w:hRule="atLeast"/>
        </w:trPr>
        <w:tc>
          <w:tcPr>
            <w:tcW w:w="8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部门：</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1604"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p>
        </w:tc>
        <w:tc>
          <w:tcPr>
            <w:tcW w:w="2565"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单位：万元</w:t>
            </w:r>
          </w:p>
        </w:tc>
      </w:tr>
      <w:tr>
        <w:tblPrEx>
          <w:tblCellMar>
            <w:top w:w="0" w:type="dxa"/>
            <w:left w:w="0" w:type="dxa"/>
            <w:bottom w:w="0" w:type="dxa"/>
            <w:right w:w="0" w:type="dxa"/>
          </w:tblCellMar>
        </w:tblPrEx>
        <w:trPr>
          <w:trHeight w:val="450" w:hRule="atLeast"/>
        </w:trPr>
        <w:tc>
          <w:tcPr>
            <w:tcW w:w="25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    目</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本年收入合计</w:t>
            </w:r>
          </w:p>
        </w:tc>
        <w:tc>
          <w:tcPr>
            <w:tcW w:w="160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财政拨款收入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事业收入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附属单位上缴收入</w:t>
            </w:r>
          </w:p>
        </w:tc>
        <w:tc>
          <w:tcPr>
            <w:tcW w:w="25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其他收入</w:t>
            </w:r>
          </w:p>
        </w:tc>
      </w:tr>
      <w:tr>
        <w:tblPrEx>
          <w:tblCellMar>
            <w:top w:w="0" w:type="dxa"/>
            <w:left w:w="0" w:type="dxa"/>
            <w:bottom w:w="0" w:type="dxa"/>
            <w:right w:w="0" w:type="dxa"/>
          </w:tblCellMar>
        </w:tblPrEx>
        <w:trPr>
          <w:trHeight w:val="450" w:hRule="atLeast"/>
        </w:trPr>
        <w:tc>
          <w:tcPr>
            <w:tcW w:w="84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功能分类科目编码</w:t>
            </w:r>
          </w:p>
        </w:tc>
        <w:tc>
          <w:tcPr>
            <w:tcW w:w="172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科目名称</w:t>
            </w: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6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2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7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6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c>
          <w:tcPr>
            <w:tcW w:w="25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25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栏次</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5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r>
      <w:tr>
        <w:tblPrEx>
          <w:tblCellMar>
            <w:top w:w="0" w:type="dxa"/>
            <w:left w:w="0" w:type="dxa"/>
            <w:bottom w:w="0" w:type="dxa"/>
            <w:right w:w="0" w:type="dxa"/>
          </w:tblCellMar>
        </w:tblPrEx>
        <w:trPr>
          <w:trHeight w:val="450" w:hRule="atLeast"/>
        </w:trPr>
        <w:tc>
          <w:tcPr>
            <w:tcW w:w="256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1460.60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1460.60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2013299</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其他组织事务支出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98.6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98.6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2060101</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行政运行</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500.79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500.79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2060199</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其他科学技术管理事务支出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95.91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95.91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2060404</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科技成果转化与扩散</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20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20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2060702</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科普活动</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15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15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2060799</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其他科学技术普及支出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　</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　</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2069999</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其他科学技术支出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622.12</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622.12</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2080505</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机关事业单位基本养老保险缴费支出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43.99</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43.99</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2080599</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其他行政事业单位养老支出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30</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2100410</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突发公共卫生事件应急处理</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2101101</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行政单位医疗</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p>
        </w:tc>
        <w:tc>
          <w:tcPr>
            <w:tcW w:w="16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宋体" w:hAnsi="宋体" w:eastAsia="宋体" w:cs="宋体"/>
                <w:color w:val="auto"/>
                <w:sz w:val="24"/>
                <w:szCs w:val="24"/>
                <w:highlight w:val="none"/>
              </w:rPr>
            </w:pPr>
            <w:r>
              <w:rPr>
                <w:rFonts w:hint="eastAsia"/>
                <w:color w:val="auto"/>
                <w:highlight w:val="none"/>
              </w:rPr>
              <w:t>注：本表反映部门本年度取得的各项收入情况。</w:t>
            </w:r>
          </w:p>
        </w:tc>
      </w:tr>
    </w:tbl>
    <w:p>
      <w:pPr>
        <w:widowControl/>
        <w:jc w:val="center"/>
        <w:rPr>
          <w:rFonts w:ascii="Times New Roman" w:hAnsi="Times New Roman" w:eastAsia="黑体" w:cs="Times New Roman"/>
          <w:bCs/>
          <w:color w:val="auto"/>
          <w:kern w:val="0"/>
          <w:sz w:val="32"/>
          <w:szCs w:val="32"/>
          <w:highlight w:val="none"/>
        </w:rPr>
      </w:pPr>
    </w:p>
    <w:p>
      <w:pPr>
        <w:widowControl/>
        <w:jc w:val="center"/>
        <w:rPr>
          <w:rFonts w:ascii="Times New Roman" w:hAnsi="Times New Roman" w:eastAsia="黑体" w:cs="Times New Roman"/>
          <w:bCs/>
          <w:color w:val="auto"/>
          <w:kern w:val="0"/>
          <w:sz w:val="32"/>
          <w:szCs w:val="32"/>
          <w:highlight w:val="none"/>
        </w:rPr>
      </w:pPr>
    </w:p>
    <w:tbl>
      <w:tblPr>
        <w:tblStyle w:val="6"/>
        <w:tblW w:w="15640" w:type="dxa"/>
        <w:tblInd w:w="93" w:type="dxa"/>
        <w:tblLayout w:type="fixed"/>
        <w:tblCellMar>
          <w:top w:w="0" w:type="dxa"/>
          <w:left w:w="108" w:type="dxa"/>
          <w:bottom w:w="0" w:type="dxa"/>
          <w:right w:w="108" w:type="dxa"/>
        </w:tblCellMar>
      </w:tblPr>
      <w:tblGrid>
        <w:gridCol w:w="1236"/>
        <w:gridCol w:w="263"/>
        <w:gridCol w:w="2096"/>
        <w:gridCol w:w="639"/>
        <w:gridCol w:w="165"/>
        <w:gridCol w:w="1125"/>
        <w:gridCol w:w="690"/>
        <w:gridCol w:w="1560"/>
        <w:gridCol w:w="746"/>
        <w:gridCol w:w="632"/>
        <w:gridCol w:w="167"/>
        <w:gridCol w:w="268"/>
        <w:gridCol w:w="1573"/>
        <w:gridCol w:w="49"/>
        <w:gridCol w:w="1345"/>
        <w:gridCol w:w="342"/>
        <w:gridCol w:w="1052"/>
        <w:gridCol w:w="1573"/>
        <w:gridCol w:w="119"/>
      </w:tblGrid>
      <w:tr>
        <w:tblPrEx>
          <w:tblCellMar>
            <w:top w:w="0" w:type="dxa"/>
            <w:left w:w="108" w:type="dxa"/>
            <w:bottom w:w="0" w:type="dxa"/>
            <w:right w:w="108" w:type="dxa"/>
          </w:tblCellMar>
        </w:tblPrEx>
        <w:trPr>
          <w:trHeight w:val="504" w:hRule="atLeast"/>
        </w:trPr>
        <w:tc>
          <w:tcPr>
            <w:tcW w:w="15640"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highlight w:val="none"/>
              </w:rPr>
            </w:pPr>
            <w:r>
              <w:rPr>
                <w:rFonts w:hint="eastAsia" w:ascii="华文中宋" w:hAnsi="华文中宋" w:eastAsia="华文中宋" w:cs="宋体"/>
                <w:color w:val="auto"/>
                <w:kern w:val="0"/>
                <w:sz w:val="32"/>
                <w:szCs w:val="32"/>
                <w:highlight w:val="none"/>
              </w:rPr>
              <w:t>支出决算表</w:t>
            </w:r>
          </w:p>
        </w:tc>
      </w:tr>
      <w:tr>
        <w:trPr>
          <w:trHeight w:val="403" w:hRule="atLeast"/>
        </w:trPr>
        <w:tc>
          <w:tcPr>
            <w:tcW w:w="1236"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63"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900"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815"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560"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545"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890"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687"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744"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部门：</w:t>
            </w:r>
          </w:p>
        </w:tc>
        <w:tc>
          <w:tcPr>
            <w:tcW w:w="263"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900"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815"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560"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545"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890"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687" w:type="dxa"/>
            <w:gridSpan w:val="2"/>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2744" w:type="dxa"/>
            <w:gridSpan w:val="3"/>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单位：万元</w:t>
            </w:r>
          </w:p>
        </w:tc>
      </w:tr>
      <w:tr>
        <w:trPr>
          <w:trHeight w:val="595" w:hRule="atLeast"/>
        </w:trPr>
        <w:tc>
          <w:tcPr>
            <w:tcW w:w="439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    目</w:t>
            </w:r>
          </w:p>
        </w:tc>
        <w:tc>
          <w:tcPr>
            <w:tcW w:w="181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本年支出合计</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基本支出</w:t>
            </w:r>
          </w:p>
        </w:tc>
        <w:tc>
          <w:tcPr>
            <w:tcW w:w="154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项目支出</w:t>
            </w:r>
          </w:p>
        </w:tc>
        <w:tc>
          <w:tcPr>
            <w:tcW w:w="189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上缴上级支出</w:t>
            </w:r>
          </w:p>
        </w:tc>
        <w:tc>
          <w:tcPr>
            <w:tcW w:w="168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功能分类科目编码</w:t>
            </w:r>
          </w:p>
        </w:tc>
        <w:tc>
          <w:tcPr>
            <w:tcW w:w="2900" w:type="dxa"/>
            <w:gridSpan w:val="3"/>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科目名称</w:t>
            </w:r>
          </w:p>
        </w:tc>
        <w:tc>
          <w:tcPr>
            <w:tcW w:w="181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545"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89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68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r>
      <w:tr>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2900" w:type="dxa"/>
            <w:gridSpan w:val="3"/>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81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545"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89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168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595" w:hRule="atLeast"/>
        </w:trPr>
        <w:tc>
          <w:tcPr>
            <w:tcW w:w="43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栏次</w:t>
            </w:r>
          </w:p>
        </w:tc>
        <w:tc>
          <w:tcPr>
            <w:tcW w:w="1815" w:type="dxa"/>
            <w:gridSpan w:val="2"/>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56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545"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89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1687" w:type="dxa"/>
            <w:gridSpan w:val="2"/>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w:t>
            </w:r>
          </w:p>
        </w:tc>
      </w:tr>
      <w:tr>
        <w:trPr>
          <w:trHeight w:val="595" w:hRule="atLeast"/>
        </w:trPr>
        <w:tc>
          <w:tcPr>
            <w:tcW w:w="43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合计</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　</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622.88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837.72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2013299</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其他组织事务支出</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98.6　</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98.6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2060101</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行政运行</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500.79</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428.79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72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2060199</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其他科学技术管理事务支出</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95.91　</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95.91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2060404</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科技成果转化与扩散</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　</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2060702</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科普活动</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2060799</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其他科学技术普及支出</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　</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　</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2069999</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其他科学技术支出</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622.12</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622.12</w:t>
            </w: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2080505</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机关事业单位基本养老保险缴费支出</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43.99</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43.99</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2080599</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其他行政事业单位养老支出</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r>
      <w:tr>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2100410</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突发公共卫生事件应急处理</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2101101</w:t>
            </w:r>
          </w:p>
        </w:tc>
        <w:tc>
          <w:tcPr>
            <w:tcW w:w="2900"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行政单位医疗</w:t>
            </w:r>
          </w:p>
        </w:tc>
        <w:tc>
          <w:tcPr>
            <w:tcW w:w="181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p>
        </w:tc>
        <w:tc>
          <w:tcPr>
            <w:tcW w:w="1545"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89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168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c>
          <w:tcPr>
            <w:tcW w:w="2744"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 w:hAnsi="仿宋" w:eastAsia="仿宋" w:cs="仿宋"/>
                <w:color w:val="auto"/>
                <w:kern w:val="0"/>
                <w:sz w:val="21"/>
                <w:szCs w:val="21"/>
                <w:highlight w:val="none"/>
              </w:rPr>
            </w:pPr>
          </w:p>
        </w:tc>
      </w:tr>
      <w:tr>
        <w:trPr>
          <w:trHeight w:val="828" w:hRule="atLeast"/>
        </w:trPr>
        <w:tc>
          <w:tcPr>
            <w:tcW w:w="15640" w:type="dxa"/>
            <w:gridSpan w:val="19"/>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注：本表反映部门本年度各项支出情况。</w:t>
            </w:r>
          </w:p>
        </w:tc>
      </w:tr>
      <w:tr>
        <w:tblPrEx>
          <w:tblCellMar>
            <w:top w:w="0" w:type="dxa"/>
            <w:left w:w="108" w:type="dxa"/>
            <w:bottom w:w="0" w:type="dxa"/>
            <w:right w:w="108" w:type="dxa"/>
          </w:tblCellMar>
        </w:tblPrEx>
        <w:trPr>
          <w:gridAfter w:val="1"/>
          <w:wAfter w:w="119" w:type="dxa"/>
          <w:trHeight w:val="360" w:hRule="atLeast"/>
        </w:trPr>
        <w:tc>
          <w:tcPr>
            <w:tcW w:w="15521" w:type="dxa"/>
            <w:gridSpan w:val="18"/>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auto"/>
                <w:kern w:val="0"/>
                <w:sz w:val="32"/>
                <w:szCs w:val="32"/>
                <w:highlight w:val="none"/>
              </w:rPr>
            </w:pPr>
            <w:bookmarkStart w:id="0" w:name="RANGE!A1:I22"/>
            <w:bookmarkEnd w:id="0"/>
            <w:bookmarkStart w:id="1" w:name="RANGE!A1:F16"/>
          </w:p>
          <w:p>
            <w:pPr>
              <w:widowControl/>
              <w:jc w:val="center"/>
              <w:rPr>
                <w:rFonts w:ascii="华文中宋" w:hAnsi="华文中宋" w:eastAsia="华文中宋" w:cs="宋体"/>
                <w:color w:val="auto"/>
                <w:kern w:val="0"/>
                <w:sz w:val="32"/>
                <w:szCs w:val="32"/>
                <w:highlight w:val="none"/>
              </w:rPr>
            </w:pPr>
            <w:r>
              <w:rPr>
                <w:rFonts w:hint="eastAsia" w:ascii="华文中宋" w:hAnsi="华文中宋" w:eastAsia="华文中宋" w:cs="宋体"/>
                <w:color w:val="auto"/>
                <w:kern w:val="0"/>
                <w:sz w:val="32"/>
                <w:szCs w:val="32"/>
                <w:highlight w:val="none"/>
              </w:rPr>
              <w:t>财政拨款收入支出决算总表</w:t>
            </w:r>
          </w:p>
        </w:tc>
      </w:tr>
      <w:tr>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3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62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公开04表</w:t>
            </w:r>
          </w:p>
        </w:tc>
      </w:tr>
      <w:tr>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部门：</w:t>
            </w:r>
          </w:p>
        </w:tc>
        <w:tc>
          <w:tcPr>
            <w:tcW w:w="639"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62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单位：万元</w:t>
            </w:r>
          </w:p>
        </w:tc>
      </w:tr>
      <w:tr>
        <w:trPr>
          <w:gridAfter w:val="1"/>
          <w:wAfter w:w="119" w:type="dxa"/>
          <w:trHeight w:val="402" w:hRule="atLeast"/>
        </w:trPr>
        <w:tc>
          <w:tcPr>
            <w:tcW w:w="552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收入</w:t>
            </w:r>
          </w:p>
        </w:tc>
        <w:tc>
          <w:tcPr>
            <w:tcW w:w="9997" w:type="dxa"/>
            <w:gridSpan w:val="12"/>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支出</w:t>
            </w:r>
          </w:p>
        </w:tc>
      </w:tr>
      <w:tr>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    目</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行次</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金额</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行次</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合计</w:t>
            </w:r>
          </w:p>
        </w:tc>
        <w:tc>
          <w:tcPr>
            <w:tcW w:w="139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国有资本经营预算财政拨款</w:t>
            </w: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栏    次</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一、一般公共预算财政拨款</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98.60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98.60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rPr>
          <w:gridAfter w:val="1"/>
          <w:wAfter w:w="119" w:type="dxa"/>
          <w:trHeight w:val="609"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二、政府性基金预算财政拨款</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三、国有资本经营预算财政拨款</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1263.82</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1263.82</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i w:val="0"/>
                <w:color w:val="auto"/>
                <w:sz w:val="21"/>
                <w:szCs w:val="21"/>
                <w:highlight w:val="none"/>
                <w:u w:val="none"/>
              </w:rPr>
              <w:t>七、文化旅游体育与传媒支出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i w:val="0"/>
                <w:color w:val="auto"/>
                <w:sz w:val="21"/>
                <w:szCs w:val="21"/>
                <w:highlight w:val="none"/>
                <w:u w:val="none"/>
              </w:rPr>
              <w:t>八、社会保障和就业支出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73.99</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73.99</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i w:val="0"/>
                <w:color w:val="auto"/>
                <w:sz w:val="21"/>
                <w:szCs w:val="21"/>
                <w:highlight w:val="none"/>
                <w:u w:val="none"/>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24.20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24.20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本年收入合计</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年初财政拨款结转和结余</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一般公共预算财政拨款</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政府性基金预算财政拨款</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p>
        </w:tc>
      </w:tr>
      <w:tr>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国有资本经营预算财政拨款</w:t>
            </w:r>
          </w:p>
        </w:tc>
        <w:tc>
          <w:tcPr>
            <w:tcW w:w="6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299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总计</w:t>
            </w:r>
          </w:p>
        </w:tc>
        <w:tc>
          <w:tcPr>
            <w:tcW w:w="63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p>
        </w:tc>
        <w:tc>
          <w:tcPr>
            <w:tcW w:w="129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　</w:t>
            </w:r>
          </w:p>
        </w:tc>
        <w:tc>
          <w:tcPr>
            <w:tcW w:w="2996"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w:t>
            </w:r>
          </w:p>
        </w:tc>
        <w:tc>
          <w:tcPr>
            <w:tcW w:w="1394" w:type="dxa"/>
            <w:gridSpan w:val="2"/>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1460.60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auto"/>
                <w:kern w:val="0"/>
                <w:sz w:val="21"/>
                <w:szCs w:val="21"/>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auto"/>
                <w:kern w:val="0"/>
                <w:sz w:val="21"/>
                <w:szCs w:val="21"/>
                <w:highlight w:val="none"/>
              </w:rPr>
            </w:pPr>
          </w:p>
        </w:tc>
      </w:tr>
      <w:tr>
        <w:trPr>
          <w:gridAfter w:val="1"/>
          <w:wAfter w:w="119" w:type="dxa"/>
          <w:trHeight w:val="585" w:hRule="atLeast"/>
        </w:trPr>
        <w:tc>
          <w:tcPr>
            <w:tcW w:w="15521" w:type="dxa"/>
            <w:gridSpan w:val="1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color w:val="auto"/>
          <w:kern w:val="0"/>
          <w:sz w:val="36"/>
          <w:szCs w:val="36"/>
          <w:highlight w:val="none"/>
        </w:rPr>
      </w:pPr>
    </w:p>
    <w:p>
      <w:pPr>
        <w:widowControl/>
        <w:jc w:val="center"/>
        <w:rPr>
          <w:rFonts w:ascii="Times New Roman" w:hAnsi="Times New Roman" w:eastAsia="方正小标宋_GBK" w:cs="Times New Roman"/>
          <w:color w:val="auto"/>
          <w:kern w:val="0"/>
          <w:sz w:val="36"/>
          <w:szCs w:val="36"/>
          <w:highlight w:val="none"/>
        </w:rPr>
      </w:pPr>
    </w:p>
    <w:p>
      <w:pPr>
        <w:widowControl/>
        <w:jc w:val="center"/>
        <w:rPr>
          <w:rFonts w:ascii="Times New Roman" w:hAnsi="Times New Roman" w:eastAsia="方正小标宋_GBK" w:cs="Times New Roman"/>
          <w:color w:val="auto"/>
          <w:kern w:val="0"/>
          <w:sz w:val="36"/>
          <w:szCs w:val="36"/>
          <w:highlight w:val="none"/>
        </w:rPr>
      </w:pPr>
    </w:p>
    <w:p>
      <w:pPr>
        <w:widowControl/>
        <w:jc w:val="center"/>
        <w:rPr>
          <w:rFonts w:ascii="Times New Roman" w:hAnsi="Times New Roman" w:eastAsia="方正小标宋_GBK" w:cs="Times New Roman"/>
          <w:color w:val="auto"/>
          <w:kern w:val="0"/>
          <w:sz w:val="36"/>
          <w:szCs w:val="36"/>
          <w:highlight w:val="none"/>
        </w:rPr>
      </w:pPr>
      <w:r>
        <w:rPr>
          <w:rFonts w:ascii="Times New Roman" w:hAnsi="Times New Roman" w:eastAsia="方正小标宋_GBK" w:cs="Times New Roman"/>
          <w:color w:val="auto"/>
          <w:kern w:val="0"/>
          <w:sz w:val="36"/>
          <w:szCs w:val="36"/>
          <w:highlight w:val="none"/>
        </w:rPr>
        <w:t>一般公共预算财政拨款支出决算表</w:t>
      </w:r>
      <w:bookmarkEnd w:id="1"/>
    </w:p>
    <w:p>
      <w:pPr>
        <w:widowControl/>
        <w:spacing w:before="156" w:beforeLines="50"/>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部门：                     </w:t>
      </w: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lang w:val="en-US" w:eastAsia="zh-CN"/>
        </w:rPr>
        <w:t xml:space="preserve">        </w:t>
      </w:r>
      <w:r>
        <w:rPr>
          <w:rFonts w:ascii="Times New Roman" w:hAnsi="Times New Roman" w:eastAsia="仿宋_GB2312" w:cs="Times New Roman"/>
          <w:color w:val="auto"/>
          <w:kern w:val="0"/>
          <w:szCs w:val="21"/>
          <w:highlight w:val="none"/>
        </w:rPr>
        <w:t xml:space="preserve">    公开05表</w:t>
      </w:r>
    </w:p>
    <w:p>
      <w:pPr>
        <w:widowControl/>
        <w:jc w:val="left"/>
        <w:rPr>
          <w:rFonts w:ascii="Times New Roman" w:hAnsi="Times New Roman" w:eastAsia="宋体" w:cs="Times New Roman"/>
          <w:color w:val="auto"/>
          <w:kern w:val="0"/>
          <w:sz w:val="20"/>
          <w:szCs w:val="20"/>
          <w:highlight w:val="none"/>
        </w:rPr>
      </w:pP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1460.60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622.88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837.72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2013299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其他组织事务支出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98.6</w:t>
            </w:r>
            <w:r>
              <w:rPr>
                <w:rFonts w:hint="default" w:asciiTheme="minorEastAsia" w:hAnsiTheme="minorEastAsia" w:cstheme="minorEastAsia"/>
                <w:color w:val="auto"/>
                <w:kern w:val="0"/>
                <w:sz w:val="21"/>
                <w:szCs w:val="21"/>
                <w:highlight w:val="none"/>
              </w:rPr>
              <w:t>0</w:t>
            </w:r>
            <w:r>
              <w:rPr>
                <w:rFonts w:hint="eastAsia" w:asciiTheme="minorEastAsia" w:hAnsiTheme="minorEastAsia" w:eastAsiaTheme="minorEastAsia" w:cstheme="minorEastAsia"/>
                <w:color w:val="auto"/>
                <w:kern w:val="0"/>
                <w:sz w:val="21"/>
                <w:szCs w:val="21"/>
                <w:highlight w:val="none"/>
              </w:rPr>
              <w:t>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98.6</w:t>
            </w:r>
            <w:r>
              <w:rPr>
                <w:rFonts w:hint="default" w:asciiTheme="minorEastAsia" w:hAnsiTheme="minorEastAsia" w:cstheme="minorEastAsia"/>
                <w:color w:val="auto"/>
                <w:kern w:val="0"/>
                <w:sz w:val="21"/>
                <w:szCs w:val="21"/>
                <w:highlight w:val="none"/>
              </w:rPr>
              <w:t>0</w:t>
            </w:r>
            <w:r>
              <w:rPr>
                <w:rFonts w:hint="eastAsia" w:asciiTheme="minorEastAsia" w:hAnsiTheme="minorEastAsia" w:eastAsiaTheme="minorEastAsia" w:cstheme="minorEastAsia"/>
                <w:color w:val="auto"/>
                <w:kern w:val="0"/>
                <w:sz w:val="21"/>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2060101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500.79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428.79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72</w:t>
            </w:r>
            <w:r>
              <w:rPr>
                <w:rFonts w:hint="default" w:asciiTheme="minorEastAsia" w:hAnsiTheme="minorEastAsia" w:cstheme="minorEastAsia"/>
                <w:color w:val="auto"/>
                <w:kern w:val="0"/>
                <w:sz w:val="21"/>
                <w:szCs w:val="21"/>
                <w:highlight w:val="none"/>
              </w:rPr>
              <w:t>.00</w:t>
            </w:r>
            <w:r>
              <w:rPr>
                <w:rFonts w:hint="eastAsia" w:asciiTheme="minorEastAsia" w:hAnsiTheme="minorEastAsia" w:eastAsiaTheme="minorEastAsia" w:cstheme="minorEastAsia"/>
                <w:color w:val="auto"/>
                <w:kern w:val="0"/>
                <w:sz w:val="21"/>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2060199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其他科学技术管理事务支出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95.91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95.91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2060404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科技成果转化与扩散</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20</w:t>
            </w:r>
            <w:r>
              <w:rPr>
                <w:rFonts w:hint="default" w:asciiTheme="minorEastAsia" w:hAnsiTheme="minorEastAsia" w:cstheme="minorEastAsia"/>
                <w:color w:val="auto"/>
                <w:kern w:val="0"/>
                <w:sz w:val="21"/>
                <w:szCs w:val="21"/>
                <w:highlight w:val="none"/>
              </w:rPr>
              <w:t>.00</w:t>
            </w:r>
            <w:r>
              <w:rPr>
                <w:rFonts w:hint="eastAsia" w:asciiTheme="minorEastAsia" w:hAnsiTheme="minorEastAsia" w:eastAsiaTheme="minorEastAsia" w:cstheme="minorEastAsia"/>
                <w:color w:val="auto"/>
                <w:kern w:val="0"/>
                <w:sz w:val="21"/>
                <w:szCs w:val="21"/>
                <w:highlight w:val="none"/>
              </w:rPr>
              <w:t>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20</w:t>
            </w:r>
            <w:r>
              <w:rPr>
                <w:rFonts w:hint="default" w:asciiTheme="minorEastAsia" w:hAnsiTheme="minorEastAsia" w:cstheme="minorEastAsia"/>
                <w:color w:val="auto"/>
                <w:kern w:val="0"/>
                <w:sz w:val="21"/>
                <w:szCs w:val="21"/>
                <w:highlight w:val="none"/>
              </w:rPr>
              <w:t>.00.</w:t>
            </w:r>
            <w:r>
              <w:rPr>
                <w:rFonts w:hint="eastAsia" w:asciiTheme="minorEastAsia" w:hAnsiTheme="minorEastAsia" w:eastAsiaTheme="minorEastAsia" w:cstheme="minorEastAsia"/>
                <w:color w:val="auto"/>
                <w:kern w:val="0"/>
                <w:sz w:val="21"/>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2060702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科普活动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15</w:t>
            </w:r>
            <w:r>
              <w:rPr>
                <w:rFonts w:hint="default" w:asciiTheme="minorEastAsia" w:hAnsiTheme="minorEastAsia" w:cstheme="minorEastAsia"/>
                <w:color w:val="auto"/>
                <w:kern w:val="0"/>
                <w:sz w:val="21"/>
                <w:szCs w:val="21"/>
                <w:highlight w:val="none"/>
              </w:rPr>
              <w:t>.00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15</w:t>
            </w:r>
            <w:r>
              <w:rPr>
                <w:rFonts w:hint="default" w:asciiTheme="minorEastAsia" w:hAnsiTheme="minorEastAsia" w:cstheme="minorEastAsia"/>
                <w:color w:val="auto"/>
                <w:kern w:val="0"/>
                <w:sz w:val="21"/>
                <w:szCs w:val="21"/>
                <w:highlight w:val="none"/>
              </w:rPr>
              <w:t>.00</w:t>
            </w:r>
            <w:r>
              <w:rPr>
                <w:rFonts w:hint="eastAsia" w:asciiTheme="minorEastAsia" w:hAnsiTheme="minorEastAsia" w:eastAsiaTheme="minorEastAsia" w:cstheme="minorEastAsia"/>
                <w:color w:val="auto"/>
                <w:kern w:val="0"/>
                <w:sz w:val="21"/>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2060799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其他科学技术普及支出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10</w:t>
            </w:r>
            <w:r>
              <w:rPr>
                <w:rFonts w:hint="default" w:asciiTheme="minorEastAsia" w:hAnsiTheme="minorEastAsia" w:cstheme="minorEastAsia"/>
                <w:color w:val="auto"/>
                <w:kern w:val="0"/>
                <w:sz w:val="21"/>
                <w:szCs w:val="21"/>
                <w:highlight w:val="none"/>
              </w:rPr>
              <w:t>.00</w:t>
            </w:r>
            <w:r>
              <w:rPr>
                <w:rFonts w:hint="eastAsia" w:asciiTheme="minorEastAsia" w:hAnsiTheme="minorEastAsia" w:eastAsiaTheme="minorEastAsia" w:cstheme="minorEastAsia"/>
                <w:color w:val="auto"/>
                <w:kern w:val="0"/>
                <w:sz w:val="21"/>
                <w:szCs w:val="21"/>
                <w:highlight w:val="none"/>
              </w:rPr>
              <w:t>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10</w:t>
            </w:r>
            <w:r>
              <w:rPr>
                <w:rFonts w:hint="default" w:asciiTheme="minorEastAsia" w:hAnsiTheme="minorEastAsia" w:cstheme="minorEastAsia"/>
                <w:color w:val="auto"/>
                <w:kern w:val="0"/>
                <w:sz w:val="21"/>
                <w:szCs w:val="21"/>
                <w:highlight w:val="none"/>
              </w:rPr>
              <w:t>.00</w:t>
            </w:r>
            <w:r>
              <w:rPr>
                <w:rFonts w:hint="eastAsia" w:asciiTheme="minorEastAsia" w:hAnsiTheme="minorEastAsia" w:eastAsiaTheme="minorEastAsia" w:cstheme="minorEastAsia"/>
                <w:color w:val="auto"/>
                <w:kern w:val="0"/>
                <w:sz w:val="21"/>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2069999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622.12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2080505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43.99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43.99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2080599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其他行政事业单位养老支出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30</w:t>
            </w:r>
            <w:r>
              <w:rPr>
                <w:rFonts w:hint="default" w:asciiTheme="minorEastAsia" w:hAnsiTheme="minorEastAsia" w:cstheme="minorEastAsia"/>
                <w:color w:val="auto"/>
                <w:kern w:val="0"/>
                <w:sz w:val="21"/>
                <w:szCs w:val="21"/>
                <w:highlight w:val="none"/>
              </w:rPr>
              <w:t>.00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30</w:t>
            </w:r>
            <w:r>
              <w:rPr>
                <w:rFonts w:hint="default" w:asciiTheme="minorEastAsia" w:hAnsiTheme="minorEastAsia" w:cstheme="minorEastAsia"/>
                <w:color w:val="auto"/>
                <w:kern w:val="0"/>
                <w:sz w:val="21"/>
                <w:szCs w:val="21"/>
                <w:highlight w:val="none"/>
              </w:rPr>
              <w:t>.00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2100410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突发公共卫生事件应急处理</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2.2</w:t>
            </w:r>
            <w:r>
              <w:rPr>
                <w:rFonts w:hint="default" w:asciiTheme="minorEastAsia" w:hAnsiTheme="minorEastAsia" w:cstheme="minorEastAsia"/>
                <w:color w:val="auto"/>
                <w:kern w:val="0"/>
                <w:sz w:val="21"/>
                <w:szCs w:val="21"/>
                <w:highlight w:val="none"/>
              </w:rPr>
              <w:t>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kern w:val="0"/>
                <w:sz w:val="21"/>
                <w:szCs w:val="21"/>
                <w:highlight w:val="none"/>
              </w:rPr>
              <w:t>2.2</w:t>
            </w:r>
            <w:r>
              <w:rPr>
                <w:rFonts w:hint="default" w:asciiTheme="minorEastAsia" w:hAnsiTheme="minorEastAsia" w:cstheme="minorEastAsia"/>
                <w:color w:val="auto"/>
                <w:kern w:val="0"/>
                <w:sz w:val="21"/>
                <w:szCs w:val="21"/>
                <w:highlight w:val="none"/>
              </w:rPr>
              <w:t>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ascii="Times New Roman" w:hAnsi="Times New Roman" w:eastAsia="仿宋_GB2312" w:cs="Times New Roman"/>
                <w:color w:val="auto"/>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2101101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行政单位医疗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w:t>
            </w:r>
            <w:r>
              <w:rPr>
                <w:rFonts w:hint="default" w:asciiTheme="minorEastAsia" w:hAnsiTheme="minorEastAsia" w:cstheme="minorEastAsia"/>
                <w:color w:val="auto"/>
                <w:kern w:val="0"/>
                <w:szCs w:val="21"/>
                <w:highlight w:val="none"/>
              </w:rPr>
              <w:t>.00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w:t>
            </w:r>
            <w:r>
              <w:rPr>
                <w:rFonts w:hint="default" w:asciiTheme="minorEastAsia" w:hAnsiTheme="minorEastAsia" w:cstheme="minorEastAsia"/>
                <w:color w:val="auto"/>
                <w:kern w:val="0"/>
                <w:szCs w:val="21"/>
                <w:highlight w:val="none"/>
              </w:rPr>
              <w:t>.00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注：本表反映部门本年度一般公共预算财政拨款支出情况。</w:t>
            </w:r>
          </w:p>
        </w:tc>
      </w:tr>
    </w:tbl>
    <w:p>
      <w:pPr>
        <w:widowControl/>
        <w:jc w:val="left"/>
        <w:rPr>
          <w:rFonts w:ascii="Times New Roman" w:hAnsi="Times New Roman" w:eastAsia="仿宋_GB2312" w:cs="Times New Roman"/>
          <w:bCs/>
          <w:color w:val="auto"/>
          <w:kern w:val="0"/>
          <w:szCs w:val="21"/>
          <w:highlight w:val="none"/>
        </w:rPr>
      </w:pPr>
    </w:p>
    <w:p>
      <w:pPr>
        <w:widowControl/>
        <w:jc w:val="left"/>
        <w:rPr>
          <w:rFonts w:ascii="Times New Roman" w:hAnsi="Times New Roman" w:eastAsia="仿宋_GB2312" w:cs="Times New Roman"/>
          <w:bCs/>
          <w:color w:val="auto"/>
          <w:kern w:val="0"/>
          <w:szCs w:val="21"/>
          <w:highlight w:val="none"/>
        </w:rPr>
      </w:pPr>
    </w:p>
    <w:p>
      <w:pPr>
        <w:widowControl/>
        <w:jc w:val="left"/>
        <w:rPr>
          <w:rFonts w:ascii="Times New Roman" w:hAnsi="Times New Roman" w:eastAsia="仿宋_GB2312" w:cs="Times New Roman"/>
          <w:bCs/>
          <w:color w:val="auto"/>
          <w:kern w:val="0"/>
          <w:szCs w:val="21"/>
          <w:highlight w:val="none"/>
        </w:rPr>
      </w:pPr>
    </w:p>
    <w:tbl>
      <w:tblPr>
        <w:tblStyle w:val="6"/>
        <w:tblW w:w="15937" w:type="dxa"/>
        <w:tblInd w:w="0" w:type="dxa"/>
        <w:tblLayout w:type="fixed"/>
        <w:tblCellMar>
          <w:top w:w="0" w:type="dxa"/>
          <w:left w:w="108" w:type="dxa"/>
          <w:bottom w:w="0" w:type="dxa"/>
          <w:right w:w="108" w:type="dxa"/>
        </w:tblCellMar>
      </w:tblPr>
      <w:tblGrid>
        <w:gridCol w:w="993"/>
        <w:gridCol w:w="240"/>
        <w:gridCol w:w="94"/>
        <w:gridCol w:w="1293"/>
        <w:gridCol w:w="2035"/>
        <w:gridCol w:w="75"/>
        <w:gridCol w:w="842"/>
        <w:gridCol w:w="1105"/>
        <w:gridCol w:w="306"/>
        <w:gridCol w:w="1982"/>
        <w:gridCol w:w="112"/>
        <w:gridCol w:w="800"/>
        <w:gridCol w:w="1185"/>
        <w:gridCol w:w="111"/>
        <w:gridCol w:w="2094"/>
        <w:gridCol w:w="1704"/>
        <w:gridCol w:w="391"/>
        <w:gridCol w:w="575"/>
      </w:tblGrid>
      <w:tr>
        <w:tblPrEx>
          <w:tblCellMar>
            <w:top w:w="0" w:type="dxa"/>
            <w:left w:w="108" w:type="dxa"/>
            <w:bottom w:w="0" w:type="dxa"/>
            <w:right w:w="108" w:type="dxa"/>
          </w:tblCellMar>
        </w:tblPrEx>
        <w:trPr>
          <w:trHeight w:val="113" w:hRule="atLeast"/>
        </w:trPr>
        <w:tc>
          <w:tcPr>
            <w:tcW w:w="15937" w:type="dxa"/>
            <w:gridSpan w:val="18"/>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auto"/>
                <w:kern w:val="0"/>
                <w:sz w:val="32"/>
                <w:szCs w:val="32"/>
                <w:highlight w:val="none"/>
              </w:rPr>
            </w:pPr>
            <w:bookmarkStart w:id="2" w:name="RANGE!A1:I34"/>
          </w:p>
          <w:p>
            <w:pPr>
              <w:widowControl/>
              <w:jc w:val="center"/>
              <w:rPr>
                <w:rFonts w:ascii="华文中宋" w:hAnsi="华文中宋" w:eastAsia="华文中宋" w:cs="宋体"/>
                <w:color w:val="auto"/>
                <w:kern w:val="0"/>
                <w:sz w:val="32"/>
                <w:szCs w:val="32"/>
                <w:highlight w:val="none"/>
              </w:rPr>
            </w:pPr>
            <w:r>
              <w:rPr>
                <w:rFonts w:hint="eastAsia" w:ascii="华文中宋" w:hAnsi="华文中宋" w:eastAsia="华文中宋" w:cs="宋体"/>
                <w:color w:val="auto"/>
                <w:kern w:val="0"/>
                <w:sz w:val="32"/>
                <w:szCs w:val="32"/>
                <w:highlight w:val="none"/>
              </w:rPr>
              <w:t>一般公共预算财政拨款基本支出决算明细表</w:t>
            </w:r>
            <w:bookmarkEnd w:id="2"/>
          </w:p>
          <w:p>
            <w:pPr>
              <w:widowControl/>
              <w:wordWrap w:val="0"/>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部门： </w:t>
            </w: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rPr>
              <w:t>公开06表</w:t>
            </w:r>
          </w:p>
          <w:p>
            <w:pPr>
              <w:widowControl/>
              <w:jc w:val="right"/>
              <w:rPr>
                <w:rFonts w:ascii="华文中宋" w:hAnsi="华文中宋" w:eastAsia="华文中宋" w:cs="宋体"/>
                <w:color w:val="auto"/>
                <w:kern w:val="0"/>
                <w:szCs w:val="32"/>
                <w:highlight w:val="none"/>
              </w:rPr>
            </w:pPr>
            <w:r>
              <w:rPr>
                <w:rFonts w:hint="eastAsia" w:ascii="Times New Roman" w:hAnsi="Times New Roman" w:eastAsia="仿宋_GB2312" w:cs="Times New Roman"/>
                <w:color w:val="auto"/>
                <w:kern w:val="0"/>
                <w:szCs w:val="21"/>
                <w:highlight w:val="none"/>
              </w:rPr>
              <w:t>单位：万元</w:t>
            </w:r>
          </w:p>
        </w:tc>
      </w:tr>
      <w:tr>
        <w:trPr>
          <w:trHeight w:val="113" w:hRule="atLeast"/>
        </w:trPr>
        <w:tc>
          <w:tcPr>
            <w:tcW w:w="13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经济分类科目编码</w:t>
            </w:r>
          </w:p>
        </w:tc>
        <w:tc>
          <w:tcPr>
            <w:tcW w:w="33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科目名称</w:t>
            </w:r>
          </w:p>
        </w:tc>
        <w:tc>
          <w:tcPr>
            <w:tcW w:w="9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决算数</w:t>
            </w:r>
          </w:p>
        </w:tc>
        <w:tc>
          <w:tcPr>
            <w:tcW w:w="11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经济分类科目编码</w:t>
            </w:r>
          </w:p>
        </w:tc>
        <w:tc>
          <w:tcPr>
            <w:tcW w:w="22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科目名称</w:t>
            </w:r>
          </w:p>
        </w:tc>
        <w:tc>
          <w:tcPr>
            <w:tcW w:w="9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经济分类科目编码</w:t>
            </w:r>
          </w:p>
        </w:tc>
        <w:tc>
          <w:tcPr>
            <w:tcW w:w="390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科目名称</w:t>
            </w:r>
          </w:p>
        </w:tc>
        <w:tc>
          <w:tcPr>
            <w:tcW w:w="9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决算数</w:t>
            </w: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工资福利支出</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eastAsia="zh-CN" w:bidi="ar"/>
              </w:rPr>
              <w:t>536.</w:t>
            </w:r>
            <w:r>
              <w:rPr>
                <w:rFonts w:hint="eastAsia" w:ascii="仿宋" w:hAnsi="仿宋" w:eastAsia="仿宋" w:cs="仿宋"/>
                <w:i w:val="0"/>
                <w:color w:val="auto"/>
                <w:kern w:val="0"/>
                <w:sz w:val="21"/>
                <w:szCs w:val="21"/>
                <w:highlight w:val="none"/>
                <w:u w:val="none"/>
                <w:lang w:val="en-US" w:eastAsia="zh-CN" w:bidi="ar"/>
              </w:rPr>
              <w:t>19</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商品和服务支出</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49.80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307</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债务利息及费用支出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30101</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基本工资</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168.52</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30201</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办公费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30701</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国内债务付息</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30102</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津贴补贴</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110.32</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30202</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印刷费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30702</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国外债务付息</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30103</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奖金</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105.79</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30203</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咨询费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资本性支出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30106</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伙食补助费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30204</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手续费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31001</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房屋建筑物购建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30107</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绩效工资</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70.83</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30205</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水费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31002</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办公设备购置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30108</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机关事业单位基本养老保险缴费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43.99</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30206</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31003</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专用设备购置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30109</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职业年金缴费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30207</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邮电费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31005</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基础设施建设</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30110</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职工基本医疗保险缴费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22.00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30208</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取暖费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31006</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大型修缮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4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30111</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公务员医疗补助缴费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30209</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物业管理费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31007</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信息网络及软件购置更新</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30112</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其他社会保障缴费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5.24</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30211</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差旅费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31008</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物资储备</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30113</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住房公积金</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30212</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因公出国（境）费用</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31009</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土地补偿</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30114</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医疗费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30213</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维修（护）费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1.17</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31010</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安置补助</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30199</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其他工资福利支出</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9.50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30214</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租赁费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31011</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地上附着物和青苗补偿</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对个人和家庭的补助</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36.89</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30215</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会议费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31012</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拆迁补偿</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30301</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离休费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30216</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培训费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31013</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公务用车购置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30302</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退休费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30217</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公务接待费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2.36</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31019</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其他交通工具购置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59"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30303</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退职（役）费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30218</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专用材料费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31021</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文物和陈列品购置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30304</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抚恤金</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1.92</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30224</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被装购置费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31022</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无形资产购置</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30305</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生活补助</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30.00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30225</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专用燃料费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31099</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其他资本性支出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30306</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救济费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30226</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劳务费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399</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其他支出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30307</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医疗费补助</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30227</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委托业务费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39906</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赠与</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30308</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助学金</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30228</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工会经费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39907</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国家赔偿费用支出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30309</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奖励金</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1.70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30229</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福利费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39908</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对民间非营利组织和群众性自治组织补贴</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30310</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个人农业生产补贴</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30231</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公务用车运行维护费</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6.25</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39999</w:t>
            </w: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其他支出</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30311</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代缴社会保险费</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30239</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其他交通费用</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24.71</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30399</w:t>
            </w: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其他对个人和家庭的补助</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3.27</w:t>
            </w: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30240</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税金及附加费用</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rPr>
          <w:trHeight w:val="284" w:hRule="exact"/>
        </w:trPr>
        <w:tc>
          <w:tcPr>
            <w:tcW w:w="1327"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332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110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30299</w:t>
            </w:r>
          </w:p>
        </w:tc>
        <w:tc>
          <w:tcPr>
            <w:tcW w:w="22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其他商品和服务支出</w:t>
            </w:r>
          </w:p>
        </w:tc>
        <w:tc>
          <w:tcPr>
            <w:tcW w:w="9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5.31</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390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284" w:hRule="exact"/>
        </w:trPr>
        <w:tc>
          <w:tcPr>
            <w:tcW w:w="46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人员经费合计</w:t>
            </w:r>
          </w:p>
        </w:tc>
        <w:tc>
          <w:tcPr>
            <w:tcW w:w="917"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color w:val="auto"/>
                <w:kern w:val="0"/>
                <w:sz w:val="21"/>
                <w:szCs w:val="21"/>
                <w:highlight w:val="none"/>
                <w:u w:val="none"/>
                <w:lang w:val="en-US" w:eastAsia="zh-CN" w:bidi="ar"/>
              </w:rPr>
              <w:t>573.08</w:t>
            </w:r>
          </w:p>
        </w:tc>
        <w:tc>
          <w:tcPr>
            <w:tcW w:w="9399" w:type="dxa"/>
            <w:gridSpan w:val="9"/>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公用经费合计</w:t>
            </w:r>
          </w:p>
        </w:tc>
        <w:tc>
          <w:tcPr>
            <w:tcW w:w="96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49.80</w:t>
            </w:r>
          </w:p>
        </w:tc>
      </w:tr>
      <w:tr>
        <w:trPr>
          <w:trHeight w:val="284" w:hRule="exact"/>
        </w:trPr>
        <w:tc>
          <w:tcPr>
            <w:tcW w:w="15937"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690" w:hRule="atLeast"/>
        </w:trPr>
        <w:tc>
          <w:tcPr>
            <w:tcW w:w="1536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auto"/>
                <w:kern w:val="0"/>
                <w:sz w:val="32"/>
                <w:szCs w:val="32"/>
                <w:highlight w:val="none"/>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i w:val="0"/>
                <w:color w:val="auto"/>
                <w:kern w:val="0"/>
                <w:sz w:val="32"/>
                <w:szCs w:val="32"/>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auto"/>
                <w:sz w:val="32"/>
                <w:szCs w:val="32"/>
                <w:highlight w:val="none"/>
                <w:u w:val="none"/>
              </w:rPr>
            </w:pPr>
            <w:r>
              <w:rPr>
                <w:rFonts w:hint="eastAsia" w:ascii="华文中宋" w:hAnsi="华文中宋" w:eastAsia="华文中宋" w:cs="华文中宋"/>
                <w:i w:val="0"/>
                <w:color w:val="auto"/>
                <w:kern w:val="0"/>
                <w:sz w:val="32"/>
                <w:szCs w:val="32"/>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345" w:hRule="atLeast"/>
        </w:trPr>
        <w:tc>
          <w:tcPr>
            <w:tcW w:w="993"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1387"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2110" w:type="dxa"/>
            <w:gridSpan w:val="2"/>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253" w:type="dxa"/>
            <w:gridSpan w:val="3"/>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4" w:type="dxa"/>
            <w:gridSpan w:val="2"/>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6" w:type="dxa"/>
            <w:gridSpan w:val="3"/>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4"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690" w:hRule="atLeast"/>
        </w:trPr>
        <w:tc>
          <w:tcPr>
            <w:tcW w:w="99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1387"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2110" w:type="dxa"/>
            <w:gridSpan w:val="2"/>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253" w:type="dxa"/>
            <w:gridSpan w:val="3"/>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4" w:type="dxa"/>
            <w:gridSpan w:val="2"/>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6" w:type="dxa"/>
            <w:gridSpan w:val="3"/>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4"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209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459" w:hRule="atLeast"/>
        </w:trPr>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项 </w:t>
            </w:r>
            <w:r>
              <w:rPr>
                <w:rStyle w:val="13"/>
                <w:rFonts w:hint="eastAsia" w:ascii="仿宋" w:hAnsi="仿宋" w:eastAsia="仿宋" w:cs="仿宋"/>
                <w:color w:val="auto"/>
                <w:sz w:val="21"/>
                <w:szCs w:val="21"/>
                <w:highlight w:val="none"/>
                <w:lang w:val="en-US" w:eastAsia="zh-CN" w:bidi="ar"/>
              </w:rPr>
              <w:t xml:space="preserve">   </w:t>
            </w:r>
            <w:r>
              <w:rPr>
                <w:rStyle w:val="14"/>
                <w:rFonts w:hint="eastAsia" w:ascii="仿宋" w:hAnsi="仿宋" w:eastAsia="仿宋" w:cs="仿宋"/>
                <w:color w:val="auto"/>
                <w:sz w:val="21"/>
                <w:szCs w:val="21"/>
                <w:highlight w:val="none"/>
                <w:lang w:val="en-US" w:eastAsia="zh-CN" w:bidi="ar"/>
              </w:rPr>
              <w:t>目</w:t>
            </w:r>
          </w:p>
        </w:tc>
        <w:tc>
          <w:tcPr>
            <w:tcW w:w="2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年初结转和结余</w:t>
            </w:r>
          </w:p>
        </w:tc>
        <w:tc>
          <w:tcPr>
            <w:tcW w:w="22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本年收入</w:t>
            </w:r>
          </w:p>
        </w:tc>
        <w:tc>
          <w:tcPr>
            <w:tcW w:w="6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本年支出</w:t>
            </w:r>
          </w:p>
        </w:tc>
        <w:tc>
          <w:tcPr>
            <w:tcW w:w="2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609" w:hRule="atLeast"/>
        </w:trPr>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科目代码</w:t>
            </w:r>
          </w:p>
        </w:tc>
        <w:tc>
          <w:tcPr>
            <w:tcW w:w="1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科目名称</w:t>
            </w:r>
          </w:p>
        </w:tc>
        <w:tc>
          <w:tcPr>
            <w:tcW w:w="2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小计</w:t>
            </w:r>
          </w:p>
        </w:tc>
        <w:tc>
          <w:tcPr>
            <w:tcW w:w="20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基本支出  </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项目支出</w:t>
            </w:r>
          </w:p>
        </w:tc>
        <w:tc>
          <w:tcPr>
            <w:tcW w:w="2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409"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509"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509" w:hRule="atLeast"/>
        </w:trPr>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栏次</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509" w:hRule="atLeast"/>
        </w:trPr>
        <w:tc>
          <w:tcPr>
            <w:tcW w:w="2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合计</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509"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509"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509"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509"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509"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5" w:type="dxa"/>
          <w:trHeight w:val="509"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5" w:type="dxa"/>
          <w:trHeight w:val="725" w:hRule="atLeast"/>
        </w:trPr>
        <w:tc>
          <w:tcPr>
            <w:tcW w:w="1536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auto"/>
          <w:kern w:val="0"/>
          <w:sz w:val="36"/>
          <w:szCs w:val="36"/>
          <w:highlight w:val="none"/>
        </w:rPr>
      </w:pPr>
    </w:p>
    <w:p>
      <w:pPr>
        <w:widowControl/>
        <w:jc w:val="center"/>
        <w:rPr>
          <w:rFonts w:hint="eastAsia" w:ascii="Times New Roman" w:hAnsi="Times New Roman" w:eastAsia="方正小标宋_GBK" w:cs="Times New Roman"/>
          <w:color w:val="auto"/>
          <w:kern w:val="0"/>
          <w:sz w:val="36"/>
          <w:szCs w:val="36"/>
          <w:highlight w:val="none"/>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auto"/>
                <w:sz w:val="32"/>
                <w:szCs w:val="32"/>
                <w:highlight w:val="none"/>
                <w:u w:val="none"/>
              </w:rPr>
            </w:pPr>
            <w:r>
              <w:rPr>
                <w:rFonts w:hint="eastAsia" w:ascii="华文中宋" w:hAnsi="华文中宋" w:eastAsia="华文中宋" w:cs="华文中宋"/>
                <w:i w:val="0"/>
                <w:color w:val="auto"/>
                <w:kern w:val="0"/>
                <w:sz w:val="32"/>
                <w:szCs w:val="32"/>
                <w:highlight w:val="none"/>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auto"/>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项    </w:t>
            </w:r>
            <w:r>
              <w:rPr>
                <w:rStyle w:val="15"/>
                <w:rFonts w:hint="eastAsia" w:ascii="仿宋" w:hAnsi="仿宋" w:eastAsia="仿宋" w:cs="仿宋"/>
                <w:color w:val="auto"/>
                <w:sz w:val="21"/>
                <w:szCs w:val="21"/>
                <w:highlight w:val="none"/>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32"/>
                <w:szCs w:val="32"/>
                <w:highlight w:val="none"/>
                <w:u w:val="none"/>
                <w:lang w:val="en-US" w:eastAsia="zh-CN" w:bidi="ar"/>
              </w:rPr>
              <w:t>说明：我单位没有使用国有资本经营预算安排的支出，故本表无数据</w:t>
            </w:r>
            <w:r>
              <w:rPr>
                <w:rFonts w:hint="eastAsia" w:ascii="仿宋_GB2312" w:hAnsi="仿宋_GB2312" w:eastAsia="仿宋_GB2312" w:cs="仿宋_GB2312"/>
                <w:b w:val="0"/>
                <w:bCs w:val="0"/>
                <w:i w:val="0"/>
                <w:color w:val="auto"/>
                <w:kern w:val="0"/>
                <w:sz w:val="24"/>
                <w:szCs w:val="24"/>
                <w:highlight w:val="none"/>
                <w:u w:val="none"/>
                <w:lang w:val="en-US" w:eastAsia="zh-CN" w:bidi="ar"/>
              </w:rPr>
              <w:t>。</w:t>
            </w:r>
          </w:p>
        </w:tc>
      </w:tr>
    </w:tbl>
    <w:p>
      <w:pPr>
        <w:widowControl/>
        <w:jc w:val="center"/>
        <w:rPr>
          <w:rFonts w:hint="eastAsia" w:ascii="Times New Roman" w:hAnsi="Times New Roman" w:eastAsia="方正小标宋_GBK" w:cs="Times New Roman"/>
          <w:color w:val="auto"/>
          <w:kern w:val="0"/>
          <w:sz w:val="36"/>
          <w:szCs w:val="36"/>
          <w:highlight w:val="none"/>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auto"/>
                <w:kern w:val="0"/>
                <w:sz w:val="32"/>
                <w:szCs w:val="32"/>
                <w:highlight w:val="none"/>
                <w:u w:val="none"/>
                <w:lang w:val="en-US" w:eastAsia="zh-CN" w:bidi="ar"/>
              </w:rPr>
            </w:pPr>
          </w:p>
          <w:p>
            <w:pPr>
              <w:keepNext w:val="0"/>
              <w:keepLines w:val="0"/>
              <w:widowControl/>
              <w:suppressLineNumbers w:val="0"/>
              <w:jc w:val="center"/>
              <w:textAlignment w:val="center"/>
              <w:rPr>
                <w:rFonts w:hint="eastAsia" w:ascii="华文中宋" w:hAnsi="华文中宋" w:eastAsia="华文中宋" w:cs="华文中宋"/>
                <w:i w:val="0"/>
                <w:color w:val="auto"/>
                <w:kern w:val="0"/>
                <w:sz w:val="32"/>
                <w:szCs w:val="32"/>
                <w:highlight w:val="none"/>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auto"/>
                <w:sz w:val="32"/>
                <w:szCs w:val="32"/>
                <w:highlight w:val="none"/>
                <w:u w:val="none"/>
              </w:rPr>
            </w:pPr>
            <w:r>
              <w:rPr>
                <w:rFonts w:hint="eastAsia" w:ascii="华文中宋" w:hAnsi="华文中宋" w:eastAsia="华文中宋" w:cs="华文中宋"/>
                <w:i w:val="0"/>
                <w:color w:val="auto"/>
                <w:kern w:val="0"/>
                <w:sz w:val="32"/>
                <w:szCs w:val="32"/>
                <w:highlight w:val="none"/>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auto"/>
                <w:sz w:val="20"/>
                <w:szCs w:val="20"/>
                <w:highlight w:val="none"/>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公务用车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公务用车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公务用车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公务用车</w:t>
            </w:r>
            <w:r>
              <w:rPr>
                <w:rFonts w:hint="eastAsia" w:ascii="仿宋" w:hAnsi="仿宋" w:eastAsia="仿宋" w:cs="仿宋"/>
                <w:i w:val="0"/>
                <w:color w:val="auto"/>
                <w:kern w:val="0"/>
                <w:sz w:val="21"/>
                <w:szCs w:val="21"/>
                <w:highlight w:val="none"/>
                <w:u w:val="none"/>
                <w:lang w:val="en-US" w:eastAsia="zh-CN" w:bidi="ar"/>
              </w:rPr>
              <w:br w:type="textWrapping"/>
            </w:r>
            <w:r>
              <w:rPr>
                <w:rFonts w:hint="eastAsia" w:ascii="仿宋" w:hAnsi="仿宋" w:eastAsia="仿宋" w:cs="仿宋"/>
                <w:i w:val="0"/>
                <w:color w:val="auto"/>
                <w:kern w:val="0"/>
                <w:sz w:val="21"/>
                <w:szCs w:val="21"/>
                <w:highlight w:val="none"/>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14.33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6.30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6.30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8.03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8.61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6.25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6.25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color w:val="auto"/>
          <w:kern w:val="0"/>
          <w:sz w:val="24"/>
          <w:szCs w:val="24"/>
          <w:highlight w:val="none"/>
        </w:rPr>
      </w:pPr>
    </w:p>
    <w:p>
      <w:pPr>
        <w:autoSpaceDE w:val="0"/>
        <w:autoSpaceDN w:val="0"/>
        <w:adjustRightInd w:val="0"/>
        <w:ind w:left="315" w:leftChars="150"/>
        <w:jc w:val="left"/>
        <w:rPr>
          <w:rFonts w:ascii="宋体" w:eastAsia="宋体" w:cs="宋体"/>
          <w:color w:val="auto"/>
          <w:kern w:val="0"/>
          <w:sz w:val="24"/>
          <w:szCs w:val="24"/>
          <w:highlight w:val="none"/>
        </w:rPr>
      </w:pPr>
    </w:p>
    <w:p>
      <w:pPr>
        <w:autoSpaceDE w:val="0"/>
        <w:autoSpaceDN w:val="0"/>
        <w:adjustRightInd w:val="0"/>
        <w:ind w:left="315" w:leftChars="150"/>
        <w:jc w:val="left"/>
        <w:rPr>
          <w:rFonts w:ascii="宋体" w:eastAsia="宋体" w:cs="宋体"/>
          <w:color w:val="auto"/>
          <w:kern w:val="0"/>
          <w:sz w:val="24"/>
          <w:szCs w:val="24"/>
          <w:highlight w:val="none"/>
        </w:rPr>
      </w:pPr>
    </w:p>
    <w:p>
      <w:pPr>
        <w:widowControl/>
        <w:jc w:val="both"/>
        <w:rPr>
          <w:color w:val="auto"/>
          <w:sz w:val="72"/>
          <w:szCs w:val="72"/>
          <w:highlight w:val="none"/>
        </w:rPr>
        <w:sectPr>
          <w:pgSz w:w="16838" w:h="11906" w:orient="landscape"/>
          <w:pgMar w:top="100" w:right="720" w:bottom="-1" w:left="720" w:header="851" w:footer="992" w:gutter="0"/>
          <w:cols w:space="425" w:num="1"/>
          <w:docGrid w:type="lines" w:linePitch="312" w:charSpace="0"/>
        </w:sectPr>
      </w:pPr>
      <w:r>
        <w:rPr>
          <w:rFonts w:ascii="黑体" w:hAnsi="黑体" w:eastAsia="黑体"/>
          <w:color w:val="auto"/>
          <w:szCs w:val="21"/>
          <w:highlight w:val="none"/>
        </w:rPr>
        <w:br w:type="page"/>
      </w: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44"/>
          <w:szCs w:val="44"/>
          <w:highlight w:val="none"/>
        </w:rPr>
      </w:pP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第三部分</w:t>
      </w:r>
    </w:p>
    <w:p>
      <w:pPr>
        <w:pStyle w:val="10"/>
        <w:jc w:val="center"/>
        <w:rPr>
          <w:rFonts w:hint="eastAsia" w:ascii="黑体" w:hAnsi="黑体" w:eastAsia="黑体" w:cs="黑体"/>
          <w:color w:val="auto"/>
          <w:sz w:val="72"/>
          <w:szCs w:val="72"/>
          <w:highlight w:val="none"/>
        </w:rPr>
      </w:pPr>
    </w:p>
    <w:p>
      <w:pPr>
        <w:pStyle w:val="10"/>
        <w:jc w:val="center"/>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202</w:t>
      </w:r>
      <w:r>
        <w:rPr>
          <w:rFonts w:hint="eastAsia" w:ascii="黑体" w:hAnsi="黑体" w:eastAsia="黑体" w:cs="黑体"/>
          <w:color w:val="auto"/>
          <w:sz w:val="72"/>
          <w:szCs w:val="72"/>
          <w:highlight w:val="none"/>
          <w:lang w:val="en-US" w:eastAsia="zh-CN"/>
        </w:rPr>
        <w:t>2</w:t>
      </w:r>
      <w:r>
        <w:rPr>
          <w:rFonts w:hint="eastAsia" w:ascii="黑体" w:hAnsi="黑体" w:eastAsia="黑体" w:cs="黑体"/>
          <w:color w:val="auto"/>
          <w:sz w:val="72"/>
          <w:szCs w:val="72"/>
          <w:highlight w:val="none"/>
        </w:rPr>
        <w:t>年度部门决算情况说明</w:t>
      </w: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widowControl/>
        <w:jc w:val="left"/>
        <w:rPr>
          <w:rFonts w:asciiTheme="minorEastAsia" w:hAnsiTheme="minorEastAsia" w:eastAsiaTheme="minorEastAsia"/>
          <w:color w:val="auto"/>
          <w:sz w:val="32"/>
          <w:szCs w:val="32"/>
          <w:highlight w:val="none"/>
        </w:rPr>
      </w:pP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2022年度收、支总计</w:t>
      </w:r>
      <w:r>
        <w:rPr>
          <w:rFonts w:hint="eastAsia" w:ascii="仿宋" w:hAnsi="仿宋" w:eastAsia="仿宋" w:cs="仿宋"/>
          <w:color w:val="auto"/>
          <w:sz w:val="32"/>
          <w:szCs w:val="32"/>
          <w:highlight w:val="none"/>
        </w:rPr>
        <w:t>均为</w:t>
      </w:r>
      <w:r>
        <w:rPr>
          <w:rFonts w:hint="eastAsia" w:ascii="仿宋_GB2312" w:hAnsi="仿宋_GB2312" w:eastAsia="仿宋_GB2312" w:cs="仿宋_GB2312"/>
          <w:color w:val="auto"/>
          <w:sz w:val="32"/>
          <w:szCs w:val="32"/>
          <w:highlight w:val="none"/>
        </w:rPr>
        <w:t>1460.60万元。与上年相比，增加390.77万元，增长36</w:t>
      </w:r>
      <w:r>
        <w:rPr>
          <w:rFonts w:hint="eastAsia" w:ascii="仿宋_GB2312" w:hAnsi="仿宋_GB2312" w:eastAsia="仿宋_GB2312" w:cs="仿宋_GB2312"/>
          <w:color w:val="auto"/>
          <w:sz w:val="32"/>
          <w:szCs w:val="32"/>
          <w:highlight w:val="none"/>
          <w:lang w:val="en-US" w:eastAsia="zh-CN"/>
        </w:rPr>
        <w:t>.53</w:t>
      </w:r>
      <w:r>
        <w:rPr>
          <w:rFonts w:hint="eastAsia" w:ascii="仿宋_GB2312" w:hAnsi="仿宋_GB2312" w:eastAsia="仿宋_GB2312" w:cs="仿宋_GB2312"/>
          <w:color w:val="auto"/>
          <w:sz w:val="32"/>
          <w:szCs w:val="32"/>
          <w:highlight w:val="none"/>
        </w:rPr>
        <w:t>%，主要是因为专项业务工作增加，专项业务经费相应增加。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二、收入决算情况说明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2022年度收入合计1460.60万元，其中：财政拨款收入1460.60万元，占100%。</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三、支出决算情况说明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2022年度支出合计1460.60万元，其中：基本支出622.88万元，占4</w:t>
      </w:r>
      <w:r>
        <w:rPr>
          <w:rFonts w:hint="eastAsia" w:ascii="仿宋_GB2312" w:hAnsi="仿宋_GB2312" w:eastAsia="仿宋_GB2312" w:cs="仿宋_GB2312"/>
          <w:color w:val="auto"/>
          <w:sz w:val="32"/>
          <w:szCs w:val="32"/>
          <w:highlight w:val="none"/>
          <w:lang w:val="en-US" w:eastAsia="zh-CN"/>
        </w:rPr>
        <w:t>2.65</w:t>
      </w:r>
      <w:r>
        <w:rPr>
          <w:rFonts w:hint="eastAsia" w:ascii="仿宋_GB2312" w:hAnsi="仿宋_GB2312" w:eastAsia="仿宋_GB2312" w:cs="仿宋_GB2312"/>
          <w:color w:val="auto"/>
          <w:sz w:val="32"/>
          <w:szCs w:val="32"/>
          <w:highlight w:val="none"/>
        </w:rPr>
        <w:t>%；项目支出837.82万元，占57</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四、财政拨款收入支出决算总体情况说明</w:t>
      </w:r>
    </w:p>
    <w:p>
      <w:pPr>
        <w:pStyle w:val="10"/>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2022年度财政拨款收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支出总计</w:t>
      </w:r>
      <w:r>
        <w:rPr>
          <w:rFonts w:hint="eastAsia" w:ascii="仿宋" w:hAnsi="仿宋" w:eastAsia="仿宋" w:cs="仿宋"/>
          <w:color w:val="auto"/>
          <w:sz w:val="32"/>
          <w:szCs w:val="32"/>
          <w:highlight w:val="none"/>
        </w:rPr>
        <w:t>均为</w:t>
      </w:r>
      <w:r>
        <w:rPr>
          <w:rFonts w:hint="eastAsia" w:ascii="仿宋_GB2312" w:hAnsi="仿宋_GB2312" w:eastAsia="仿宋_GB2312" w:cs="仿宋_GB2312"/>
          <w:color w:val="auto"/>
          <w:sz w:val="32"/>
          <w:szCs w:val="32"/>
          <w:highlight w:val="none"/>
        </w:rPr>
        <w:t>1460.60万元，与上年相比，增加390.77万元，增加36</w:t>
      </w:r>
      <w:r>
        <w:rPr>
          <w:rFonts w:hint="eastAsia" w:ascii="仿宋_GB2312" w:hAnsi="仿宋_GB2312" w:eastAsia="仿宋_GB2312" w:cs="仿宋_GB2312"/>
          <w:color w:val="auto"/>
          <w:sz w:val="32"/>
          <w:szCs w:val="32"/>
          <w:highlight w:val="none"/>
          <w:lang w:val="en-US" w:eastAsia="zh-CN"/>
        </w:rPr>
        <w:t>.53</w:t>
      </w:r>
      <w:r>
        <w:rPr>
          <w:rFonts w:hint="eastAsia" w:ascii="仿宋_GB2312" w:hAnsi="仿宋_GB2312" w:eastAsia="仿宋_GB2312" w:cs="仿宋_GB2312"/>
          <w:color w:val="auto"/>
          <w:sz w:val="32"/>
          <w:szCs w:val="32"/>
          <w:highlight w:val="none"/>
        </w:rPr>
        <w:t>%，主要是因为专项业务工作增加，专项业务经费相应增加。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2022年度财政拨款支出1460.60万元，占本年支出合计的100%，与上年相比，财政拨款支出增加390.77万元，增加36</w:t>
      </w:r>
      <w:r>
        <w:rPr>
          <w:rFonts w:hint="eastAsia" w:ascii="仿宋_GB2312" w:hAnsi="仿宋_GB2312" w:eastAsia="仿宋_GB2312" w:cs="仿宋_GB2312"/>
          <w:color w:val="auto"/>
          <w:sz w:val="32"/>
          <w:szCs w:val="32"/>
          <w:highlight w:val="none"/>
          <w:lang w:val="en-US" w:eastAsia="zh-CN"/>
        </w:rPr>
        <w:t>.53</w:t>
      </w:r>
      <w:r>
        <w:rPr>
          <w:rFonts w:hint="eastAsia" w:ascii="仿宋_GB2312" w:hAnsi="仿宋_GB2312" w:eastAsia="仿宋_GB2312" w:cs="仿宋_GB2312"/>
          <w:color w:val="auto"/>
          <w:sz w:val="32"/>
          <w:szCs w:val="32"/>
          <w:highlight w:val="none"/>
        </w:rPr>
        <w:t>%，主要是因为专项业务工作增加，专项业务经费相应增加。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（二）财政拨款支出决算结构情况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2022年度财政拨款支出1460.60万元，主要用于以下方面：一般公共服务（类）支出</w:t>
      </w:r>
      <w:r>
        <w:rPr>
          <w:rFonts w:hint="eastAsia" w:ascii="仿宋_GB2312" w:hAnsi="仿宋_GB2312" w:eastAsia="仿宋_GB2312" w:cs="仿宋_GB2312"/>
          <w:b w:val="0"/>
          <w:bCs w:val="0"/>
          <w:color w:val="auto"/>
          <w:sz w:val="32"/>
          <w:szCs w:val="32"/>
          <w:highlight w:val="none"/>
        </w:rPr>
        <w:t>98.60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6.75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rPr>
        <w:t>科学技术（类）支出1263.82万元，占86</w:t>
      </w:r>
      <w:r>
        <w:rPr>
          <w:rFonts w:hint="eastAsia" w:ascii="仿宋_GB2312" w:hAnsi="仿宋_GB2312" w:eastAsia="仿宋_GB2312" w:cs="仿宋_GB2312"/>
          <w:color w:val="auto"/>
          <w:sz w:val="32"/>
          <w:szCs w:val="32"/>
          <w:highlight w:val="none"/>
          <w:shd w:val="clear" w:color="auto" w:fill="FFFFFF"/>
          <w:lang w:val="en-US" w:eastAsia="zh-CN"/>
        </w:rPr>
        <w:t>.53</w:t>
      </w:r>
      <w:r>
        <w:rPr>
          <w:rFonts w:hint="eastAsia" w:ascii="仿宋_GB2312" w:hAnsi="仿宋_GB2312" w:eastAsia="仿宋_GB2312" w:cs="仿宋_GB2312"/>
          <w:color w:val="auto"/>
          <w:sz w:val="32"/>
          <w:szCs w:val="32"/>
          <w:highlight w:val="none"/>
          <w:shd w:val="clear" w:color="auto" w:fill="FFFFFF"/>
        </w:rPr>
        <w:t>%；社会保障和就业（类）支出73.99万元，占5</w:t>
      </w:r>
      <w:r>
        <w:rPr>
          <w:rFonts w:hint="eastAsia" w:ascii="仿宋_GB2312" w:hAnsi="仿宋_GB2312" w:eastAsia="仿宋_GB2312" w:cs="仿宋_GB2312"/>
          <w:color w:val="auto"/>
          <w:sz w:val="32"/>
          <w:szCs w:val="32"/>
          <w:highlight w:val="none"/>
          <w:shd w:val="clear" w:color="auto" w:fill="FFFFFF"/>
          <w:lang w:val="en-US" w:eastAsia="zh-CN"/>
        </w:rPr>
        <w:t>.07</w:t>
      </w:r>
      <w:r>
        <w:rPr>
          <w:rFonts w:hint="eastAsia" w:ascii="仿宋_GB2312" w:hAnsi="仿宋_GB2312" w:eastAsia="仿宋_GB2312" w:cs="仿宋_GB2312"/>
          <w:color w:val="auto"/>
          <w:sz w:val="32"/>
          <w:szCs w:val="32"/>
          <w:highlight w:val="none"/>
          <w:shd w:val="clear" w:color="auto" w:fill="FFFFFF"/>
        </w:rPr>
        <w:t>%;卫生健康（类）支出24.20万元，占</w:t>
      </w:r>
      <w:r>
        <w:rPr>
          <w:rFonts w:hint="eastAsia" w:ascii="仿宋_GB2312" w:hAnsi="仿宋_GB2312" w:eastAsia="仿宋_GB2312" w:cs="仿宋_GB2312"/>
          <w:color w:val="auto"/>
          <w:sz w:val="32"/>
          <w:szCs w:val="32"/>
          <w:highlight w:val="none"/>
          <w:shd w:val="clear" w:color="auto" w:fill="FFFFFF"/>
          <w:lang w:val="en-US" w:eastAsia="zh-CN"/>
        </w:rPr>
        <w:t>1.65</w:t>
      </w:r>
      <w:r>
        <w:rPr>
          <w:rFonts w:hint="eastAsia" w:ascii="仿宋_GB2312" w:hAnsi="仿宋_GB2312" w:eastAsia="仿宋_GB2312" w:cs="仿宋_GB2312"/>
          <w:color w:val="auto"/>
          <w:sz w:val="32"/>
          <w:szCs w:val="32"/>
          <w:highlight w:val="none"/>
          <w:shd w:val="clear" w:color="auto" w:fill="FFFFFF"/>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年度财政拨款支出年初预算数为1460.60万元，支出决算数为1460.60万元，完成年初预算的100%，其中：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1、一般公共服务（类）组织事务（款）其他组织事务支出（项）。</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年初预算为0万元，支出决算为98.60万元，决算数大于年初预算数的主要原因是：</w:t>
      </w:r>
    </w:p>
    <w:p>
      <w:pPr>
        <w:pStyle w:val="16"/>
        <w:keepNext w:val="0"/>
        <w:keepLines w:val="0"/>
        <w:pageBreakBefore w:val="0"/>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2、科学技术（类）科学技术管理事务（款）行政运行（项）。</w:t>
      </w:r>
    </w:p>
    <w:p>
      <w:pPr>
        <w:pStyle w:val="10"/>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年初预算为471.35万元，支出决算为500.79万元，完成年初预算的106</w:t>
      </w:r>
      <w:r>
        <w:rPr>
          <w:rFonts w:hint="eastAsia" w:ascii="仿宋_GB2312" w:hAnsi="仿宋_GB2312" w:eastAsia="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%，决算数大于年初预算数的主要原因是：1、基本工资正常晋级晋档，2、新增基础绩效奖金。</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3、科学技术（类）科学技术管理事务（款）其他科学技术管理事务支出（项）</w:t>
      </w:r>
    </w:p>
    <w:p>
      <w:pPr>
        <w:pStyle w:val="10"/>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年初预算为0万元，支出决算为95.91万元，决算数大于年初预算数的主要原因是：1、发放2021年绩效奖金；2、发放退休人员春节一次性补助。</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4、科学技术（类）技术研究与开发（款）科技成果转化与扩散（项）。</w:t>
      </w:r>
    </w:p>
    <w:p>
      <w:pPr>
        <w:pStyle w:val="16"/>
        <w:keepNext w:val="0"/>
        <w:keepLines w:val="0"/>
        <w:pageBreakBefore w:val="0"/>
        <w:kinsoku/>
        <w:wordWrap/>
        <w:overflowPunct/>
        <w:topLinePunct w:val="0"/>
        <w:bidi w:val="0"/>
        <w:snapToGrid/>
        <w:spacing w:before="0"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年初预算为0万元，支出决算为20万元，决算数大于年初预算数的主要原因是：年中追加经费指标。</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leftChars="200" w:firstLine="320" w:firstLineChars="1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5、科学技术（类）科学技术普及（款）科普活动（项）。</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年初预算为0万元，支出决算为15万元，决算数大于年初预算数的主要原因是：年中追加经费指标。</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6、科学技术（类）科学技术普及（款）其他科学技术普及支出（项）。</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年初预算为0万元，支出决算为10万元，决算数大于年初预算数的主要原因是：年中追加经费指标。</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7、科学技术（类）其他科学技术支出（款）其他科学技术支出（项）。</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800" w:firstLineChars="25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年初预算为432万元，支出决算为622.12万元，完成年初预算的144</w:t>
      </w:r>
      <w:r>
        <w:rPr>
          <w:rFonts w:hint="eastAsia" w:ascii="仿宋_GB2312" w:hAnsi="仿宋_GB2312" w:eastAsia="仿宋_GB2312" w:cs="仿宋_GB2312"/>
          <w:color w:val="auto"/>
          <w:sz w:val="32"/>
          <w:szCs w:val="32"/>
          <w:highlight w:val="none"/>
          <w:shd w:val="clear" w:color="auto" w:fill="FFFFFF"/>
          <w:lang w:val="en-US" w:eastAsia="zh-CN"/>
        </w:rPr>
        <w:t>.01</w:t>
      </w:r>
      <w:r>
        <w:rPr>
          <w:rFonts w:hint="eastAsia" w:ascii="仿宋_GB2312" w:hAnsi="仿宋_GB2312" w:eastAsia="仿宋_GB2312" w:cs="仿宋_GB2312"/>
          <w:color w:val="auto"/>
          <w:sz w:val="32"/>
          <w:szCs w:val="32"/>
          <w:highlight w:val="none"/>
          <w:shd w:val="clear" w:color="auto" w:fill="FFFFFF"/>
        </w:rPr>
        <w:t>%，决算数大于年初预算数的主要原因是：年中追加经费指标。</w:t>
      </w:r>
    </w:p>
    <w:p>
      <w:pPr>
        <w:pStyle w:val="16"/>
        <w:keepNext w:val="0"/>
        <w:keepLines w:val="0"/>
        <w:pageBreakBefore w:val="0"/>
        <w:kinsoku/>
        <w:wordWrap/>
        <w:overflowPunct/>
        <w:topLinePunct w:val="0"/>
        <w:bidi w:val="0"/>
        <w:snapToGrid/>
        <w:spacing w:before="0" w:beforeAutospacing="0" w:afterAutospacing="0" w:line="600" w:lineRule="exact"/>
        <w:ind w:left="218" w:leftChars="104"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Style w:val="17"/>
          <w:rFonts w:hint="eastAsia" w:ascii="仿宋_GB2312" w:hAnsi="仿宋_GB2312" w:eastAsia="仿宋_GB2312" w:cs="仿宋_GB2312"/>
          <w:iCs/>
          <w:color w:val="auto"/>
          <w:sz w:val="32"/>
          <w:szCs w:val="32"/>
          <w:highlight w:val="none"/>
          <w:shd w:val="clear" w:color="auto" w:fill="FFFFFF"/>
        </w:rPr>
        <w:t>社会保障和就业（类）行政事业单位养老支出（款）机关事业单位基本养老保险缴费（项）。</w:t>
      </w:r>
    </w:p>
    <w:p>
      <w:pPr>
        <w:pStyle w:val="10"/>
        <w:keepNext w:val="0"/>
        <w:keepLines w:val="0"/>
        <w:pageBreakBefore w:val="0"/>
        <w:kinsoku/>
        <w:wordWrap/>
        <w:overflowPunct/>
        <w:topLinePunct w:val="0"/>
        <w:bidi w:val="0"/>
        <w:snapToGrid/>
        <w:spacing w:line="600" w:lineRule="exact"/>
        <w:ind w:left="218" w:leftChars="104"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年初预算为43.50万元，支出决算为43.99万元，完成年初预算的101</w:t>
      </w:r>
      <w:r>
        <w:rPr>
          <w:rFonts w:hint="eastAsia" w:ascii="仿宋_GB2312" w:hAnsi="仿宋_GB2312" w:eastAsia="仿宋_GB2312" w:cs="仿宋_GB2312"/>
          <w:color w:val="auto"/>
          <w:sz w:val="32"/>
          <w:szCs w:val="32"/>
          <w:highlight w:val="none"/>
          <w:shd w:val="clear" w:color="auto" w:fill="FFFFFF"/>
          <w:lang w:val="en-US" w:eastAsia="zh-CN"/>
        </w:rPr>
        <w:t>.13</w:t>
      </w:r>
      <w:r>
        <w:rPr>
          <w:rFonts w:hint="eastAsia" w:ascii="仿宋_GB2312" w:hAnsi="仿宋_GB2312" w:eastAsia="仿宋_GB2312" w:cs="仿宋_GB2312"/>
          <w:color w:val="auto"/>
          <w:sz w:val="32"/>
          <w:szCs w:val="32"/>
          <w:highlight w:val="none"/>
          <w:shd w:val="clear" w:color="auto" w:fill="FFFFFF"/>
        </w:rPr>
        <w:t>%，决算数大于年初预算数的主要原因是：因人员变化职工养老保险费增加。</w:t>
      </w:r>
    </w:p>
    <w:p>
      <w:pPr>
        <w:pStyle w:val="10"/>
        <w:keepNext w:val="0"/>
        <w:keepLines w:val="0"/>
        <w:pageBreakBefore w:val="0"/>
        <w:kinsoku/>
        <w:wordWrap/>
        <w:overflowPunct/>
        <w:topLinePunct w:val="0"/>
        <w:bidi w:val="0"/>
        <w:snapToGrid/>
        <w:spacing w:line="600" w:lineRule="exact"/>
        <w:ind w:left="218" w:leftChars="104" w:firstLine="640" w:firstLineChars="200"/>
        <w:textAlignment w:val="auto"/>
        <w:rPr>
          <w:rStyle w:val="17"/>
          <w:rFonts w:hint="eastAsia" w:ascii="仿宋_GB2312" w:hAnsi="仿宋_GB2312" w:eastAsia="仿宋_GB2312" w:cs="仿宋_GB2312"/>
          <w:iCs/>
          <w:color w:val="auto"/>
          <w:sz w:val="32"/>
          <w:szCs w:val="32"/>
          <w:highlight w:val="none"/>
          <w:shd w:val="clear" w:color="auto" w:fill="FFFFFF"/>
        </w:rPr>
      </w:pPr>
      <w:r>
        <w:rPr>
          <w:rStyle w:val="17"/>
          <w:rFonts w:hint="eastAsia" w:ascii="仿宋_GB2312" w:hAnsi="仿宋_GB2312" w:eastAsia="仿宋_GB2312" w:cs="仿宋_GB2312"/>
          <w:b w:val="0"/>
          <w:bCs w:val="0"/>
          <w:iCs/>
          <w:color w:val="auto"/>
          <w:sz w:val="32"/>
          <w:szCs w:val="32"/>
          <w:highlight w:val="none"/>
          <w:shd w:val="clear" w:color="auto" w:fill="FFFFFF"/>
        </w:rPr>
        <w:t>9、社会保障和就业（类）行政事业单位养老支出（款）其他行政事业单位养老支出（项）</w:t>
      </w:r>
    </w:p>
    <w:p>
      <w:pPr>
        <w:pStyle w:val="10"/>
        <w:keepNext w:val="0"/>
        <w:keepLines w:val="0"/>
        <w:pageBreakBefore w:val="0"/>
        <w:kinsoku/>
        <w:wordWrap/>
        <w:overflowPunct/>
        <w:topLinePunct w:val="0"/>
        <w:bidi w:val="0"/>
        <w:snapToGrid/>
        <w:spacing w:line="600" w:lineRule="exact"/>
        <w:ind w:left="218" w:leftChars="104"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年初预算为0万元，支出决算为30万元，决算数大于年初预算数的主要原因是：发放退休人员春节一次性补助</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640" w:firstLineChars="200"/>
        <w:textAlignment w:val="auto"/>
        <w:rPr>
          <w:rStyle w:val="17"/>
          <w:rFonts w:hint="eastAsia" w:ascii="仿宋_GB2312" w:hAnsi="仿宋_GB2312" w:eastAsia="仿宋_GB2312" w:cs="仿宋_GB2312"/>
          <w:iCs/>
          <w:color w:val="auto"/>
          <w:sz w:val="32"/>
          <w:szCs w:val="32"/>
          <w:highlight w:val="none"/>
          <w:shd w:val="clear" w:color="auto" w:fill="FFFFFF"/>
        </w:rPr>
      </w:pPr>
      <w:r>
        <w:rPr>
          <w:rStyle w:val="17"/>
          <w:rFonts w:hint="eastAsia" w:ascii="仿宋_GB2312" w:hAnsi="仿宋_GB2312" w:eastAsia="仿宋_GB2312" w:cs="仿宋_GB2312"/>
          <w:iCs/>
          <w:color w:val="auto"/>
          <w:sz w:val="32"/>
          <w:szCs w:val="32"/>
          <w:highlight w:val="none"/>
          <w:shd w:val="clear" w:color="auto" w:fill="FFFFFF"/>
        </w:rPr>
        <w:t>10、卫生健康（类）公共卫生（款）突发公共卫生事件应急处理（项）</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left="319" w:leftChars="152" w:firstLine="640" w:firstLineChars="200"/>
        <w:textAlignment w:val="auto"/>
        <w:rPr>
          <w:rStyle w:val="17"/>
          <w:rFonts w:hint="eastAsia" w:ascii="仿宋_GB2312" w:hAnsi="仿宋_GB2312" w:eastAsia="仿宋_GB2312" w:cs="仿宋_GB2312"/>
          <w:iCs/>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年初预算为0万元，支出决算为2.20万元，决算数大于年初预算数的主要原因是：增加疫情防控</w:t>
      </w:r>
      <w:r>
        <w:rPr>
          <w:rStyle w:val="17"/>
          <w:rFonts w:hint="eastAsia" w:ascii="仿宋_GB2312" w:hAnsi="仿宋_GB2312" w:eastAsia="仿宋_GB2312" w:cs="仿宋_GB2312"/>
          <w:iCs/>
          <w:color w:val="auto"/>
          <w:sz w:val="32"/>
          <w:szCs w:val="32"/>
          <w:highlight w:val="none"/>
          <w:shd w:val="clear" w:color="auto" w:fill="FFFFFF"/>
        </w:rPr>
        <w:t>专项经费。</w:t>
      </w:r>
    </w:p>
    <w:p>
      <w:pPr>
        <w:pStyle w:val="16"/>
        <w:keepNext w:val="0"/>
        <w:keepLines w:val="0"/>
        <w:pageBreakBefore w:val="0"/>
        <w:numPr>
          <w:ilvl w:val="0"/>
          <w:numId w:val="0"/>
        </w:numPr>
        <w:kinsoku/>
        <w:wordWrap/>
        <w:overflowPunct/>
        <w:topLinePunct w:val="0"/>
        <w:bidi w:val="0"/>
        <w:snapToGrid/>
        <w:spacing w:before="0"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Style w:val="17"/>
          <w:rFonts w:hint="eastAsia" w:ascii="仿宋_GB2312" w:hAnsi="仿宋_GB2312" w:eastAsia="仿宋_GB2312" w:cs="仿宋_GB2312"/>
          <w:iCs/>
          <w:color w:val="auto"/>
          <w:sz w:val="32"/>
          <w:szCs w:val="32"/>
          <w:highlight w:val="none"/>
          <w:shd w:val="clear" w:color="auto" w:fill="FFFFFF"/>
        </w:rPr>
        <w:t>11、卫生健康（类）行政事业单位医疗（款）行政单位医疗（项）。</w:t>
      </w:r>
    </w:p>
    <w:p>
      <w:pPr>
        <w:pStyle w:val="16"/>
        <w:keepNext w:val="0"/>
        <w:keepLines w:val="0"/>
        <w:pageBreakBefore w:val="0"/>
        <w:kinsoku/>
        <w:wordWrap/>
        <w:overflowPunct/>
        <w:topLinePunct w:val="0"/>
        <w:bidi w:val="0"/>
        <w:snapToGrid/>
        <w:spacing w:before="0"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年初预算为23.11万元，支出决算为22万元，完成年初预算的95</w:t>
      </w:r>
      <w:r>
        <w:rPr>
          <w:rFonts w:hint="eastAsia" w:ascii="仿宋_GB2312" w:hAnsi="仿宋_GB2312" w:eastAsia="仿宋_GB2312" w:cs="仿宋_GB2312"/>
          <w:color w:val="auto"/>
          <w:sz w:val="32"/>
          <w:szCs w:val="32"/>
          <w:highlight w:val="none"/>
          <w:shd w:val="clear" w:color="auto" w:fill="FFFFFF"/>
          <w:lang w:val="en-US" w:eastAsia="zh-CN"/>
        </w:rPr>
        <w:t>.20</w:t>
      </w:r>
      <w:r>
        <w:rPr>
          <w:rFonts w:hint="eastAsia" w:ascii="仿宋_GB2312" w:hAnsi="仿宋_GB2312" w:eastAsia="仿宋_GB2312" w:cs="仿宋_GB2312"/>
          <w:color w:val="auto"/>
          <w:sz w:val="32"/>
          <w:szCs w:val="32"/>
          <w:highlight w:val="none"/>
          <w:shd w:val="clear" w:color="auto" w:fill="FFFFFF"/>
        </w:rPr>
        <w:t>%，决算数小于年初预算数的主要原因是：因人员变化职工基本医疗保险费减少。</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六、一般公共预算财政拨款基本支出决算情况说明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年度财政拨款基本支出622.88万元，其中：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人员经费573.08万元，占基本支出的92</w:t>
      </w:r>
      <w:r>
        <w:rPr>
          <w:rFonts w:hint="eastAsia" w:ascii="仿宋_GB2312" w:hAnsi="仿宋_GB2312" w:eastAsia="仿宋_GB2312" w:cs="仿宋_GB2312"/>
          <w:b w:val="0"/>
          <w:bCs w:val="0"/>
          <w:color w:val="auto"/>
          <w:sz w:val="32"/>
          <w:szCs w:val="32"/>
          <w:highlight w:val="none"/>
          <w:lang w:val="en-US" w:eastAsia="zh-CN"/>
        </w:rPr>
        <w:t>.00</w:t>
      </w:r>
      <w:r>
        <w:rPr>
          <w:rFonts w:hint="eastAsia" w:ascii="仿宋_GB2312" w:hAnsi="仿宋_GB2312" w:eastAsia="仿宋_GB2312" w:cs="仿宋_GB2312"/>
          <w:b w:val="0"/>
          <w:bCs w:val="0"/>
          <w:color w:val="auto"/>
          <w:sz w:val="32"/>
          <w:szCs w:val="32"/>
          <w:highlight w:val="none"/>
        </w:rPr>
        <w:t>%,主要包括基本工资、津贴补贴、奖金、伙食补助费、机关事业单位基本养老保险缴费、其他社会保障缴费、其他工资福利支出。</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公用经费49.80万元，占基本支出的8</w:t>
      </w:r>
      <w:r>
        <w:rPr>
          <w:rFonts w:hint="eastAsia" w:ascii="仿宋_GB2312" w:hAnsi="仿宋_GB2312" w:eastAsia="仿宋_GB2312" w:cs="仿宋_GB2312"/>
          <w:b w:val="0"/>
          <w:bCs w:val="0"/>
          <w:color w:val="auto"/>
          <w:sz w:val="32"/>
          <w:szCs w:val="32"/>
          <w:highlight w:val="none"/>
          <w:lang w:val="en-US" w:eastAsia="zh-CN"/>
        </w:rPr>
        <w:t>.00</w:t>
      </w:r>
      <w:r>
        <w:rPr>
          <w:rFonts w:hint="eastAsia" w:ascii="仿宋_GB2312" w:hAnsi="仿宋_GB2312" w:eastAsia="仿宋_GB2312" w:cs="仿宋_GB2312"/>
          <w:b w:val="0"/>
          <w:bCs w:val="0"/>
          <w:color w:val="auto"/>
          <w:sz w:val="32"/>
          <w:szCs w:val="32"/>
          <w:highlight w:val="none"/>
        </w:rPr>
        <w:t>%，主要包括办公费、印刷费、咨询费、手续费、培训费、公务接待费、劳务费、委托业务费、工会经费、福利费、公务用车运行维护费、其他交通费用、其他商品和服务支出。</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val="0"/>
          <w:color w:val="auto"/>
          <w:sz w:val="32"/>
          <w:szCs w:val="32"/>
          <w:highlight w:val="none"/>
        </w:rPr>
        <w:t>七、财政拨款三公经费支出决算情况说明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（一）“三公”经费财政拨款支出决算总体情况说明</w:t>
      </w:r>
    </w:p>
    <w:p>
      <w:pPr>
        <w:pStyle w:val="10"/>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2022年度“三公”经费财政拨款支出预算为14.33万元，支出决算为8.61万元，完成预算的60</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因公出国(境)费支出预算为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万元，预算决算金额均</w:t>
      </w:r>
      <w:r>
        <w:rPr>
          <w:rFonts w:hint="eastAsia" w:ascii="仿宋_GB2312" w:hAnsi="仿宋_GB2312" w:eastAsia="仿宋_GB2312" w:cs="仿宋_GB2312"/>
          <w:color w:val="auto"/>
          <w:sz w:val="32"/>
          <w:szCs w:val="32"/>
          <w:highlight w:val="none"/>
          <w:lang w:val="en-US" w:eastAsia="zh-CN"/>
        </w:rPr>
        <w:t>为0万元</w:t>
      </w:r>
      <w:r>
        <w:rPr>
          <w:rFonts w:hint="eastAsia" w:ascii="仿宋_GB2312" w:hAnsi="仿宋_GB2312" w:eastAsia="仿宋_GB2312" w:cs="仿宋_GB2312"/>
          <w:color w:val="auto"/>
          <w:sz w:val="32"/>
          <w:szCs w:val="32"/>
          <w:highlight w:val="none"/>
        </w:rPr>
        <w:t>，无法计算完成百分比，主要原因</w:t>
      </w:r>
      <w:r>
        <w:rPr>
          <w:rFonts w:hint="eastAsia" w:ascii="仿宋_GB2312" w:hAnsi="仿宋_GB2312" w:eastAsia="仿宋_GB2312" w:cs="仿宋_GB2312"/>
          <w:color w:val="auto"/>
          <w:sz w:val="32"/>
          <w:szCs w:val="32"/>
          <w:highlight w:val="none"/>
          <w:lang w:val="en-US" w:eastAsia="zh-CN"/>
        </w:rPr>
        <w:t>是单位未</w:t>
      </w:r>
      <w:r>
        <w:rPr>
          <w:rFonts w:hint="eastAsia" w:ascii="仿宋_GB2312" w:hAnsi="仿宋_GB2312" w:eastAsia="仿宋_GB2312" w:cs="仿宋_GB2312"/>
          <w:color w:val="auto"/>
          <w:sz w:val="32"/>
          <w:szCs w:val="32"/>
          <w:highlight w:val="none"/>
        </w:rPr>
        <w:t>因公出国（境），</w:t>
      </w:r>
      <w:r>
        <w:rPr>
          <w:rFonts w:hint="eastAsia" w:ascii="仿宋_GB2312" w:hAnsi="仿宋_GB2312" w:eastAsia="仿宋_GB2312" w:cs="仿宋_GB2312"/>
          <w:color w:val="auto"/>
          <w:sz w:val="32"/>
          <w:szCs w:val="32"/>
          <w:highlight w:val="none"/>
          <w:lang w:val="en-US" w:eastAsia="zh-CN"/>
        </w:rPr>
        <w:t>与上年相比持平均为0万元，</w:t>
      </w:r>
      <w:r>
        <w:rPr>
          <w:rFonts w:hint="eastAsia" w:ascii="仿宋_GB2312" w:hAnsi="仿宋_GB2312" w:eastAsia="仿宋_GB2312" w:cs="仿宋_GB2312"/>
          <w:color w:val="auto"/>
          <w:sz w:val="32"/>
          <w:szCs w:val="32"/>
          <w:highlight w:val="none"/>
        </w:rPr>
        <w:t>无法计算完成百分比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主要原因是单位未</w:t>
      </w:r>
      <w:r>
        <w:rPr>
          <w:rFonts w:hint="eastAsia" w:ascii="仿宋_GB2312" w:hAnsi="仿宋_GB2312" w:eastAsia="仿宋_GB2312" w:cs="仿宋_GB2312"/>
          <w:color w:val="auto"/>
          <w:sz w:val="32"/>
          <w:szCs w:val="32"/>
          <w:highlight w:val="none"/>
        </w:rPr>
        <w:t>因公出国（境）。</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公务接待费支出预算为8.03万元，支出决算为2.36万元，完成预算的29</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%，决算数小于预算数的主要原因是认真贯彻落实中央八项规定</w:t>
      </w:r>
      <w:bookmarkStart w:id="18" w:name="_GoBack"/>
      <w:bookmarkEnd w:id="18"/>
      <w:r>
        <w:rPr>
          <w:rFonts w:hint="eastAsia" w:ascii="仿宋_GB2312" w:hAnsi="仿宋_GB2312" w:eastAsia="仿宋_GB2312" w:cs="仿宋_GB2312"/>
          <w:color w:val="auto"/>
          <w:sz w:val="32"/>
          <w:szCs w:val="32"/>
          <w:highlight w:val="none"/>
        </w:rPr>
        <w:t>精神和厉行节约要求，从严控制公务接待标准，与上年相比减少1.1万元，减少3</w:t>
      </w:r>
      <w:r>
        <w:rPr>
          <w:rFonts w:hint="eastAsia" w:ascii="仿宋_GB2312" w:hAnsi="仿宋_GB2312" w:eastAsia="仿宋_GB2312" w:cs="仿宋_GB2312"/>
          <w:color w:val="auto"/>
          <w:sz w:val="32"/>
          <w:szCs w:val="32"/>
          <w:highlight w:val="none"/>
          <w:lang w:val="en-US" w:eastAsia="zh-CN"/>
        </w:rPr>
        <w:t>1.79</w:t>
      </w:r>
      <w:r>
        <w:rPr>
          <w:rFonts w:hint="eastAsia" w:ascii="仿宋_GB2312" w:hAnsi="仿宋_GB2312" w:eastAsia="仿宋_GB2312" w:cs="仿宋_GB2312"/>
          <w:color w:val="auto"/>
          <w:sz w:val="32"/>
          <w:szCs w:val="32"/>
          <w:highlight w:val="none"/>
        </w:rPr>
        <w:t>%,减少的主要原因是受疫情影响省及市州相关部门调研考察及县市业务工作汇报减少。</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公务用车购置费支出预算为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万元，预算决算金额均</w:t>
      </w:r>
      <w:r>
        <w:rPr>
          <w:rFonts w:hint="eastAsia" w:ascii="仿宋_GB2312" w:hAnsi="仿宋_GB2312" w:eastAsia="仿宋_GB2312" w:cs="仿宋_GB2312"/>
          <w:color w:val="auto"/>
          <w:sz w:val="32"/>
          <w:szCs w:val="32"/>
          <w:highlight w:val="none"/>
          <w:lang w:val="en-US" w:eastAsia="zh-CN"/>
        </w:rPr>
        <w:t>为0万元</w:t>
      </w:r>
      <w:r>
        <w:rPr>
          <w:rFonts w:hint="eastAsia" w:ascii="仿宋_GB2312" w:hAnsi="仿宋_GB2312" w:eastAsia="仿宋_GB2312" w:cs="仿宋_GB2312"/>
          <w:color w:val="auto"/>
          <w:sz w:val="32"/>
          <w:szCs w:val="32"/>
          <w:highlight w:val="none"/>
        </w:rPr>
        <w:t>，无法计算完成百分比，主要原因</w:t>
      </w:r>
      <w:r>
        <w:rPr>
          <w:rFonts w:hint="eastAsia" w:ascii="仿宋_GB2312" w:hAnsi="仿宋_GB2312" w:eastAsia="仿宋_GB2312" w:cs="仿宋_GB2312"/>
          <w:color w:val="auto"/>
          <w:sz w:val="32"/>
          <w:szCs w:val="32"/>
          <w:highlight w:val="none"/>
          <w:lang w:val="en-US" w:eastAsia="zh-CN"/>
        </w:rPr>
        <w:t>是未</w:t>
      </w:r>
      <w:r>
        <w:rPr>
          <w:rFonts w:hint="eastAsia" w:ascii="仿宋_GB2312" w:hAnsi="仿宋_GB2312" w:eastAsia="仿宋_GB2312" w:cs="仿宋_GB2312"/>
          <w:color w:val="auto"/>
          <w:sz w:val="32"/>
          <w:szCs w:val="32"/>
          <w:highlight w:val="none"/>
        </w:rPr>
        <w:t>购置公务用车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与上年相比持平均为0万元，</w:t>
      </w:r>
      <w:r>
        <w:rPr>
          <w:rFonts w:hint="eastAsia" w:ascii="仿宋_GB2312" w:hAnsi="仿宋_GB2312" w:eastAsia="仿宋_GB2312" w:cs="仿宋_GB2312"/>
          <w:color w:val="auto"/>
          <w:sz w:val="32"/>
          <w:szCs w:val="32"/>
          <w:highlight w:val="none"/>
        </w:rPr>
        <w:t>无法计算完成百分比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en-US" w:eastAsia="zh-CN"/>
        </w:rPr>
        <w:t>是未</w:t>
      </w:r>
      <w:r>
        <w:rPr>
          <w:rFonts w:hint="eastAsia" w:ascii="仿宋_GB2312" w:hAnsi="仿宋_GB2312" w:eastAsia="仿宋_GB2312" w:cs="仿宋_GB2312"/>
          <w:color w:val="auto"/>
          <w:sz w:val="32"/>
          <w:szCs w:val="32"/>
          <w:highlight w:val="none"/>
        </w:rPr>
        <w:t>购置公务用车</w:t>
      </w:r>
      <w:r>
        <w:rPr>
          <w:rFonts w:hint="eastAsia" w:ascii="仿宋_GB2312" w:hAnsi="仿宋_GB2312" w:eastAsia="仿宋_GB2312" w:cs="仿宋_GB2312"/>
          <w:color w:val="auto"/>
          <w:sz w:val="32"/>
          <w:szCs w:val="32"/>
          <w:highlight w:val="none"/>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公务用车运行维护费支出预算为6.3万元，支出决算为6.25万元，完成预算的99</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%，决算数小于预算数的主要原因是严格按照公务用车管理要求控制公务车的使用，与上年相比减少0.11万元，减少</w:t>
      </w:r>
      <w:r>
        <w:rPr>
          <w:rFonts w:hint="eastAsia" w:ascii="仿宋_GB2312" w:hAnsi="仿宋_GB2312" w:eastAsia="仿宋_GB2312" w:cs="仿宋_GB2312"/>
          <w:color w:val="auto"/>
          <w:sz w:val="32"/>
          <w:szCs w:val="32"/>
          <w:highlight w:val="none"/>
          <w:lang w:val="en-US" w:eastAsia="zh-CN"/>
        </w:rPr>
        <w:t>1.73</w:t>
      </w:r>
      <w:r>
        <w:rPr>
          <w:rFonts w:hint="eastAsia" w:ascii="仿宋_GB2312" w:hAnsi="仿宋_GB2312" w:eastAsia="仿宋_GB2312" w:cs="仿宋_GB2312"/>
          <w:color w:val="auto"/>
          <w:sz w:val="32"/>
          <w:szCs w:val="32"/>
          <w:highlight w:val="none"/>
        </w:rPr>
        <w:t>%,减少的主要原因是下基层调研考察减少。</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（二）“三公”经费财政拨款支出决算具体情况说明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2022年度“三公”经费财政拨款支出决算中，公务接待费支出决算2.36万元，占27</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%,因公出国（境）费支出决算0万元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公务用车购置费及运行维护费支出决算6.25万元，占7</w:t>
      </w:r>
      <w:r>
        <w:rPr>
          <w:rFonts w:hint="eastAsia" w:ascii="仿宋_GB2312" w:hAnsi="仿宋_GB2312" w:eastAsia="仿宋_GB2312" w:cs="仿宋_GB2312"/>
          <w:color w:val="auto"/>
          <w:sz w:val="32"/>
          <w:szCs w:val="32"/>
          <w:highlight w:val="none"/>
          <w:lang w:val="en-US" w:eastAsia="zh-CN"/>
        </w:rPr>
        <w:t>2.59</w:t>
      </w:r>
      <w:r>
        <w:rPr>
          <w:rFonts w:hint="eastAsia" w:ascii="仿宋_GB2312" w:hAnsi="仿宋_GB2312" w:eastAsia="仿宋_GB2312" w:cs="仿宋_GB2312"/>
          <w:color w:val="auto"/>
          <w:sz w:val="32"/>
          <w:szCs w:val="32"/>
          <w:highlight w:val="none"/>
        </w:rPr>
        <w:t>%。其中：</w:t>
      </w:r>
    </w:p>
    <w:p>
      <w:pPr>
        <w:pStyle w:val="2"/>
        <w:tabs>
          <w:tab w:val="left" w:pos="3864"/>
          <w:tab w:val="left" w:pos="6248"/>
          <w:tab w:val="left" w:pos="7386"/>
        </w:tabs>
        <w:overflowPunct w:val="0"/>
        <w:spacing w:before="1" w:line="360" w:lineRule="auto"/>
        <w:ind w:right="42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1、因公出国（境）费支出决算为0万元，全年安排因公出国（境）团组0个，累计0人次</w:t>
      </w:r>
      <w:r>
        <w:rPr>
          <w:rFonts w:hint="eastAsia" w:ascii="仿宋" w:hAnsi="仿宋" w:eastAsia="仿宋" w:cs="仿宋"/>
          <w:color w:val="auto"/>
          <w:highlight w:val="none"/>
        </w:rPr>
        <w:t>，主要是</w:t>
      </w:r>
      <w:bookmarkStart w:id="3" w:name="THERR_YGCGJFY_ZYYY"/>
      <w:r>
        <w:rPr>
          <w:rFonts w:hint="eastAsia" w:ascii="仿宋" w:hAnsi="仿宋" w:eastAsia="仿宋" w:cs="仿宋"/>
          <w:color w:val="auto"/>
          <w:highlight w:val="none"/>
        </w:rPr>
        <w:t>2022年我单位没有因公出国（境）费支出</w:t>
      </w:r>
      <w:bookmarkEnd w:id="3"/>
      <w:bookmarkStart w:id="4" w:name="END_THERR_YGCGJFY_AMT"/>
      <w:bookmarkEnd w:id="4"/>
      <w:r>
        <w:rPr>
          <w:rFonts w:hint="eastAsia" w:ascii="仿宋_GB2312" w:hAnsi="仿宋_GB2312" w:eastAsia="仿宋_GB2312" w:cs="仿宋_GB2312"/>
          <w:color w:val="auto"/>
          <w:sz w:val="32"/>
          <w:szCs w:val="32"/>
          <w:highlight w:val="none"/>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2、公务接待费支出决算为2.36万元，全年共接待来访团组36个、来宾213人次，主要是省及市州相关部门调研和县市汇报业务工作发生的接待支出。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3、公务用车购置费及运行维护费支出决算为6.25万元，其中：公务用车购置费0万元，单位本级更新公务用车0辆，公务用车运行维护费6.25万元，主要是</w:t>
      </w:r>
      <w:r>
        <w:rPr>
          <w:rFonts w:hint="eastAsia" w:ascii="仿宋_GB2312" w:hAnsi="仿宋_GB2312" w:eastAsia="仿宋_GB2312" w:cs="仿宋_GB2312"/>
          <w:color w:val="auto"/>
          <w:kern w:val="0"/>
          <w:sz w:val="32"/>
          <w:szCs w:val="32"/>
          <w:highlight w:val="none"/>
        </w:rPr>
        <w:t>燃料费、维修费、过桥过路费、保险费、安全奖励费用等支出</w:t>
      </w:r>
      <w:r>
        <w:rPr>
          <w:rFonts w:hint="eastAsia" w:ascii="仿宋_GB2312" w:hAnsi="仿宋_GB2312" w:eastAsia="仿宋_GB2312" w:cs="仿宋_GB2312"/>
          <w:color w:val="auto"/>
          <w:sz w:val="32"/>
          <w:szCs w:val="32"/>
          <w:highlight w:val="none"/>
        </w:rPr>
        <w:t>，截止2022年12月31日，我单位开支财政拨款的公务用车保有量为2台。</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八、政府性基金预算财政拨款收入支出决算情况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2022年度本单位无政府性基金收支。</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sz w:val="32"/>
          <w:szCs w:val="32"/>
          <w:highlight w:val="none"/>
        </w:rPr>
        <w:t>九、</w:t>
      </w:r>
      <w:r>
        <w:rPr>
          <w:rFonts w:hint="eastAsia" w:ascii="仿宋_GB2312" w:hAnsi="仿宋_GB2312" w:eastAsia="仿宋_GB2312" w:cs="仿宋_GB2312"/>
          <w:b/>
          <w:bCs/>
          <w:color w:val="auto"/>
          <w:kern w:val="0"/>
          <w:sz w:val="32"/>
          <w:szCs w:val="32"/>
          <w:highlight w:val="none"/>
        </w:rPr>
        <w:t>国有资本经营预算财政拨款支出决算情况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2022年度本单位无国有资本经营预算</w:t>
      </w:r>
      <w:r>
        <w:rPr>
          <w:rFonts w:hint="eastAsia" w:ascii="仿宋" w:hAnsi="仿宋" w:eastAsia="仿宋" w:cs="仿宋_GB2312"/>
          <w:b w:val="0"/>
          <w:bCs w:val="0"/>
          <w:color w:val="auto"/>
          <w:sz w:val="32"/>
          <w:szCs w:val="32"/>
          <w:highlight w:val="none"/>
        </w:rPr>
        <w:t>财政拨款支出</w:t>
      </w:r>
      <w:r>
        <w:rPr>
          <w:rFonts w:hint="eastAsia" w:ascii="仿宋" w:hAnsi="仿宋" w:eastAsia="仿宋"/>
          <w:color w:val="auto"/>
          <w:sz w:val="32"/>
          <w:szCs w:val="32"/>
          <w:highlight w:val="none"/>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十、关于机关运行经费支出说明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本部门2022年度机关运行经费支出49.80万元，比年初预算数增加11.40万元，增长</w:t>
      </w:r>
      <w:r>
        <w:rPr>
          <w:rFonts w:hint="eastAsia" w:ascii="仿宋_GB2312" w:hAnsi="仿宋_GB2312" w:eastAsia="仿宋_GB2312" w:cs="仿宋_GB2312"/>
          <w:color w:val="auto"/>
          <w:sz w:val="32"/>
          <w:szCs w:val="32"/>
          <w:highlight w:val="none"/>
          <w:lang w:val="en-US" w:eastAsia="zh-CN"/>
        </w:rPr>
        <w:t>29.69</w:t>
      </w:r>
      <w:r>
        <w:rPr>
          <w:rFonts w:hint="eastAsia" w:ascii="仿宋_GB2312" w:hAnsi="仿宋_GB2312" w:eastAsia="仿宋_GB2312" w:cs="仿宋_GB2312"/>
          <w:color w:val="auto"/>
          <w:sz w:val="32"/>
          <w:szCs w:val="32"/>
          <w:highlight w:val="none"/>
        </w:rPr>
        <w:t>%。主要原因是：一是工会经费增加，二是其他商品服务支出增加。</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十一、一般性支出情况说明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i/>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本部门开支会议费1.84万元，用于召开全省科技创新电视电话会议和全市科技创新工作会议、项目评审会议、科技工作推进会议等会议，人数200人，内容为：1、总结2021年全省科技创新工作和部署2022年全市科技创新工作，会议预算为0.56万元；2、市重点攻关项目“揭榜挂帅”评审会议，会议预算为1万元；3、二季度科技工作推进会议，会议预算0.5万元；4、怀化“五溪人才”评审会议，会议预算为1万元等。开支培训费6.88万元，用于开展新时代干部培训班、潇湘科技要素大市场应用培训、事业单位工作人员培训等，人数700人，内容为：1、科技、工信、商务新时代基层干部主题培训班，培训时间从2022年7月18日-7月20日，培训地点：市委党校，培训班预算为3万元；2、科技要素大市场线上平台运营业务培训，培训时间为2022年6月13日-6月27日，培训班预算为5.13万元等；我单位未举办任何节庆、晚会、论坛、赛事活动。</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十二、关于政府采购支出说明</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32"/>
          <w:highlight w:val="none"/>
        </w:rPr>
        <w:t>本部门202</w:t>
      </w:r>
      <w:r>
        <w:rPr>
          <w:rFonts w:hint="eastAsia" w:ascii="仿宋_GB2312" w:hAnsi="仿宋_GB2312" w:eastAsia="仿宋_GB2312"/>
          <w:color w:val="auto"/>
          <w:sz w:val="32"/>
          <w:szCs w:val="32"/>
          <w:highlight w:val="none"/>
          <w:lang w:val="en-US" w:eastAsia="zh-CN"/>
        </w:rPr>
        <w:t>2</w:t>
      </w:r>
      <w:r>
        <w:rPr>
          <w:rFonts w:hint="eastAsia" w:ascii="仿宋_GB2312" w:hAnsi="仿宋_GB2312" w:eastAsia="仿宋_GB2312"/>
          <w:color w:val="auto"/>
          <w:sz w:val="32"/>
          <w:szCs w:val="32"/>
          <w:highlight w:val="none"/>
        </w:rPr>
        <w:t>年度政府采购支出总额</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rPr>
        <w:t>万元，其中：政府采购货物支出</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color w:val="auto"/>
          <w:sz w:val="32"/>
          <w:szCs w:val="32"/>
          <w:highlight w:val="none"/>
        </w:rPr>
        <w:t>万元、政府采购工程支出</w:t>
      </w:r>
      <w:r>
        <w:rPr>
          <w:rFonts w:hint="default" w:ascii="仿宋_GB2312" w:hAnsi="仿宋_GB2312" w:eastAsia="仿宋_GB2312"/>
          <w:color w:val="auto"/>
          <w:sz w:val="32"/>
          <w:szCs w:val="32"/>
          <w:highlight w:val="none"/>
        </w:rPr>
        <w:t>0</w:t>
      </w:r>
      <w:r>
        <w:rPr>
          <w:rFonts w:hint="eastAsia" w:ascii="仿宋_GB2312" w:hAnsi="仿宋_GB2312" w:eastAsia="仿宋_GB2312"/>
          <w:color w:val="auto"/>
          <w:sz w:val="32"/>
          <w:szCs w:val="32"/>
          <w:highlight w:val="none"/>
        </w:rPr>
        <w:t>万元、政府采购服务支出</w:t>
      </w:r>
      <w:r>
        <w:rPr>
          <w:rFonts w:hint="default" w:ascii="仿宋_GB2312" w:hAnsi="仿宋_GB2312" w:eastAsia="仿宋_GB2312"/>
          <w:color w:val="auto"/>
          <w:sz w:val="32"/>
          <w:szCs w:val="32"/>
          <w:highlight w:val="none"/>
        </w:rPr>
        <w:t>0</w:t>
      </w:r>
      <w:r>
        <w:rPr>
          <w:rFonts w:hint="eastAsia" w:ascii="仿宋_GB2312" w:hAnsi="仿宋_GB2312" w:eastAsia="仿宋_GB2312"/>
          <w:color w:val="auto"/>
          <w:sz w:val="32"/>
          <w:szCs w:val="32"/>
          <w:highlight w:val="none"/>
        </w:rPr>
        <w:t>万元。授予中小企业合同金额</w:t>
      </w:r>
      <w:r>
        <w:rPr>
          <w:rFonts w:hint="default" w:ascii="仿宋_GB2312" w:hAnsi="仿宋_GB2312" w:eastAsia="仿宋_GB2312"/>
          <w:color w:val="auto"/>
          <w:sz w:val="32"/>
          <w:szCs w:val="32"/>
          <w:highlight w:val="none"/>
        </w:rPr>
        <w:t>0</w:t>
      </w:r>
      <w:r>
        <w:rPr>
          <w:rFonts w:hint="eastAsia"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lang w:val="en-US" w:eastAsia="zh-CN"/>
        </w:rPr>
        <w:t>无法计算授予中小企业合同金额占政府采购支出总额的百分比</w:t>
      </w:r>
      <w:r>
        <w:rPr>
          <w:rFonts w:hint="eastAsia" w:ascii="仿宋_GB2312" w:hAnsi="仿宋_GB2312" w:eastAsia="仿宋_GB2312"/>
          <w:color w:val="auto"/>
          <w:sz w:val="32"/>
          <w:szCs w:val="32"/>
          <w:highlight w:val="none"/>
        </w:rPr>
        <w:t>。</w:t>
      </w:r>
      <w:bookmarkStart w:id="5" w:name="DIS_MARK_GP_BGT_CGHW_AMT"/>
      <w:r>
        <w:rPr>
          <w:rFonts w:hint="eastAsia" w:ascii="仿宋_GB2312" w:hAnsi="仿宋_GB2312" w:eastAsia="仿宋_GB2312"/>
          <w:color w:val="auto"/>
          <w:sz w:val="32"/>
          <w:szCs w:val="32"/>
          <w:highlight w:val="none"/>
        </w:rPr>
        <w:t>其中：授予小微企业合同金额0万元，</w:t>
      </w:r>
      <w:r>
        <w:rPr>
          <w:rFonts w:hint="eastAsia" w:ascii="仿宋_GB2312" w:hAnsi="仿宋_GB2312" w:eastAsia="仿宋_GB2312"/>
          <w:color w:val="auto"/>
          <w:sz w:val="32"/>
          <w:szCs w:val="32"/>
          <w:highlight w:val="none"/>
          <w:lang w:val="en-US" w:eastAsia="zh-CN"/>
        </w:rPr>
        <w:t>无法计算授予</w:t>
      </w:r>
      <w:r>
        <w:rPr>
          <w:rFonts w:hint="eastAsia" w:ascii="仿宋_GB2312" w:hAnsi="仿宋_GB2312" w:eastAsia="仿宋_GB2312"/>
          <w:color w:val="auto"/>
          <w:sz w:val="32"/>
          <w:szCs w:val="32"/>
          <w:highlight w:val="none"/>
        </w:rPr>
        <w:t>小微企业</w:t>
      </w:r>
      <w:r>
        <w:rPr>
          <w:rFonts w:hint="eastAsia" w:ascii="仿宋_GB2312" w:hAnsi="仿宋_GB2312" w:eastAsia="仿宋_GB2312"/>
          <w:color w:val="auto"/>
          <w:sz w:val="32"/>
          <w:szCs w:val="32"/>
          <w:highlight w:val="none"/>
          <w:lang w:val="en-US" w:eastAsia="zh-CN"/>
        </w:rPr>
        <w:t>合同金额占政府采购支出总额的百分比</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val="en-US" w:eastAsia="zh-CN"/>
        </w:rPr>
        <w:t>由于</w:t>
      </w:r>
      <w:r>
        <w:rPr>
          <w:rFonts w:hint="eastAsia" w:ascii="仿宋_GB2312" w:hAnsi="仿宋_GB2312" w:eastAsia="仿宋_GB2312"/>
          <w:color w:val="auto"/>
          <w:sz w:val="32"/>
          <w:szCs w:val="32"/>
          <w:highlight w:val="none"/>
        </w:rPr>
        <w:t>货物采购授予中小企业合同金额占货物支出金额</w:t>
      </w:r>
      <w:r>
        <w:rPr>
          <w:rFonts w:hint="eastAsia" w:ascii="仿宋_GB2312" w:hAnsi="仿宋_GB2312" w:eastAsia="仿宋_GB2312"/>
          <w:color w:val="auto"/>
          <w:sz w:val="32"/>
          <w:szCs w:val="32"/>
          <w:highlight w:val="none"/>
          <w:lang w:val="en-US" w:eastAsia="zh-CN"/>
        </w:rPr>
        <w:t>0万元</w:t>
      </w:r>
      <w:bookmarkEnd w:id="5"/>
      <w:bookmarkStart w:id="6" w:name="DIS_MARK_GP_BGT_CGGC_AMT"/>
      <w:bookmarkEnd w:id="6"/>
      <w:bookmarkStart w:id="7" w:name="END_GP_BGT_CGHW_AMT"/>
      <w:bookmarkEnd w:id="7"/>
      <w:bookmarkStart w:id="8" w:name="START_GP_BGT_CGHW_AMT_1"/>
      <w:bookmarkEnd w:id="8"/>
      <w:bookmarkStart w:id="9" w:name="DIS_MARK_GP_BGT_CGHW_AMT_1"/>
      <w:bookmarkEnd w:id="9"/>
      <w:bookmarkStart w:id="10" w:name="END_GP_BGT_CGHW_AMT_1"/>
      <w:bookmarkEnd w:id="10"/>
      <w:bookmarkStart w:id="11" w:name="END_GP_BGT_CGGC_AMT"/>
      <w:bookmarkEnd w:id="11"/>
      <w:bookmarkStart w:id="12" w:name="START_GP_BGT_CGGC_AMT_1"/>
      <w:bookmarkEnd w:id="12"/>
      <w:bookmarkStart w:id="13" w:name="START_GP_BGT_CGGC_AMT"/>
      <w:bookmarkEnd w:id="13"/>
      <w:bookmarkStart w:id="14" w:name="DIS_MARK_GP_BGT_CGGC_AMT_1"/>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rPr>
        <w:t>无法计算货物采购授予中小企业合同金额占</w:t>
      </w:r>
      <w:r>
        <w:rPr>
          <w:rFonts w:hint="eastAsia" w:ascii="仿宋_GB2312" w:hAnsi="仿宋_GB2312" w:eastAsia="仿宋_GB2312"/>
          <w:color w:val="auto"/>
          <w:sz w:val="32"/>
          <w:szCs w:val="32"/>
          <w:highlight w:val="none"/>
          <w:lang w:val="en-US" w:eastAsia="zh-CN"/>
        </w:rPr>
        <w:t>货物</w:t>
      </w:r>
      <w:r>
        <w:rPr>
          <w:rFonts w:hint="eastAsia" w:ascii="仿宋_GB2312" w:hAnsi="仿宋_GB2312" w:eastAsia="仿宋_GB2312"/>
          <w:color w:val="auto"/>
          <w:sz w:val="32"/>
          <w:szCs w:val="32"/>
          <w:highlight w:val="none"/>
        </w:rPr>
        <w:t>支出金额的百分比；由于工程支出金额为0万元，无法计算工程采购授予中小企业合同金额占工程支出金额的百分比；</w:t>
      </w:r>
      <w:bookmarkEnd w:id="14"/>
      <w:bookmarkStart w:id="15" w:name="END_GP_BGT_CGGC_AMT_1"/>
      <w:bookmarkEnd w:id="15"/>
      <w:bookmarkStart w:id="16" w:name="START_GP_BGT_CGFW_AMT"/>
      <w:bookmarkEnd w:id="16"/>
      <w:bookmarkStart w:id="17" w:name="DIS_MARK_GP_BGT_CGFW_AMT"/>
      <w:r>
        <w:rPr>
          <w:rFonts w:hint="eastAsia" w:ascii="仿宋_GB2312" w:hAnsi="仿宋_GB2312" w:eastAsia="仿宋_GB2312"/>
          <w:color w:val="auto"/>
          <w:sz w:val="32"/>
          <w:szCs w:val="32"/>
          <w:highlight w:val="none"/>
        </w:rPr>
        <w:t>由于</w:t>
      </w:r>
      <w:r>
        <w:rPr>
          <w:rFonts w:hint="eastAsia" w:ascii="仿宋_GB2312" w:hAnsi="仿宋_GB2312" w:eastAsia="仿宋_GB2312"/>
          <w:color w:val="auto"/>
          <w:sz w:val="32"/>
          <w:szCs w:val="32"/>
          <w:highlight w:val="none"/>
          <w:lang w:val="en-US" w:eastAsia="zh-CN"/>
        </w:rPr>
        <w:t>服务</w:t>
      </w:r>
      <w:r>
        <w:rPr>
          <w:rFonts w:hint="eastAsia" w:ascii="仿宋_GB2312" w:hAnsi="仿宋_GB2312" w:eastAsia="仿宋_GB2312"/>
          <w:color w:val="auto"/>
          <w:sz w:val="32"/>
          <w:szCs w:val="32"/>
          <w:highlight w:val="none"/>
        </w:rPr>
        <w:t>支出金额为0万元，无法计算</w:t>
      </w:r>
      <w:r>
        <w:rPr>
          <w:rFonts w:hint="eastAsia" w:ascii="仿宋_GB2312" w:hAnsi="仿宋_GB2312" w:eastAsia="仿宋_GB2312"/>
          <w:color w:val="auto"/>
          <w:sz w:val="32"/>
          <w:szCs w:val="32"/>
          <w:highlight w:val="none"/>
          <w:lang w:val="en-US" w:eastAsia="zh-CN"/>
        </w:rPr>
        <w:t>服务</w:t>
      </w:r>
      <w:r>
        <w:rPr>
          <w:rFonts w:hint="eastAsia" w:ascii="仿宋_GB2312" w:hAnsi="仿宋_GB2312" w:eastAsia="仿宋_GB2312"/>
          <w:color w:val="auto"/>
          <w:sz w:val="32"/>
          <w:szCs w:val="32"/>
          <w:highlight w:val="none"/>
        </w:rPr>
        <w:t>采购授予中小企业合同金额占</w:t>
      </w:r>
      <w:r>
        <w:rPr>
          <w:rFonts w:hint="eastAsia" w:ascii="仿宋_GB2312" w:hAnsi="仿宋_GB2312" w:eastAsia="仿宋_GB2312"/>
          <w:color w:val="auto"/>
          <w:sz w:val="32"/>
          <w:szCs w:val="32"/>
          <w:highlight w:val="none"/>
          <w:lang w:val="en-US" w:eastAsia="zh-CN"/>
        </w:rPr>
        <w:t>服务</w:t>
      </w:r>
      <w:r>
        <w:rPr>
          <w:rFonts w:hint="eastAsia" w:ascii="仿宋_GB2312" w:hAnsi="仿宋_GB2312" w:eastAsia="仿宋_GB2312"/>
          <w:color w:val="auto"/>
          <w:sz w:val="32"/>
          <w:szCs w:val="32"/>
          <w:highlight w:val="none"/>
        </w:rPr>
        <w:t>支出金额的百分比</w:t>
      </w:r>
      <w:bookmarkEnd w:id="17"/>
      <w:r>
        <w:rPr>
          <w:rFonts w:hint="eastAsia" w:ascii="仿宋_GB2312" w:hAnsi="仿宋_GB2312" w:eastAsia="仿宋_GB2312"/>
          <w:color w:val="auto"/>
          <w:sz w:val="32"/>
          <w:szCs w:val="32"/>
          <w:highlight w:val="none"/>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十三、关于国有资产占用情况说明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2022年12月31日，部门（单位）共有车辆2辆，其中，主要领导干部用车0辆，机要通信用车1辆、应急保障用车0辆、执法执勤用车0辆、特种专业技术用车0辆、其他用车1辆，其他用车主要是行政执法；单位价值50万元以上通用设备0台（套）；单位价值100万元以上专用设备0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十四、关于202</w:t>
      </w: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年度预算绩效情况的说明</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根据预算绩效管理要求，我单位对部门整体支出绩效开展了自评，涉及资金1046.60万元，自评覆盖率100%。绩效自评结果反映我单位2022年绩效目标完成较好，确保了单位机构的正常运行，其他严格按预算执行，完成各项工作目标（详见附件）。</w:t>
      </w: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both"/>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keepNext w:val="0"/>
        <w:keepLines w:val="0"/>
        <w:pageBreakBefore w:val="0"/>
        <w:kinsoku/>
        <w:wordWrap/>
        <w:overflowPunct/>
        <w:topLinePunct w:val="0"/>
        <w:bidi w:val="0"/>
        <w:snapToGrid/>
        <w:spacing w:line="600" w:lineRule="exact"/>
        <w:jc w:val="center"/>
        <w:textAlignment w:val="auto"/>
        <w:rPr>
          <w:rFonts w:hint="eastAsia" w:ascii="仿宋_GB2312" w:hAnsi="仿宋_GB2312" w:eastAsia="仿宋_GB2312" w:cs="仿宋_GB2312"/>
          <w:color w:val="auto"/>
          <w:sz w:val="32"/>
          <w:szCs w:val="32"/>
          <w:highlight w:val="none"/>
        </w:rPr>
      </w:pPr>
    </w:p>
    <w:p>
      <w:pPr>
        <w:pStyle w:val="10"/>
        <w:jc w:val="center"/>
        <w:rPr>
          <w:rFonts w:hint="eastAsia" w:ascii="黑体" w:hAnsi="黑体" w:eastAsia="黑体" w:cs="黑体"/>
          <w:color w:val="auto"/>
          <w:kern w:val="0"/>
          <w:sz w:val="72"/>
          <w:szCs w:val="72"/>
          <w:highlight w:val="none"/>
        </w:rPr>
      </w:pPr>
      <w:r>
        <w:rPr>
          <w:rFonts w:hint="eastAsia" w:ascii="黑体" w:hAnsi="黑体" w:eastAsia="黑体" w:cs="黑体"/>
          <w:color w:val="auto"/>
          <w:kern w:val="0"/>
          <w:sz w:val="72"/>
          <w:szCs w:val="72"/>
          <w:highlight w:val="none"/>
        </w:rPr>
        <w:t>第四部分</w:t>
      </w: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r>
        <w:rPr>
          <w:rFonts w:hint="eastAsia" w:ascii="黑体" w:hAnsi="黑体" w:eastAsia="黑体" w:cs="黑体"/>
          <w:color w:val="auto"/>
          <w:kern w:val="0"/>
          <w:sz w:val="72"/>
          <w:szCs w:val="72"/>
          <w:highlight w:val="none"/>
        </w:rPr>
        <w:t>名词解释</w:t>
      </w: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pStyle w:val="10"/>
        <w:jc w:val="center"/>
        <w:rPr>
          <w:rFonts w:hint="eastAsia" w:ascii="黑体" w:hAnsi="黑体" w:eastAsia="黑体" w:cs="黑体"/>
          <w:color w:val="auto"/>
          <w:kern w:val="0"/>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1、一般公共预算财政拨款收入：指财政当年拨付的资金。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2、事业收入：指事业单位开展专业业务活动及辅助活动所取得的收入。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3、经营收入：指事业单位开展专业业务活动及辅助活动所取得的收入。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4、其他收入：指除上述“财政拨款收入”和“事业收入”以外的收入。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5、上年结转：指以前年度尚未完成、结转到本年仍按原规定用途继续使用的资金。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6、结余分配：指事业单位按照规定提取的职工福利基金、事业基金。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7、年末结转和结余：指本年度或以前年度预算安排、因客观条件发生变化无法按原计划实施，需要延迟到以后年度按有关规定继续使用的资金。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8、基本支出：指为保障机构正常运转、完成日常工作任务而发生的人员支出和公用支出。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9、项目支出：指在基本支出之外为完成特定行政任务和事业发展目标所发生的支出。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10、“三公”经费：纳入财政预决算管理的“三公”经费，是指用财政拨款安排的因公出国（境）费、公务用车购置及运行维护费和公务接待费。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420" w:lineRule="exact"/>
        <w:ind w:firstLine="640" w:firstLineChars="200"/>
        <w:jc w:val="left"/>
        <w:textAlignment w:val="auto"/>
        <w:rPr>
          <w:rFonts w:hint="eastAsia" w:ascii="宋体" w:hAnsi="宋体" w:cs="宋体"/>
          <w:color w:val="auto"/>
          <w:kern w:val="0"/>
          <w:sz w:val="32"/>
          <w:szCs w:val="3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sz w:val="44"/>
          <w:szCs w:val="4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sz w:val="44"/>
          <w:szCs w:val="4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sz w:val="44"/>
          <w:szCs w:val="4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sz w:val="44"/>
          <w:szCs w:val="4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rPr>
        <w:t>第五部分</w:t>
      </w: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r>
        <w:rPr>
          <w:rFonts w:hint="eastAsia" w:ascii="黑体" w:hAnsi="黑体" w:eastAsia="黑体" w:cs="黑体"/>
          <w:color w:val="auto"/>
          <w:kern w:val="0"/>
          <w:sz w:val="72"/>
          <w:szCs w:val="72"/>
          <w:highlight w:val="none"/>
        </w:rPr>
        <w:t>附件</w:t>
      </w: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黑体" w:hAnsi="黑体" w:eastAsia="黑体" w:cs="黑体"/>
          <w:color w:val="auto"/>
          <w:kern w:val="0"/>
          <w:sz w:val="72"/>
          <w:szCs w:val="7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黑体" w:hAnsi="黑体" w:eastAsia="黑体" w:cs="黑体"/>
          <w:color w:val="auto"/>
          <w:kern w:val="0"/>
          <w:sz w:val="72"/>
          <w:szCs w:val="7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ascii="仿宋" w:hAnsi="仿宋" w:eastAsia="仿宋"/>
          <w:color w:val="auto"/>
          <w:sz w:val="32"/>
          <w:szCs w:val="32"/>
          <w:highlight w:val="none"/>
        </w:rPr>
        <w:t>1、</w:t>
      </w:r>
      <w:r>
        <w:rPr>
          <w:rFonts w:hint="eastAsia" w:ascii="仿宋_GB2312" w:hAnsi="仿宋_GB2312" w:eastAsia="仿宋_GB2312" w:cs="仿宋_GB2312"/>
          <w:b w:val="0"/>
          <w:bCs/>
          <w:color w:val="auto"/>
          <w:kern w:val="0"/>
          <w:sz w:val="32"/>
          <w:szCs w:val="32"/>
          <w:highlight w:val="none"/>
        </w:rPr>
        <w:t>2022年度部门整体支出绩效评价报告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b w:val="0"/>
          <w:bCs/>
          <w:color w:val="auto"/>
          <w:kern w:val="0"/>
          <w:sz w:val="32"/>
          <w:szCs w:val="32"/>
          <w:highlight w:val="none"/>
        </w:rPr>
        <w:t>2022年怀化市科技局决算公开表</w:t>
      </w:r>
    </w:p>
    <w:p>
      <w:pPr>
        <w:jc w:val="left"/>
        <w:rPr>
          <w:rFonts w:cs="黑体" w:asciiTheme="minorEastAsia" w:hAnsiTheme="minorEastAsia"/>
          <w:color w:val="auto"/>
          <w:kern w:val="0"/>
          <w:sz w:val="32"/>
          <w:szCs w:val="32"/>
          <w:highlight w:val="none"/>
        </w:rPr>
      </w:pPr>
    </w:p>
    <w:sectPr>
      <w:pgSz w:w="11906" w:h="16838"/>
      <w:pgMar w:top="720" w:right="720" w:bottom="0" w:left="11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方正小标宋_GBK">
    <w:altName w:val="方正小标宋简体"/>
    <w:panose1 w:val="02000000000000000000"/>
    <w:charset w:val="86"/>
    <w:family w:val="script"/>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思源黑体"/>
    <w:panose1 w:val="02010600040101010101"/>
    <w:charset w:val="86"/>
    <w:family w:val="auto"/>
    <w:pitch w:val="default"/>
    <w:sig w:usb0="00000000" w:usb1="00000000" w:usb2="00000000" w:usb3="00000000" w:csb0="0004009F" w:csb1="DFD70000"/>
  </w:font>
  <w:font w:name="仿宋">
    <w:altName w:val="思源黑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mVlZWE1YThmOTUxYzdmMmU4OWMyMmJiMWY5ZTgifQ=="/>
    <w:docVar w:name="KSO_WPS_MARK_KEY" w:val="a3e5ff16-0692-4dee-843e-9d151c78f698"/>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99405F"/>
    <w:rsid w:val="1ADE7B3F"/>
    <w:rsid w:val="1B6D05C1"/>
    <w:rsid w:val="1CED3A46"/>
    <w:rsid w:val="2DA75444"/>
    <w:rsid w:val="2FFE32C1"/>
    <w:rsid w:val="30990157"/>
    <w:rsid w:val="3F0518A0"/>
    <w:rsid w:val="3FFF2F04"/>
    <w:rsid w:val="56866B56"/>
    <w:rsid w:val="5777D4F5"/>
    <w:rsid w:val="5A2C5159"/>
    <w:rsid w:val="5EDFB266"/>
    <w:rsid w:val="5FC6BB1E"/>
    <w:rsid w:val="5FF720F1"/>
    <w:rsid w:val="6CE56F8B"/>
    <w:rsid w:val="6FBF75AF"/>
    <w:rsid w:val="737D59BA"/>
    <w:rsid w:val="743055B3"/>
    <w:rsid w:val="772F574B"/>
    <w:rsid w:val="77C37683"/>
    <w:rsid w:val="77FE55E2"/>
    <w:rsid w:val="79FF515B"/>
    <w:rsid w:val="7DBFA43E"/>
    <w:rsid w:val="7E9F11B4"/>
    <w:rsid w:val="7F971F91"/>
    <w:rsid w:val="7FA27CA4"/>
    <w:rsid w:val="7FC69637"/>
    <w:rsid w:val="7FFDB408"/>
    <w:rsid w:val="B5EF0F8B"/>
    <w:rsid w:val="CBFF70E0"/>
    <w:rsid w:val="D2FF94C1"/>
    <w:rsid w:val="DDF7577D"/>
    <w:rsid w:val="E98FA81D"/>
    <w:rsid w:val="EEABED75"/>
    <w:rsid w:val="FB36E1A6"/>
    <w:rsid w:val="FDFF1189"/>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paragraph" w:customStyle="1" w:styleId="16">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16"/>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7615</Words>
  <Characters>9262</Characters>
  <Lines>63</Lines>
  <Paragraphs>18</Paragraphs>
  <TotalTime>18</TotalTime>
  <ScaleCrop>false</ScaleCrop>
  <LinksUpToDate>false</LinksUpToDate>
  <CharactersWithSpaces>9917</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2020-07-07T18:32:00Z</dcterms:created>
  <dc:creator>李航 null</dc:creator>
  <cp:lastModifiedBy>HUAWEI</cp:lastModifiedBy>
  <cp:lastPrinted>2023-08-18T09:28:00Z</cp:lastPrinted>
  <dcterms:modified xsi:type="dcterms:W3CDTF">2025-11-24T10:29:47Z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4B39268A270246B5B6EAC1FCBB661D0B_12</vt:lpwstr>
  </property>
</Properties>
</file>