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44F1">
      <w:pPr>
        <w:widowControl/>
        <w:jc w:val="left"/>
        <w:rPr>
          <w:rFonts w:hint="eastAsia" w:ascii="方正楷体简体" w:hAnsi="方正楷体简体" w:eastAsia="方正楷体简体" w:cs="方正楷体简体"/>
          <w:bCs/>
          <w:kern w:val="0"/>
          <w:sz w:val="32"/>
          <w:szCs w:val="32"/>
          <w:lang w:val="en-US" w:eastAsia="zh-CN"/>
        </w:rPr>
      </w:pPr>
      <w:r>
        <w:rPr>
          <w:rFonts w:hint="eastAsia" w:ascii="方正楷体简体" w:hAnsi="方正楷体简体" w:eastAsia="方正楷体简体" w:cs="方正楷体简体"/>
          <w:bCs/>
          <w:kern w:val="0"/>
          <w:sz w:val="32"/>
          <w:szCs w:val="32"/>
        </w:rPr>
        <w:t>附件</w:t>
      </w:r>
      <w:r>
        <w:rPr>
          <w:rFonts w:hint="eastAsia" w:ascii="方正楷体简体" w:hAnsi="方正楷体简体" w:eastAsia="方正楷体简体" w:cs="方正楷体简体"/>
          <w:bCs/>
          <w:kern w:val="0"/>
          <w:sz w:val="32"/>
          <w:szCs w:val="32"/>
          <w:lang w:val="en-US" w:eastAsia="zh-CN"/>
        </w:rPr>
        <w:t>1</w:t>
      </w:r>
    </w:p>
    <w:p w14:paraId="773535F1">
      <w:pPr>
        <w:widowControl/>
        <w:jc w:val="left"/>
        <w:rPr>
          <w:rFonts w:hint="eastAsia"/>
          <w:bCs/>
          <w:kern w:val="0"/>
          <w:sz w:val="32"/>
          <w:szCs w:val="32"/>
          <w:lang w:val="en-US" w:eastAsia="zh-CN"/>
        </w:rPr>
      </w:pPr>
    </w:p>
    <w:p w14:paraId="7C579693">
      <w:pPr>
        <w:widowControl/>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2026年度怀化市教育局单位部门</w:t>
      </w:r>
    </w:p>
    <w:p w14:paraId="741759E7">
      <w:pPr>
        <w:widowControl/>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预算公开说明</w:t>
      </w:r>
    </w:p>
    <w:p w14:paraId="5F74242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9D9505D">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bCs/>
          <w:kern w:val="0"/>
          <w:sz w:val="32"/>
          <w:szCs w:val="32"/>
          <w:lang w:eastAsia="zh-CN"/>
        </w:rPr>
      </w:pPr>
    </w:p>
    <w:p w14:paraId="69DFF496">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center"/>
        <w:textAlignment w:val="auto"/>
        <w:outlineLvl w:val="9"/>
        <w:rPr>
          <w:rFonts w:hint="default"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lang w:eastAsia="zh-CN"/>
        </w:rPr>
        <w:t>目录</w:t>
      </w:r>
    </w:p>
    <w:p w14:paraId="23425979">
      <w:pPr>
        <w:keepNext w:val="0"/>
        <w:keepLines w:val="0"/>
        <w:pageBreakBefore w:val="0"/>
        <w:widowControl w:val="0"/>
        <w:kinsoku/>
        <w:wordWrap/>
        <w:overflowPunct/>
        <w:topLinePunct w:val="0"/>
        <w:autoSpaceDE/>
        <w:autoSpaceDN/>
        <w:bidi w:val="0"/>
        <w:adjustRightInd/>
        <w:snapToGrid/>
        <w:spacing w:line="500" w:lineRule="auto"/>
        <w:ind w:right="0" w:rightChars="0" w:firstLine="320" w:firstLineChars="100"/>
        <w:jc w:val="left"/>
        <w:textAlignment w:val="auto"/>
        <w:outlineLvl w:val="9"/>
        <w:rPr>
          <w:rFonts w:hint="default" w:ascii="Times New Roman" w:hAnsi="Times New Roman" w:eastAsia="黑体" w:cs="Times New Roman"/>
          <w:bCs/>
          <w:color w:val="auto"/>
          <w:kern w:val="0"/>
          <w:sz w:val="32"/>
          <w:szCs w:val="32"/>
          <w:lang w:val="en-US" w:eastAsia="zh-CN"/>
        </w:rPr>
      </w:pPr>
      <w:r>
        <w:rPr>
          <w:rFonts w:hint="eastAsia" w:eastAsia="黑体" w:cs="Times New Roman"/>
          <w:bCs/>
          <w:color w:val="auto"/>
          <w:kern w:val="0"/>
          <w:sz w:val="32"/>
          <w:szCs w:val="32"/>
          <w:lang w:eastAsia="zh-CN"/>
        </w:rPr>
        <w:t>第一部分</w:t>
      </w:r>
      <w:r>
        <w:rPr>
          <w:rFonts w:hint="eastAsia" w:eastAsia="黑体" w:cs="Times New Roman"/>
          <w:bCs/>
          <w:color w:val="auto"/>
          <w:kern w:val="0"/>
          <w:sz w:val="32"/>
          <w:szCs w:val="32"/>
          <w:lang w:val="en-US" w:eastAsia="zh-CN"/>
        </w:rPr>
        <w:t>2026年部门预算说明</w:t>
      </w:r>
    </w:p>
    <w:p w14:paraId="7AE9EAA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一、部门</w:t>
      </w:r>
      <w:r>
        <w:rPr>
          <w:rFonts w:hint="eastAsia" w:ascii="仿宋" w:hAnsi="仿宋" w:eastAsia="仿宋" w:cs="仿宋"/>
          <w:b w:val="0"/>
          <w:bCs/>
          <w:color w:val="auto"/>
          <w:kern w:val="0"/>
          <w:sz w:val="32"/>
          <w:szCs w:val="32"/>
          <w:lang w:eastAsia="zh-CN"/>
        </w:rPr>
        <w:t>基本概况</w:t>
      </w:r>
    </w:p>
    <w:p w14:paraId="2DE342DF">
      <w:pPr>
        <w:keepNext w:val="0"/>
        <w:keepLines w:val="0"/>
        <w:pageBreakBefore w:val="0"/>
        <w:widowControl w:val="0"/>
        <w:numPr>
          <w:ilvl w:val="0"/>
          <w:numId w:val="1"/>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部门预算单位构成</w:t>
      </w:r>
    </w:p>
    <w:p w14:paraId="02B9D71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eastAsia="zh-CN"/>
        </w:rPr>
        <w:t>三</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eastAsia="zh-CN"/>
        </w:rPr>
        <w:t>部门收支总体情况</w:t>
      </w:r>
    </w:p>
    <w:p w14:paraId="50C0F441">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一般公共预算财政拨款支出</w:t>
      </w:r>
    </w:p>
    <w:p w14:paraId="764F02DA">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政府性基金预算支出</w:t>
      </w:r>
    </w:p>
    <w:p w14:paraId="684E01EB">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六、其他重要事项的情况说明</w:t>
      </w:r>
    </w:p>
    <w:p w14:paraId="259EC6DC">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七、</w:t>
      </w:r>
      <w:r>
        <w:rPr>
          <w:rFonts w:hint="eastAsia" w:ascii="仿宋" w:hAnsi="仿宋" w:eastAsia="仿宋" w:cs="仿宋"/>
          <w:b w:val="0"/>
          <w:bCs/>
          <w:color w:val="auto"/>
          <w:sz w:val="32"/>
          <w:szCs w:val="32"/>
        </w:rPr>
        <w:t>名词解释</w:t>
      </w:r>
    </w:p>
    <w:p w14:paraId="2AB683C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第二部分2026年部门预算表</w:t>
      </w:r>
    </w:p>
    <w:p w14:paraId="02A1EDA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eastAsia="仿宋_GB2312"/>
          <w:color w:val="000000"/>
          <w:sz w:val="32"/>
          <w:szCs w:val="32"/>
        </w:rPr>
        <w:t>收支</w:t>
      </w:r>
      <w:r>
        <w:rPr>
          <w:rFonts w:hint="eastAsia" w:eastAsia="仿宋_GB2312"/>
          <w:color w:val="000000"/>
          <w:sz w:val="32"/>
          <w:szCs w:val="32"/>
          <w:lang w:eastAsia="zh-CN"/>
        </w:rPr>
        <w:t>预算</w:t>
      </w:r>
      <w:r>
        <w:rPr>
          <w:rFonts w:eastAsia="仿宋_GB2312"/>
          <w:color w:val="000000"/>
          <w:sz w:val="32"/>
          <w:szCs w:val="32"/>
        </w:rPr>
        <w:t>总表</w:t>
      </w:r>
    </w:p>
    <w:p w14:paraId="3947F7C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eastAsia="仿宋_GB2312"/>
          <w:color w:val="000000"/>
          <w:sz w:val="32"/>
          <w:szCs w:val="32"/>
        </w:rPr>
        <w:t>收入</w:t>
      </w:r>
      <w:r>
        <w:rPr>
          <w:rFonts w:hint="eastAsia" w:eastAsia="仿宋_GB2312"/>
          <w:color w:val="000000"/>
          <w:sz w:val="32"/>
          <w:szCs w:val="32"/>
          <w:lang w:eastAsia="zh-CN"/>
        </w:rPr>
        <w:t>预算总</w:t>
      </w:r>
      <w:r>
        <w:rPr>
          <w:rFonts w:eastAsia="仿宋_GB2312"/>
          <w:color w:val="000000"/>
          <w:sz w:val="32"/>
          <w:szCs w:val="32"/>
        </w:rPr>
        <w:t>表</w:t>
      </w:r>
    </w:p>
    <w:p w14:paraId="338F35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eastAsia="仿宋_GB2312"/>
          <w:color w:val="000000"/>
          <w:sz w:val="32"/>
          <w:szCs w:val="32"/>
        </w:rPr>
        <w:t>支出</w:t>
      </w:r>
      <w:r>
        <w:rPr>
          <w:rFonts w:hint="eastAsia" w:eastAsia="仿宋_GB2312"/>
          <w:color w:val="000000"/>
          <w:sz w:val="32"/>
          <w:szCs w:val="32"/>
          <w:lang w:eastAsia="zh-CN"/>
        </w:rPr>
        <w:t>预算总</w:t>
      </w:r>
      <w:r>
        <w:rPr>
          <w:rFonts w:eastAsia="仿宋_GB2312"/>
          <w:color w:val="000000"/>
          <w:sz w:val="32"/>
          <w:szCs w:val="32"/>
        </w:rPr>
        <w:t>表</w:t>
      </w:r>
    </w:p>
    <w:p w14:paraId="036CCC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eastAsia="仿宋_GB2312"/>
          <w:color w:val="000000"/>
          <w:sz w:val="32"/>
          <w:szCs w:val="32"/>
        </w:rPr>
        <w:t>财政拨款收支</w:t>
      </w:r>
      <w:r>
        <w:rPr>
          <w:rFonts w:hint="eastAsia" w:eastAsia="仿宋_GB2312"/>
          <w:color w:val="000000"/>
          <w:sz w:val="32"/>
          <w:szCs w:val="32"/>
          <w:lang w:eastAsia="zh-CN"/>
        </w:rPr>
        <w:t>预算</w:t>
      </w:r>
      <w:r>
        <w:rPr>
          <w:rFonts w:eastAsia="仿宋_GB2312"/>
          <w:color w:val="000000"/>
          <w:sz w:val="32"/>
          <w:szCs w:val="32"/>
        </w:rPr>
        <w:t>总表</w:t>
      </w:r>
    </w:p>
    <w:p w14:paraId="65D6185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hint="default" w:ascii="Times New Roman" w:hAnsi="Times New Roman" w:eastAsia="仿宋_GB2312" w:cs="Times New Roman"/>
          <w:b w:val="0"/>
          <w:bCs w:val="0"/>
          <w:color w:val="auto"/>
          <w:sz w:val="32"/>
          <w:szCs w:val="32"/>
          <w:lang w:val="en-US" w:eastAsia="zh-CN"/>
        </w:rPr>
        <w:t>5.</w:t>
      </w:r>
      <w:r>
        <w:rPr>
          <w:rFonts w:eastAsia="仿宋_GB2312"/>
          <w:color w:val="000000"/>
          <w:sz w:val="32"/>
          <w:szCs w:val="32"/>
        </w:rPr>
        <w:t>一般公共预算支出</w:t>
      </w:r>
      <w:r>
        <w:rPr>
          <w:rFonts w:hint="eastAsia" w:eastAsia="仿宋_GB2312"/>
          <w:color w:val="000000"/>
          <w:sz w:val="32"/>
          <w:szCs w:val="32"/>
          <w:lang w:eastAsia="zh-CN"/>
        </w:rPr>
        <w:t>预算</w:t>
      </w:r>
      <w:r>
        <w:rPr>
          <w:rFonts w:eastAsia="仿宋_GB2312"/>
          <w:color w:val="000000"/>
          <w:sz w:val="32"/>
          <w:szCs w:val="32"/>
        </w:rPr>
        <w:t>表</w:t>
      </w:r>
    </w:p>
    <w:p w14:paraId="11EC18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eastAsia="仿宋_GB2312"/>
          <w:color w:val="000000"/>
          <w:sz w:val="32"/>
          <w:szCs w:val="32"/>
        </w:rPr>
        <w:t>一般公共预算基本支出</w:t>
      </w:r>
      <w:r>
        <w:rPr>
          <w:rFonts w:hint="eastAsia" w:eastAsia="仿宋_GB2312"/>
          <w:color w:val="000000"/>
          <w:sz w:val="32"/>
          <w:szCs w:val="32"/>
          <w:lang w:eastAsia="zh-CN"/>
        </w:rPr>
        <w:t>预算</w:t>
      </w:r>
      <w:r>
        <w:rPr>
          <w:rFonts w:eastAsia="仿宋_GB2312"/>
          <w:color w:val="000000"/>
          <w:sz w:val="32"/>
          <w:szCs w:val="32"/>
        </w:rPr>
        <w:t>表</w:t>
      </w:r>
    </w:p>
    <w:p w14:paraId="1BA36F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7.</w:t>
      </w:r>
      <w:r>
        <w:rPr>
          <w:rFonts w:hint="eastAsia" w:eastAsia="仿宋_GB2312" w:cs="Times New Roman"/>
          <w:b w:val="0"/>
          <w:bCs w:val="0"/>
          <w:color w:val="auto"/>
          <w:sz w:val="32"/>
          <w:szCs w:val="32"/>
          <w:lang w:val="en-US" w:eastAsia="zh-CN"/>
        </w:rPr>
        <w:t>一般公共预算</w:t>
      </w:r>
      <w:r>
        <w:rPr>
          <w:rFonts w:eastAsia="仿宋_GB2312"/>
          <w:color w:val="000000"/>
          <w:sz w:val="32"/>
          <w:szCs w:val="32"/>
        </w:rPr>
        <w:t>“三公”经费支出</w:t>
      </w:r>
      <w:r>
        <w:rPr>
          <w:rFonts w:hint="eastAsia" w:eastAsia="仿宋_GB2312"/>
          <w:color w:val="000000"/>
          <w:sz w:val="32"/>
          <w:szCs w:val="32"/>
          <w:lang w:eastAsia="zh-CN"/>
        </w:rPr>
        <w:t>预算</w:t>
      </w:r>
      <w:r>
        <w:rPr>
          <w:rFonts w:eastAsia="仿宋_GB2312"/>
          <w:color w:val="000000"/>
          <w:sz w:val="32"/>
          <w:szCs w:val="32"/>
        </w:rPr>
        <w:t>表</w:t>
      </w:r>
    </w:p>
    <w:p w14:paraId="38BB63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8.</w:t>
      </w:r>
      <w:r>
        <w:rPr>
          <w:rFonts w:eastAsia="仿宋_GB2312"/>
          <w:color w:val="000000"/>
          <w:sz w:val="32"/>
          <w:szCs w:val="32"/>
        </w:rPr>
        <w:t>政府性基金预算支</w:t>
      </w:r>
      <w:r>
        <w:rPr>
          <w:rFonts w:hint="eastAsia" w:eastAsia="仿宋_GB2312"/>
          <w:color w:val="000000"/>
          <w:sz w:val="32"/>
          <w:szCs w:val="32"/>
          <w:lang w:eastAsia="zh-CN"/>
        </w:rPr>
        <w:t>出预算</w:t>
      </w:r>
      <w:r>
        <w:rPr>
          <w:rFonts w:eastAsia="仿宋_GB2312"/>
          <w:color w:val="000000"/>
          <w:sz w:val="32"/>
          <w:szCs w:val="32"/>
        </w:rPr>
        <w:t>表</w:t>
      </w:r>
    </w:p>
    <w:p w14:paraId="5F45FA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9.</w:t>
      </w:r>
      <w:r>
        <w:rPr>
          <w:rFonts w:hint="eastAsia" w:eastAsia="仿宋_GB2312"/>
          <w:color w:val="000000"/>
          <w:sz w:val="32"/>
          <w:szCs w:val="32"/>
          <w:lang w:eastAsia="zh-CN"/>
        </w:rPr>
        <w:t>项目支出预算表</w:t>
      </w:r>
    </w:p>
    <w:p w14:paraId="051366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lang w:val="en-US" w:eastAsia="zh-CN"/>
        </w:rPr>
        <w:t>.</w:t>
      </w:r>
      <w:r>
        <w:rPr>
          <w:rFonts w:hint="eastAsia" w:eastAsia="仿宋_GB2312"/>
          <w:color w:val="000000"/>
          <w:sz w:val="32"/>
          <w:szCs w:val="32"/>
          <w:lang w:eastAsia="zh-CN"/>
        </w:rPr>
        <w:t>国有资本经营预算支出预算表</w:t>
      </w:r>
    </w:p>
    <w:p w14:paraId="2C568E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11.项目支出绩效目标表</w:t>
      </w:r>
    </w:p>
    <w:p w14:paraId="751AA2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12.部门整体支出绩效目标表</w:t>
      </w:r>
    </w:p>
    <w:p w14:paraId="1F51D25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注：以上部门预算报表中，空表表示本部门无相关收支情况</w:t>
      </w:r>
    </w:p>
    <w:p w14:paraId="0C1DEE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p>
    <w:p w14:paraId="7ABECEB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1C12AA9">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4C999931">
      <w:pPr>
        <w:bidi w:val="0"/>
        <w:rPr>
          <w:rFonts w:hint="eastAsia"/>
          <w:lang w:val="en-US" w:eastAsia="zh-CN"/>
        </w:rPr>
      </w:pPr>
    </w:p>
    <w:p w14:paraId="132913ED">
      <w:pPr>
        <w:bidi w:val="0"/>
        <w:rPr>
          <w:rFonts w:hint="eastAsia"/>
          <w:lang w:val="en-US" w:eastAsia="zh-CN"/>
        </w:rPr>
      </w:pPr>
    </w:p>
    <w:p w14:paraId="32CA245B">
      <w:pPr>
        <w:bidi w:val="0"/>
        <w:rPr>
          <w:rFonts w:hint="eastAsia"/>
          <w:lang w:val="en-US" w:eastAsia="zh-CN"/>
        </w:rPr>
      </w:pPr>
    </w:p>
    <w:p w14:paraId="172EE815">
      <w:pPr>
        <w:bidi w:val="0"/>
        <w:rPr>
          <w:rFonts w:hint="eastAsia"/>
          <w:lang w:val="en-US" w:eastAsia="zh-CN"/>
        </w:rPr>
      </w:pPr>
    </w:p>
    <w:p w14:paraId="4C368DCC">
      <w:pPr>
        <w:bidi w:val="0"/>
        <w:rPr>
          <w:rFonts w:hint="eastAsia"/>
          <w:lang w:val="en-US" w:eastAsia="zh-CN"/>
        </w:rPr>
      </w:pPr>
    </w:p>
    <w:p w14:paraId="4ADD009C">
      <w:pPr>
        <w:bidi w:val="0"/>
        <w:rPr>
          <w:rFonts w:hint="eastAsia"/>
          <w:lang w:val="en-US" w:eastAsia="zh-CN"/>
        </w:rPr>
      </w:pPr>
    </w:p>
    <w:p w14:paraId="52E7FB5A">
      <w:pPr>
        <w:bidi w:val="0"/>
        <w:jc w:val="left"/>
        <w:rPr>
          <w:rFonts w:hint="eastAsia"/>
          <w:lang w:val="en-US" w:eastAsia="zh-CN"/>
        </w:rPr>
      </w:pPr>
      <w:r>
        <w:rPr>
          <w:rFonts w:hint="eastAsia"/>
          <w:lang w:val="en-US" w:eastAsia="zh-CN"/>
        </w:rPr>
        <w:br w:type="page"/>
      </w:r>
    </w:p>
    <w:p w14:paraId="3A666E9D">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一、部门基本概况</w:t>
      </w:r>
    </w:p>
    <w:p w14:paraId="753ABD23">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（一）部门职责</w:t>
      </w:r>
    </w:p>
    <w:p w14:paraId="04E77518">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1.贯彻落实国家教育工作的方针、政策和法律、法规，拟定全市教育改革与发展战略、方针、政策和规划，并组织实施。</w:t>
      </w:r>
    </w:p>
    <w:p w14:paraId="66A5BCCD">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2.负责各级各类教育的统筹规划和协调管理，会同有关部门制订各级各类学校的设置标准，指导各级各类学校的教育教学改革，负责教育基本信息的统计、分析和发布。</w:t>
      </w:r>
    </w:p>
    <w:p w14:paraId="506389C5">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3.负责推进义务教育均衡发展和促进教育公平，负责义务教育的宏观指导和协调；指导普通高中教育、幼儿教育和特殊教育工作。落实基础教育教学基本要求和教学基本文件，组织、参与基础教育地方教材的审定，全面实施素质教育。</w:t>
      </w:r>
    </w:p>
    <w:p w14:paraId="76BE717D">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4.指导以就</w:t>
      </w:r>
      <w:bookmarkStart w:id="0" w:name="_GoBack"/>
      <w:bookmarkEnd w:id="0"/>
      <w:r>
        <w:rPr>
          <w:rFonts w:hint="eastAsia" w:ascii="仿宋" w:hAnsi="仿宋" w:eastAsia="仿宋" w:cs="仿宋"/>
          <w:color w:val="auto"/>
          <w:sz w:val="30"/>
          <w:szCs w:val="30"/>
          <w:shd w:val="clear" w:color="auto" w:fill="FFFFFF"/>
        </w:rPr>
        <w:t>业为导向的职业教育的发展与改革，落实教学指导文件和教学评估标准，指导中等职业教育教材建设和职业指导工作。</w:t>
      </w:r>
    </w:p>
    <w:p w14:paraId="0C5C3602">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5.统筹指导全市基础教育、普通高等教育、职业技术教育、成人高等教育、高等教育自学考试以及民办教育等工作；指导、协调各县（市、区）和各部门有关教育工作；组织对普及九年义务教育的督导与评估。</w:t>
      </w:r>
    </w:p>
    <w:p w14:paraId="3ED3C30F">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6.统筹管理本部门教育经费；参与拟订全市教育经费筹措、教育拨款、教育基建投资的政策性措施；负责统计和监测全市教育经费的投入和使用情况；接有关规定管理香港、澳门特别行政区和台湾地区以及国外政府和组织对我市的教育援助和教育贷款；指导、管理全市资助经济困难学生和助学贷款工作；指导和组织实施教育系统内部审计工作。</w:t>
      </w:r>
    </w:p>
    <w:p w14:paraId="3CA68EAA">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7.统筹和指导少数民族教育工作，协调对少数民族地区和贫困地区的教育援助。</w:t>
      </w:r>
    </w:p>
    <w:p w14:paraId="630FBAB1">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8.指导各级各类学校精神文明建设工作（增加的职责），指导各级各类学校的思想政治工作、德育工作、体育卫生、艺术教育和国防教育工作，指导和协调教育系统的稳定工作。</w:t>
      </w:r>
    </w:p>
    <w:p w14:paraId="2DBC0E53">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9.依据《教师法》规定，在职责范围内，主管全市</w:t>
      </w:r>
      <w:r>
        <w:rPr>
          <w:rFonts w:hint="eastAsia" w:ascii="仿宋" w:hAnsi="仿宋" w:eastAsia="仿宋" w:cs="仿宋"/>
          <w:color w:val="auto"/>
          <w:sz w:val="30"/>
          <w:szCs w:val="30"/>
          <w:shd w:val="clear" w:color="auto" w:fill="FFFFFF"/>
          <w:lang w:eastAsia="zh-CN"/>
        </w:rPr>
        <w:t>教</w:t>
      </w:r>
      <w:r>
        <w:rPr>
          <w:rFonts w:hint="eastAsia" w:ascii="仿宋" w:hAnsi="仿宋" w:eastAsia="仿宋" w:cs="仿宋"/>
          <w:color w:val="auto"/>
          <w:sz w:val="30"/>
          <w:szCs w:val="30"/>
          <w:shd w:val="clear" w:color="auto" w:fill="FFFFFF"/>
        </w:rPr>
        <w:t>师工作；组织指导中小学教师的资格认定、招聘录用、职务评聘、培养培训、调配交流、档案管理和考核奖惩等工作；会同有关部门研究制定市内各级各类学校编制标准，并监督执行；指导教育系统人才队伍建设。</w:t>
      </w:r>
    </w:p>
    <w:p w14:paraId="596DC54B">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10.统筹管理各类高等、中等学历教育的招生考试工作；负责高校毕业生和中专毕业生的就业指工作；参与高等学校、中等专业学校毕业生就业制度改革，指导高等学校、中等专业学校毕业生就业创业工作。</w:t>
      </w:r>
    </w:p>
    <w:p w14:paraId="1CA706AB">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11.组织指导教育方面的国际交流与合作，统筹管理出国留学、来怀留学、中外合作办学，开展与香港、澳门特别行政区和台湾地区的教育合作与交</w:t>
      </w:r>
      <w:r>
        <w:rPr>
          <w:rFonts w:hint="eastAsia" w:ascii="仿宋" w:hAnsi="仿宋" w:eastAsia="仿宋" w:cs="仿宋"/>
          <w:color w:val="auto"/>
          <w:sz w:val="30"/>
          <w:szCs w:val="30"/>
          <w:shd w:val="clear" w:color="auto" w:fill="FFFFFF"/>
          <w:lang w:eastAsia="zh-CN"/>
        </w:rPr>
        <w:t>流</w:t>
      </w:r>
      <w:r>
        <w:rPr>
          <w:rFonts w:hint="eastAsia" w:ascii="仿宋" w:hAnsi="仿宋" w:eastAsia="仿宋" w:cs="仿宋"/>
          <w:color w:val="auto"/>
          <w:sz w:val="30"/>
          <w:szCs w:val="30"/>
          <w:shd w:val="clear" w:color="auto" w:fill="FFFFFF"/>
        </w:rPr>
        <w:t>，会同有关部门依法监督管理自费留学中介服务机构。</w:t>
      </w:r>
    </w:p>
    <w:p w14:paraId="3DB93583">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12.组织、指导全市教育督导工作。</w:t>
      </w:r>
    </w:p>
    <w:p w14:paraId="646CA6AC">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13.统筹管理全市语言文字工作，制定全市语言文字规划并组织实施，指导推广普通话和规范字及普通话师资培训工作。</w:t>
      </w:r>
    </w:p>
    <w:p w14:paraId="14727BDE">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14.协助市委织组织部考察和管理学校领导班子和领导干部。</w:t>
      </w:r>
    </w:p>
    <w:p w14:paraId="46AE6D39">
      <w:pPr>
        <w:pStyle w:val="5"/>
        <w:spacing w:before="0" w:beforeAutospacing="0" w:after="0" w:afterAutospacing="0" w:line="23" w:lineRule="atLeast"/>
        <w:ind w:firstLine="645"/>
        <w:rPr>
          <w:rFonts w:hint="eastAsia" w:ascii="仿宋" w:hAnsi="仿宋" w:eastAsia="仿宋" w:cs="仿宋"/>
          <w:color w:val="auto"/>
          <w:sz w:val="30"/>
          <w:szCs w:val="30"/>
          <w:shd w:val="clear" w:color="auto" w:fill="FFFFFF"/>
        </w:rPr>
      </w:pPr>
      <w:r>
        <w:rPr>
          <w:rFonts w:hint="eastAsia" w:ascii="仿宋" w:hAnsi="仿宋" w:eastAsia="仿宋" w:cs="仿宋"/>
          <w:color w:val="auto"/>
          <w:sz w:val="30"/>
          <w:szCs w:val="30"/>
          <w:shd w:val="clear" w:color="auto" w:fill="FFFFFF"/>
        </w:rPr>
        <w:t>15.行政审批事项：取消、下放、调整、增加由市人民政府公布予以变动的行政审批事项。</w:t>
      </w:r>
    </w:p>
    <w:p w14:paraId="4B63D805">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color w:val="auto"/>
          <w:sz w:val="30"/>
          <w:szCs w:val="30"/>
          <w:shd w:val="clear" w:color="auto" w:fill="FFFFFF"/>
        </w:rPr>
        <w:t>16.承办市人民政府交办的其他事项。</w:t>
      </w:r>
    </w:p>
    <w:p w14:paraId="4FAB4904">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（二）机构设置情况</w:t>
      </w:r>
    </w:p>
    <w:p w14:paraId="29E3E86B">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sz w:val="30"/>
          <w:szCs w:val="30"/>
          <w:lang w:eastAsia="zh-CN"/>
        </w:rPr>
        <w:t>怀化市教育局作为一级部门预算单位，内设科室为：</w:t>
      </w:r>
      <w:r>
        <w:rPr>
          <w:rFonts w:hint="eastAsia" w:ascii="仿宋" w:hAnsi="仿宋" w:eastAsia="仿宋" w:cs="仿宋"/>
          <w:b w:val="0"/>
          <w:bCs w:val="0"/>
          <w:sz w:val="30"/>
          <w:szCs w:val="30"/>
          <w:lang w:eastAsia="zh-CN"/>
        </w:rPr>
        <w:t>办公室（市委教育工作领导小组秘书组秘书科）、行政审批服务科(政策法规科)、发展规划与财务建设科(审计科)、师资教育科、基础教育科(民族教育科)、职业教育与成人教育科、体育卫生与艺术教育科、教育督导科、校外教育培训监管科、安全监督管理科、人事科（毕业生就业指导办公室）。机关党委（单列）。所属事业单位现共有9个：怀化市教育考试院、怀化市教师发展中心、怀化市学校安全服务中心、怀化市教育装备服务中心、怀化市教育科学研究院、怀化市民办教育服务中心、怀化市勤工俭学站、怀化市学生资助中心、怀化市教育信息中心。</w:t>
      </w:r>
    </w:p>
    <w:p w14:paraId="5200A8D6">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二、部门预算单位构成</w:t>
      </w:r>
    </w:p>
    <w:p w14:paraId="446AF700">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纳入2026年怀化市教育局部门预算编制范围的包括：怀化市教育局部门本级，无下属二级预算单位。</w:t>
      </w:r>
    </w:p>
    <w:p w14:paraId="1DD7868B">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三、部门收支总体情况</w:t>
      </w:r>
    </w:p>
    <w:p w14:paraId="63A9D817">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2026年部门预算包括本单位预算内的收支情况。</w:t>
      </w:r>
    </w:p>
    <w:p w14:paraId="1C74016F">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（一）收入预算</w:t>
      </w:r>
    </w:p>
    <w:p w14:paraId="5C6D0595">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包括一般公共预算、政府性基金、国有资本经营预算等财政拨款收入，以及经营收入、事业收入等单位资金。2026年年初本部门收入预算3728.63万元，其中，一般公共预算拨款2588.63万元，政府性基金预算拨款0万元，纳入财政专户管理的非税收入拨款1140.00万元，国有资本经营预算拨款0万元，上年结转结余0万元。同口径对比，收入较上年减少243.17万元，增长率-6.12%，主要原因是持续贯彻厉行节约要求，压减非刚性支出，同时财政专户管理的非税收入较上年有所下降。</w:t>
      </w:r>
    </w:p>
    <w:p w14:paraId="54F17605">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（二）支出预算</w:t>
      </w:r>
    </w:p>
    <w:p w14:paraId="2D8A8C40">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本部门支出预算数3728.63万元，其中，教育支出3728.63万元，占总支出的100%；一般公共服务支出、社会保障和就业支出、卫生健康支出、住房保障支出等其他支出均为0万元（支出科目归类优化调整）。同口径对比，支出较上年减少243.17万元，增长率-6.12%，主要原因是同步压减公用经费和部分专项支出，聚焦教育核心业务保障。</w:t>
      </w:r>
    </w:p>
    <w:p w14:paraId="5E58EB59">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四、一般公共预算财政拨款收支情况</w:t>
      </w:r>
    </w:p>
    <w:p w14:paraId="1CB0BF0B">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2026年本部门一般公共预算拨款支出为2588.63万元，全部为教育支出，占一般公共预算拨款支出的100%。具体安排情况如下：</w:t>
      </w:r>
    </w:p>
    <w:p w14:paraId="75AFA2A7">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（一）基本支出</w:t>
      </w:r>
    </w:p>
    <w:p w14:paraId="6BF73D7E">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2026年年初预算数为2503.63万元，是指为保障单位机构正常运转、完成日常工作任务而发生的各项支出。其中：</w:t>
      </w:r>
    </w:p>
    <w:p w14:paraId="4F232AC2">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人员经费2107.38万元，主要用于基本工资692.69万元、津贴补贴83.08万元、奖金361.30万元、绩效工资248.69万元、职工基本医疗保险缴费91.45万元、其他社会保障缴费62.50万元、机关事业单位基本养老保险缴费205.07万元、住房公积金170.93万元、退休费11.40万元、其他对个人和家庭的补助180.27万元、奖励金0.05万元等；</w:t>
      </w:r>
    </w:p>
    <w:p w14:paraId="1D97868C">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公用经费396.26万元，主要用于办公费64.97万元、印刷费10.00万元、水费13.00万元、电费28.00万元、邮电费11.00万元、物业管理费26.45万元、差旅费30.00万元、维修（护）费9.00万元、租赁费5.40万元、会议费8.00万元、培训费5.00万元、公务接待费1.00万元、劳务费13.25万元、委托业务费5.00万元、工会经费45.34万元（25.34万元+20.00万元）、公务用车运行维护费5.80万元、其他交通费用73.57万元、其他商品和服务支出16.10万元等。</w:t>
      </w:r>
    </w:p>
    <w:p w14:paraId="3651196C">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（二）项目支出</w:t>
      </w:r>
    </w:p>
    <w:p w14:paraId="727235BD">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2026年年初预算数为85.00万元，是指单位为完成特定行政工作任务或事业发展目标而发生的支出。其中：</w:t>
      </w:r>
    </w:p>
    <w:p w14:paraId="303ACC57">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教育督导经费5.00万元，主要用于开展常态化教育督导与专项督导工作，规范学校办学行为，强化教育质量监测与校园安全管控；</w:t>
      </w:r>
    </w:p>
    <w:p w14:paraId="7379110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考试考务职称评审等工作经费80.00万元，主要用于各类考试考务组织、职称评审相关工作，保障考试公平公正和评审工作规范有序开展。</w:t>
      </w:r>
    </w:p>
    <w:p w14:paraId="66EAD44F">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五、政府性基金支出情况</w:t>
      </w:r>
    </w:p>
    <w:p w14:paraId="308370AB">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2026年无政府性基金预算支出。</w:t>
      </w:r>
    </w:p>
    <w:p w14:paraId="6869A226">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六、其他重要事项的情况说明</w:t>
      </w:r>
    </w:p>
    <w:p w14:paraId="2D756E97">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（一）一般公共预算“三公”经费预算</w:t>
      </w:r>
    </w:p>
    <w:p w14:paraId="0A8A299D">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怀化市教育局安排一般公共预算“三公”经费预算数为6.80万元，其中，公务接待费1.00万元，公务用车购置费0万元，公务用车运行维护费5.80万元，因公出国（境）费0万元。2026年一般公共预算“三公”经费预算较上年预算数减少2.00万元，下降22.73%，主要因为严格按照“三公”经费“只减不增”原则，从严从紧安排支出，压缩非必要公务接待。</w:t>
      </w:r>
    </w:p>
    <w:p w14:paraId="78DCEFFC">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（二）机关运行经费</w:t>
      </w:r>
    </w:p>
    <w:p w14:paraId="23E2B9BA">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怀化市教育局机关运行经费396.26万元（公开表6公用经费安排的商品和服务支出），同口径对比，比上年预算数增加141.37万元，提高55.46%，主要因为本年度机关运行经费核算范围优化，将部分上年未纳入的工会经费、物业管理费等刚性支出足额纳入预算保障。主要用于：办公费64.97万元、差旅费30.00万元、公务用车运行维护费5.80万元、物业管理费26.45万元、工会经费45.34万元等。</w:t>
      </w:r>
    </w:p>
    <w:p w14:paraId="37FAC4F5">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（三）政府采购情况</w:t>
      </w:r>
    </w:p>
    <w:p w14:paraId="662CD8E2">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2026年怀化市教育局政府采购预算总额26.45万元，其中，政府采购货物预算0万元、政府采购工程预算0万元、政府采购服务预算26.45万元。较上年政府采购预算总额减少3.55万元，主要因为减少了非必要货物采购，聚焦核心服务保障。</w:t>
      </w:r>
    </w:p>
    <w:p w14:paraId="76CEFD08">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（四）预算绩效管理情况</w:t>
      </w:r>
    </w:p>
    <w:p w14:paraId="70DEF369">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按照市本级预算绩效管理工作的总体要求，2026年我单位整体支出3728.63万元，全部实行整体支出绩效目标管理；编报绩效目标的项目3个，涉及项目支出1025.00万元，其中教育督导经费5.00万元、考试考务等工作经费940.00万元、考试考务职称评审等工作经费80.00万元，全部实行项目支出绩效目标管理。</w:t>
      </w:r>
    </w:p>
    <w:p w14:paraId="2761A367">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（五）国有资产占用情况</w:t>
      </w:r>
    </w:p>
    <w:p w14:paraId="7D01862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截至2025年12月31日，本部门共有车辆2辆，其中，一般公务用车</w:t>
      </w: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辆、一般执法执勤用车0辆、特种专业技术用车0辆、其他用车</w:t>
      </w: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辆。单位价值50万元以上通用设备0台（套），单价100万元以上专用设备0台（套）。</w:t>
      </w:r>
    </w:p>
    <w:p w14:paraId="4D5D474E">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2026年，本部门无拟新增公务用车、单价50万元以上通用设备及单价100万元以上专用设备的计划。</w:t>
      </w:r>
    </w:p>
    <w:p w14:paraId="3FAD88F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（六）预算绩效目标说明</w:t>
      </w:r>
    </w:p>
    <w:p w14:paraId="44C37A12">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rPr>
        <w:t>本部门所有支出实行绩效目标管理。纳入2026年部门整体支出绩效目标的金额为3728.63万元，其中，基本支出2703.63万元，项目支出1025.00万元。具体绩效目标详见《部门整体支出绩效目标表》及《项目支出绩效目标表》。</w:t>
      </w:r>
    </w:p>
    <w:p w14:paraId="5B5993D6">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2" w:firstLineChars="200"/>
        <w:jc w:val="left"/>
        <w:textAlignment w:val="auto"/>
        <w:outlineLvl w:val="9"/>
        <w:rPr>
          <w:rFonts w:hint="eastAsia" w:ascii="仿宋" w:hAnsi="仿宋" w:eastAsia="仿宋" w:cs="仿宋"/>
          <w:b/>
          <w:bCs w:val="0"/>
          <w:kern w:val="0"/>
          <w:sz w:val="30"/>
          <w:szCs w:val="30"/>
        </w:rPr>
      </w:pPr>
      <w:r>
        <w:rPr>
          <w:rFonts w:hint="eastAsia" w:ascii="仿宋" w:hAnsi="仿宋" w:eastAsia="仿宋" w:cs="仿宋"/>
          <w:b/>
          <w:bCs w:val="0"/>
          <w:kern w:val="0"/>
          <w:sz w:val="30"/>
          <w:szCs w:val="30"/>
        </w:rPr>
        <w:t>（七）一般性支出情况</w:t>
      </w:r>
    </w:p>
    <w:p w14:paraId="76FDC13C">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2026年，本部门会议费预算13.00万元，具体为：日常行政会议预算8.00万元，内容为教育工作部署、政策传达等，预计参会人数根据会议内容合理安排；考试考务相关会议预算5.00万元，内容为考试组织协调、考务工作部署等，预计参会人数按需确定。较上年会议费预算减少19.00万元，主要因为精简会议规模和频次，推行线上线下结合会议模式。</w:t>
      </w:r>
    </w:p>
    <w:p w14:paraId="3172B3FA">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2026年，本部门培训费预算9.00万元，具体为：日常业务培训预算5.00万元，内容为教育管理业务、政策法规学习等，预计人数根据培训需求确定；考试考务相关培训预算4.00万元，内容为考务工作规范、流程操作等，预计人数按需确定。较上年培训费预算减少21.00万元，主要因为优化培训方式，聚焦核心业务开展精准培训，减少通用性培训。</w:t>
      </w:r>
    </w:p>
    <w:p w14:paraId="07CD8E06">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3.</w:t>
      </w:r>
      <w:r>
        <w:rPr>
          <w:rFonts w:hint="eastAsia" w:ascii="仿宋" w:hAnsi="仿宋" w:eastAsia="仿宋" w:cs="仿宋"/>
          <w:bCs/>
          <w:kern w:val="0"/>
          <w:sz w:val="30"/>
          <w:szCs w:val="30"/>
        </w:rPr>
        <w:t>2026年，本部门无举办节庆、晚会、论坛、赛事等相关预算，与上年保持一致。</w:t>
      </w:r>
    </w:p>
    <w:p w14:paraId="5A39C9F5">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cs="Times New Roman"/>
          <w:bCs/>
          <w:kern w:val="0"/>
          <w:sz w:val="32"/>
          <w:szCs w:val="32"/>
        </w:rPr>
      </w:pPr>
      <w:r>
        <w:rPr>
          <w:rFonts w:hint="eastAsia" w:eastAsia="黑体" w:cs="Times New Roman"/>
          <w:bCs/>
          <w:kern w:val="0"/>
          <w:sz w:val="32"/>
          <w:szCs w:val="32"/>
        </w:rPr>
        <w:t>七、专业名词解释</w:t>
      </w:r>
    </w:p>
    <w:p w14:paraId="5E491939">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楷体" w:hAnsi="楷体" w:eastAsia="楷体" w:cs="楷体"/>
          <w:bCs/>
          <w:kern w:val="0"/>
          <w:sz w:val="30"/>
          <w:szCs w:val="30"/>
        </w:rPr>
        <w:t>机关运行经费：</w:t>
      </w:r>
      <w:r>
        <w:rPr>
          <w:rFonts w:hint="eastAsia" w:ascii="仿宋" w:hAnsi="仿宋" w:eastAsia="仿宋" w:cs="仿宋"/>
          <w:bCs/>
          <w:kern w:val="0"/>
          <w:sz w:val="30"/>
          <w:szCs w:val="30"/>
        </w:rPr>
        <w:t>为保障行政单位（包括参照公务员法管理的事业单位）运行，用一般公共预算拨款安排用于购买货物和服务的各项资金，包括办公及印刷费、邮电费、差旅费、会议费、福利费、日常维修费、办公用房水电费、办公用房物业管理费、公务用车运行维护费以及其他费用。</w:t>
      </w:r>
    </w:p>
    <w:p w14:paraId="3FA97B4D">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eastAsia="仿宋_GB2312"/>
          <w:sz w:val="32"/>
          <w:szCs w:val="32"/>
          <w:lang w:val="en-US" w:eastAsia="zh-CN"/>
        </w:rPr>
      </w:pPr>
      <w:r>
        <w:rPr>
          <w:rFonts w:hint="eastAsia" w:ascii="楷体" w:hAnsi="楷体" w:eastAsia="楷体" w:cs="楷体"/>
          <w:bCs/>
          <w:kern w:val="0"/>
          <w:sz w:val="30"/>
          <w:szCs w:val="30"/>
        </w:rPr>
        <w:t>一般公共预算“三公”经费：</w:t>
      </w:r>
      <w:r>
        <w:rPr>
          <w:rFonts w:hint="eastAsia" w:ascii="仿宋" w:hAnsi="仿宋" w:eastAsia="仿宋" w:cs="仿宋"/>
          <w:bCs/>
          <w:kern w:val="0"/>
          <w:sz w:val="30"/>
          <w:szCs w:val="30"/>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67FE90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eastAsia="仿宋_GB2312"/>
          <w:sz w:val="32"/>
          <w:szCs w:val="32"/>
          <w:lang w:val="en-US" w:eastAsia="zh-CN"/>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FFD55-B828-4672-B620-ABD809F256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00000000000000000"/>
    <w:charset w:val="86"/>
    <w:family w:val="auto"/>
    <w:pitch w:val="default"/>
    <w:sig w:usb0="00000000" w:usb1="00000000" w:usb2="00000012" w:usb3="00000000" w:csb0="00040001" w:csb1="00000000"/>
    <w:embedRegular r:id="rId2" w:fontKey="{8E975ECE-3AB1-4F11-B788-A0E4FA29FF10}"/>
  </w:font>
  <w:font w:name="方正小标宋简体">
    <w:panose1 w:val="02000000000000000000"/>
    <w:charset w:val="86"/>
    <w:family w:val="auto"/>
    <w:pitch w:val="default"/>
    <w:sig w:usb0="00000001" w:usb1="08000000" w:usb2="00000000" w:usb3="00000000" w:csb0="00040000" w:csb1="00000000"/>
    <w:embedRegular r:id="rId3" w:fontKey="{E7FBC357-4CDA-4EB7-98F7-E4F38249830C}"/>
  </w:font>
  <w:font w:name="楷体_GB2312">
    <w:altName w:val="楷体"/>
    <w:panose1 w:val="02010609030101010101"/>
    <w:charset w:val="86"/>
    <w:family w:val="modern"/>
    <w:pitch w:val="default"/>
    <w:sig w:usb0="00000000" w:usb1="00000000" w:usb2="00000000" w:usb3="00000000" w:csb0="00040000" w:csb1="00000000"/>
    <w:embedRegular r:id="rId4" w:fontKey="{39BAE929-8E95-46B2-8D59-29ACDFD84B57}"/>
  </w:font>
  <w:font w:name="楷体">
    <w:panose1 w:val="02010609060101010101"/>
    <w:charset w:val="86"/>
    <w:family w:val="auto"/>
    <w:pitch w:val="default"/>
    <w:sig w:usb0="800002BF" w:usb1="38CF7CFA" w:usb2="00000016" w:usb3="00000000" w:csb0="00040001" w:csb1="00000000"/>
    <w:embedRegular r:id="rId5" w:fontKey="{36A8B4EA-5378-4DA1-B382-755ECCCA30E9}"/>
  </w:font>
  <w:font w:name="仿宋">
    <w:panose1 w:val="02010609060101010101"/>
    <w:charset w:val="86"/>
    <w:family w:val="auto"/>
    <w:pitch w:val="default"/>
    <w:sig w:usb0="800002BF" w:usb1="38CF7CFA" w:usb2="00000016" w:usb3="00000000" w:csb0="00040001" w:csb1="00000000"/>
    <w:embedRegular r:id="rId6" w:fontKey="{565A4FE8-61B7-4813-8B0A-4C72A09E0D9C}"/>
  </w:font>
  <w:font w:name="仿宋_GB2312">
    <w:altName w:val="仿宋"/>
    <w:panose1 w:val="02010609030101010101"/>
    <w:charset w:val="86"/>
    <w:family w:val="modern"/>
    <w:pitch w:val="default"/>
    <w:sig w:usb0="00000000" w:usb1="00000000" w:usb2="00000000" w:usb3="00000000" w:csb0="00040000" w:csb1="00000000"/>
    <w:embedRegular r:id="rId7" w:fontKey="{626006DE-07AD-4F16-ABE1-9C524999BC92}"/>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0AD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F825">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6670" cy="13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670" cy="131445"/>
                      </a:xfrm>
                      <a:prstGeom prst="rect">
                        <a:avLst/>
                      </a:prstGeom>
                      <a:noFill/>
                      <a:ln>
                        <a:noFill/>
                      </a:ln>
                    </wps:spPr>
                    <wps:txbx>
                      <w:txbxContent>
                        <w:p w14:paraId="4A072EFC">
                          <w:pPr>
                            <w:pStyle w:val="3"/>
                            <w:rPr>
                              <w:rStyle w:val="9"/>
                            </w:rPr>
                          </w:pPr>
                          <w:r>
                            <w:fldChar w:fldCharType="begin"/>
                          </w:r>
                          <w:r>
                            <w:rPr>
                              <w:rStyle w:val="9"/>
                            </w:rPr>
                            <w:instrText xml:space="preserve">PAGE  </w:instrText>
                          </w:r>
                          <w:r>
                            <w:fldChar w:fldCharType="separate"/>
                          </w:r>
                          <w:r>
                            <w:rPr>
                              <w:rStyle w:val="9"/>
                            </w:rPr>
                            <w:t>1</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R4T90AAAAAIBAAAPAAAAAAAAAAEAIAAAACIAAABkcnMvZG93bnJldi54bWxQSwECFAAUAAAA&#10;CACHTuJAa3zF770BAACVAwAADgAAAAAAAAABACAAAAAfAQAAZHJzL2Uyb0RvYy54bWxQSwUGAAAA&#10;AAYABgBZAQAATgUAAAAA&#10;">
              <v:fill on="f" focussize="0,0"/>
              <v:stroke on="f"/>
              <v:imagedata o:title=""/>
              <o:lock v:ext="edit" aspectratio="f"/>
              <v:textbox inset="0mm,0mm,0mm,0mm" style="mso-fit-shape-to-text:t;">
                <w:txbxContent>
                  <w:p w14:paraId="4A072EFC">
                    <w:pPr>
                      <w:pStyle w:val="3"/>
                      <w:rPr>
                        <w:rStyle w:val="9"/>
                      </w:rPr>
                    </w:pPr>
                    <w:r>
                      <w:fldChar w:fldCharType="begin"/>
                    </w:r>
                    <w:r>
                      <w:rPr>
                        <w:rStyle w:val="9"/>
                      </w:rPr>
                      <w:instrText xml:space="preserve">PAGE  </w:instrText>
                    </w:r>
                    <w:r>
                      <w:fldChar w:fldCharType="separate"/>
                    </w:r>
                    <w:r>
                      <w:rPr>
                        <w:rStyle w:val="9"/>
                      </w:rPr>
                      <w:t>1</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8D2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A2B7"/>
    <w:multiLevelType w:val="singleLevel"/>
    <w:tmpl w:val="5A7FA2B7"/>
    <w:lvl w:ilvl="0" w:tentative="0">
      <w:start w:val="2"/>
      <w:numFmt w:val="chineseCounting"/>
      <w:suff w:val="nothing"/>
      <w:lvlText w:val="%1、"/>
      <w:lvlJc w:val="left"/>
    </w:lvl>
  </w:abstractNum>
  <w:abstractNum w:abstractNumId="1">
    <w:nsid w:val="5A7FA837"/>
    <w:multiLevelType w:val="singleLevel"/>
    <w:tmpl w:val="5A7FA837"/>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GEzMGUwNWJjMTc3MjYwM2EyOTY0MWE0ZmM0MzEifQ=="/>
  </w:docVars>
  <w:rsids>
    <w:rsidRoot w:val="004E6E3D"/>
    <w:rsid w:val="03023DA5"/>
    <w:rsid w:val="042228D2"/>
    <w:rsid w:val="04433323"/>
    <w:rsid w:val="05881A2C"/>
    <w:rsid w:val="05A425EB"/>
    <w:rsid w:val="07D74632"/>
    <w:rsid w:val="08466C90"/>
    <w:rsid w:val="09E5774A"/>
    <w:rsid w:val="0DB66903"/>
    <w:rsid w:val="14671B45"/>
    <w:rsid w:val="1496682F"/>
    <w:rsid w:val="157C6B16"/>
    <w:rsid w:val="18250522"/>
    <w:rsid w:val="1A5051A5"/>
    <w:rsid w:val="1ED6141B"/>
    <w:rsid w:val="218527E0"/>
    <w:rsid w:val="250E7A8A"/>
    <w:rsid w:val="268C786C"/>
    <w:rsid w:val="276F0967"/>
    <w:rsid w:val="28932515"/>
    <w:rsid w:val="2A0C345E"/>
    <w:rsid w:val="2E2477F7"/>
    <w:rsid w:val="2F830D35"/>
    <w:rsid w:val="31636116"/>
    <w:rsid w:val="32741650"/>
    <w:rsid w:val="39A141FC"/>
    <w:rsid w:val="3B9C74B3"/>
    <w:rsid w:val="3DAD604A"/>
    <w:rsid w:val="416B09D2"/>
    <w:rsid w:val="43A43CCA"/>
    <w:rsid w:val="45D61E36"/>
    <w:rsid w:val="4A67245D"/>
    <w:rsid w:val="506435A4"/>
    <w:rsid w:val="51077170"/>
    <w:rsid w:val="535836AB"/>
    <w:rsid w:val="556F46EC"/>
    <w:rsid w:val="55D67AAD"/>
    <w:rsid w:val="56CE5063"/>
    <w:rsid w:val="56FF5133"/>
    <w:rsid w:val="5AA4755C"/>
    <w:rsid w:val="5C04693A"/>
    <w:rsid w:val="5C5B50CB"/>
    <w:rsid w:val="5D7D47EF"/>
    <w:rsid w:val="601E4B2A"/>
    <w:rsid w:val="60E22426"/>
    <w:rsid w:val="620509C2"/>
    <w:rsid w:val="6361064F"/>
    <w:rsid w:val="642858BB"/>
    <w:rsid w:val="6A0478CB"/>
    <w:rsid w:val="6AB10152"/>
    <w:rsid w:val="6B260820"/>
    <w:rsid w:val="6BE62B36"/>
    <w:rsid w:val="72D775EE"/>
    <w:rsid w:val="79156D7B"/>
    <w:rsid w:val="79D6799A"/>
    <w:rsid w:val="7AFB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cs="宋体"/>
      <w:kern w:val="0"/>
      <w:sz w:val="24"/>
      <w:lang w:bidi="ar-SA"/>
    </w:rPr>
  </w:style>
  <w:style w:type="character" w:styleId="8">
    <w:name w:val="Strong"/>
    <w:uiPriority w:val="0"/>
    <w:rPr>
      <w:b/>
      <w:bCs/>
    </w:rPr>
  </w:style>
  <w:style w:type="character" w:styleId="9">
    <w:name w:val="page number"/>
    <w:basedOn w:val="7"/>
    <w:uiPriority w:val="0"/>
  </w:style>
  <w:style w:type="character" w:styleId="10">
    <w:name w:val="FollowedHyperlink"/>
    <w:basedOn w:val="7"/>
    <w:unhideWhenUsed/>
    <w:uiPriority w:val="99"/>
    <w:rPr>
      <w:color w:val="333333"/>
      <w:u w:val="none"/>
    </w:rPr>
  </w:style>
  <w:style w:type="character" w:styleId="11">
    <w:name w:val="Emphasis"/>
    <w:basedOn w:val="7"/>
    <w:qFormat/>
    <w:uiPriority w:val="20"/>
  </w:style>
  <w:style w:type="character" w:styleId="12">
    <w:name w:val="HTML Definition"/>
    <w:basedOn w:val="7"/>
    <w:unhideWhenUsed/>
    <w:uiPriority w:val="99"/>
  </w:style>
  <w:style w:type="character" w:styleId="13">
    <w:name w:val="HTML Acronym"/>
    <w:basedOn w:val="7"/>
    <w:unhideWhenUsed/>
    <w:uiPriority w:val="99"/>
  </w:style>
  <w:style w:type="character" w:styleId="14">
    <w:name w:val="HTML Variable"/>
    <w:basedOn w:val="7"/>
    <w:unhideWhenUsed/>
    <w:uiPriority w:val="99"/>
  </w:style>
  <w:style w:type="character" w:styleId="15">
    <w:name w:val="Hyperlink"/>
    <w:basedOn w:val="7"/>
    <w:unhideWhenUsed/>
    <w:uiPriority w:val="99"/>
    <w:rPr>
      <w:color w:val="333333"/>
      <w:u w:val="none"/>
    </w:rPr>
  </w:style>
  <w:style w:type="character" w:styleId="16">
    <w:name w:val="HTML Code"/>
    <w:basedOn w:val="7"/>
    <w:unhideWhenUsed/>
    <w:uiPriority w:val="99"/>
    <w:rPr>
      <w:rFonts w:ascii="Courier New" w:hAnsi="Courier New"/>
      <w:sz w:val="20"/>
    </w:rPr>
  </w:style>
  <w:style w:type="character" w:styleId="17">
    <w:name w:val="HTML Cite"/>
    <w:basedOn w:val="7"/>
    <w:unhideWhenUsed/>
    <w:uiPriority w:val="99"/>
  </w:style>
  <w:style w:type="character" w:customStyle="1" w:styleId="18">
    <w:name w:val="hj-easyread-speakerprocesser-position-action-icon"/>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4028</Words>
  <Characters>4497</Characters>
  <Lines>0</Lines>
  <Paragraphs>0</Paragraphs>
  <TotalTime>18</TotalTime>
  <ScaleCrop>false</ScaleCrop>
  <LinksUpToDate>false</LinksUpToDate>
  <CharactersWithSpaces>4497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2016-08-17T01:21:00Z</dcterms:created>
  <dc:creator>微软用户</dc:creator>
  <cp:lastModifiedBy>LAN</cp:lastModifiedBy>
  <cp:lastPrinted>2022-01-21T06:49:00Z</cp:lastPrinted>
  <dcterms:modified xsi:type="dcterms:W3CDTF">2026-01-26T01:40:42Z</dcterms:modified>
  <dc:title>科学技术部2012年部门预算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362188443_cloud</vt:lpwstr>
  </property>
  <property fmtid="{D5CDD505-2E9C-101B-9397-08002B2CF9AE}" pid="4" name="ICV">
    <vt:lpwstr>32D48C6E4ED948BEB54F65104032DF78_13</vt:lpwstr>
  </property>
  <property fmtid="{D5CDD505-2E9C-101B-9397-08002B2CF9AE}" pid="5" name="KSOTemplateDocerSaveRecord">
    <vt:lpwstr>eyJoZGlkIjoiNzhmNjQyYTI4MGM2NzJhMDhkYzIwOWE5MmQ2YTAwODAiLCJ1c2VySWQiOiI0MTAwOTE3ODgifQ==</vt:lpwstr>
  </property>
</Properties>
</file>