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楷体简体" w:hAnsi="方正楷体简体" w:eastAsia="方正楷体简体" w:cs="方正楷体简体"/>
          <w:bCs/>
          <w:kern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Cs/>
          <w:kern w:val="0"/>
          <w:sz w:val="32"/>
          <w:szCs w:val="32"/>
        </w:rPr>
        <w:t>附件</w:t>
      </w:r>
      <w:r>
        <w:rPr>
          <w:rFonts w:hint="eastAsia" w:ascii="方正楷体简体" w:hAnsi="方正楷体简体" w:eastAsia="方正楷体简体" w:cs="方正楷体简体"/>
          <w:bCs/>
          <w:kern w:val="0"/>
          <w:sz w:val="32"/>
          <w:szCs w:val="32"/>
          <w:lang w:val="en-US" w:eastAsia="zh-CN"/>
        </w:rPr>
        <w:t>1</w:t>
      </w:r>
    </w:p>
    <w:p>
      <w:pPr>
        <w:widowControl/>
        <w:jc w:val="left"/>
        <w:rPr>
          <w:rFonts w:hint="eastAsia"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Times New Roman" w:hAnsi="Times New Roman" w:eastAsia="方正小标宋简体" w:cs="Times New Roman"/>
          <w:w w:val="100"/>
          <w:kern w:val="0"/>
          <w:sz w:val="40"/>
          <w:szCs w:val="44"/>
        </w:rPr>
      </w:pPr>
      <w:r>
        <w:rPr>
          <w:rFonts w:hint="eastAsia" w:ascii="Times New Roman" w:hAnsi="Times New Roman" w:eastAsia="方正小标宋简体" w:cs="Times New Roman"/>
          <w:w w:val="100"/>
          <w:kern w:val="0"/>
          <w:sz w:val="40"/>
          <w:szCs w:val="44"/>
        </w:rPr>
        <w:t>2026年度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100"/>
          <w:kern w:val="0"/>
          <w:sz w:val="40"/>
          <w:szCs w:val="44"/>
        </w:rPr>
        <w:t>中共怀化市委员会宣传部</w:t>
      </w:r>
      <w:r>
        <w:rPr>
          <w:rFonts w:ascii="Times New Roman" w:hAnsi="Times New Roman" w:eastAsia="方正小标宋简体" w:cs="Times New Roman"/>
          <w:w w:val="100"/>
          <w:kern w:val="0"/>
          <w:sz w:val="40"/>
          <w:szCs w:val="44"/>
        </w:rPr>
        <w:t>部门预算公开</w:t>
      </w:r>
      <w:r>
        <w:rPr>
          <w:rFonts w:hint="eastAsia" w:ascii="Times New Roman" w:hAnsi="Times New Roman" w:eastAsia="方正小标宋简体" w:cs="Times New Roman"/>
          <w:w w:val="100"/>
          <w:kern w:val="0"/>
          <w:sz w:val="40"/>
          <w:szCs w:val="44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ind w:left="0" w:leftChars="0" w:right="0" w:rightChars="0"/>
        <w:jc w:val="left"/>
        <w:textAlignment w:val="auto"/>
        <w:outlineLvl w:val="9"/>
        <w:rPr>
          <w:rFonts w:hint="eastAsia" w:eastAsia="楷体_GB2312"/>
          <w:b/>
          <w:bCs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eastAsia="黑体"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27" w:firstLineChars="196"/>
        <w:jc w:val="center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eastAsia="zh-CN"/>
        </w:rPr>
        <w:t>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right="0" w:rightChars="0"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bCs/>
          <w:color w:val="auto"/>
          <w:kern w:val="0"/>
          <w:sz w:val="32"/>
          <w:szCs w:val="32"/>
          <w:lang w:eastAsia="zh-CN"/>
        </w:rPr>
        <w:t>第一部分</w:t>
      </w:r>
      <w:r>
        <w:rPr>
          <w:rFonts w:hint="eastAsia" w:eastAsia="黑体" w:cs="Times New Roman"/>
          <w:bCs/>
          <w:color w:val="auto"/>
          <w:kern w:val="0"/>
          <w:sz w:val="32"/>
          <w:szCs w:val="32"/>
          <w:lang w:val="en-US" w:eastAsia="zh-CN"/>
        </w:rPr>
        <w:t>2026年部门预算说明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一、部门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基本概况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部门预算单位构成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部门收支总体情况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一般公共预算财政拨款支出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政府性基金预算支出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六、其他重要事项的情况说明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名词解释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第二部分2026年部门预算表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eastAsia="仿宋_GB2312"/>
          <w:color w:val="000000"/>
          <w:sz w:val="32"/>
          <w:szCs w:val="32"/>
        </w:rPr>
        <w:t>收支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预算</w:t>
      </w:r>
      <w:r>
        <w:rPr>
          <w:rFonts w:eastAsia="仿宋_GB2312"/>
          <w:color w:val="000000"/>
          <w:sz w:val="32"/>
          <w:szCs w:val="32"/>
        </w:rPr>
        <w:t>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eastAsia="仿宋_GB2312"/>
          <w:color w:val="000000"/>
          <w:sz w:val="32"/>
          <w:szCs w:val="32"/>
        </w:rPr>
        <w:t>收入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预算总</w:t>
      </w:r>
      <w:r>
        <w:rPr>
          <w:rFonts w:eastAsia="仿宋_GB2312"/>
          <w:color w:val="000000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eastAsia="仿宋_GB2312"/>
          <w:color w:val="000000"/>
          <w:sz w:val="32"/>
          <w:szCs w:val="32"/>
        </w:rPr>
        <w:t>支出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预算总</w:t>
      </w:r>
      <w:r>
        <w:rPr>
          <w:rFonts w:eastAsia="仿宋_GB2312"/>
          <w:color w:val="000000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eastAsia="仿宋_GB2312"/>
          <w:color w:val="000000"/>
          <w:sz w:val="32"/>
          <w:szCs w:val="32"/>
        </w:rPr>
        <w:t>财政拨款收支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预算</w:t>
      </w:r>
      <w:r>
        <w:rPr>
          <w:rFonts w:eastAsia="仿宋_GB2312"/>
          <w:color w:val="000000"/>
          <w:sz w:val="32"/>
          <w:szCs w:val="32"/>
        </w:rPr>
        <w:t>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5.</w:t>
      </w:r>
      <w:r>
        <w:rPr>
          <w:rFonts w:eastAsia="仿宋_GB2312"/>
          <w:color w:val="000000"/>
          <w:sz w:val="32"/>
          <w:szCs w:val="32"/>
        </w:rPr>
        <w:t>一般公共预算支出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预算</w:t>
      </w:r>
      <w:r>
        <w:rPr>
          <w:rFonts w:eastAsia="仿宋_GB2312"/>
          <w:color w:val="000000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6.</w:t>
      </w:r>
      <w:r>
        <w:rPr>
          <w:rFonts w:eastAsia="仿宋_GB2312"/>
          <w:color w:val="000000"/>
          <w:sz w:val="32"/>
          <w:szCs w:val="32"/>
        </w:rPr>
        <w:t>一般公共预算基本支出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预算</w:t>
      </w:r>
      <w:r>
        <w:rPr>
          <w:rFonts w:eastAsia="仿宋_GB2312"/>
          <w:color w:val="000000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7.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一般公共预算</w:t>
      </w:r>
      <w:r>
        <w:rPr>
          <w:rFonts w:eastAsia="仿宋_GB2312"/>
          <w:color w:val="000000"/>
          <w:sz w:val="32"/>
          <w:szCs w:val="32"/>
        </w:rPr>
        <w:t>“三公”经费支出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预算</w:t>
      </w:r>
      <w:r>
        <w:rPr>
          <w:rFonts w:eastAsia="仿宋_GB2312"/>
          <w:color w:val="000000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8.</w:t>
      </w:r>
      <w:r>
        <w:rPr>
          <w:rFonts w:eastAsia="仿宋_GB2312"/>
          <w:color w:val="000000"/>
          <w:sz w:val="32"/>
          <w:szCs w:val="32"/>
        </w:rPr>
        <w:t>政府性基金预算支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出预算</w:t>
      </w:r>
      <w:r>
        <w:rPr>
          <w:rFonts w:eastAsia="仿宋_GB2312"/>
          <w:color w:val="000000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9.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项目支出预算表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国有资本经营预算支出预算表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11.项目支出绩效目标表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12.部门整体支出绩效目标表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注：以上部门预算报表中，空表表示本部门无相关收支情况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ind w:left="0" w:leftChars="0" w:right="0" w:rightChars="0"/>
        <w:jc w:val="left"/>
        <w:textAlignment w:val="auto"/>
        <w:outlineLvl w:val="9"/>
        <w:rPr>
          <w:rFonts w:hint="eastAsia" w:eastAsia="楷体_GB2312"/>
          <w:b/>
          <w:bCs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ind w:left="0" w:leftChars="0" w:right="0" w:rightChars="0"/>
        <w:jc w:val="left"/>
        <w:textAlignment w:val="auto"/>
        <w:outlineLvl w:val="9"/>
        <w:rPr>
          <w:rFonts w:hint="eastAsia" w:eastAsia="楷体_GB2312"/>
          <w:b/>
          <w:bCs w:val="0"/>
          <w:kern w:val="0"/>
          <w:sz w:val="32"/>
          <w:szCs w:val="32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ind w:firstLine="663" w:firstLineChars="221"/>
        <w:rPr>
          <w:rFonts w:hint="eastAsia" w:ascii="黑体" w:hAnsi="黑体" w:eastAsia="黑体" w:cs="黑体"/>
          <w:w w:val="100"/>
          <w:sz w:val="30"/>
          <w:szCs w:val="30"/>
        </w:rPr>
      </w:pPr>
      <w:r>
        <w:rPr>
          <w:rFonts w:hint="eastAsia" w:ascii="黑体" w:hAnsi="黑体" w:eastAsia="黑体" w:cs="黑体"/>
          <w:w w:val="100"/>
          <w:sz w:val="30"/>
          <w:szCs w:val="30"/>
        </w:rPr>
        <w:t>一、部门基本概况</w:t>
      </w:r>
    </w:p>
    <w:p>
      <w:pPr>
        <w:ind w:firstLine="665" w:firstLineChars="221"/>
        <w:rPr>
          <w:rFonts w:ascii="仿宋" w:hAnsi="仿宋" w:eastAsia="仿宋"/>
          <w:b/>
          <w:w w:val="100"/>
          <w:sz w:val="30"/>
          <w:szCs w:val="30"/>
        </w:rPr>
      </w:pPr>
      <w:r>
        <w:rPr>
          <w:rFonts w:hint="eastAsia" w:ascii="仿宋" w:hAnsi="仿宋" w:eastAsia="仿宋"/>
          <w:b/>
          <w:w w:val="100"/>
          <w:sz w:val="30"/>
          <w:szCs w:val="30"/>
        </w:rPr>
        <w:t>（一）部门职责</w:t>
      </w:r>
    </w:p>
    <w:p>
      <w:pPr>
        <w:ind w:firstLine="663" w:firstLineChars="221"/>
        <w:rPr>
          <w:rFonts w:ascii="仿宋" w:hAnsi="仿宋" w:eastAsia="仿宋"/>
          <w:w w:val="100"/>
          <w:sz w:val="30"/>
          <w:szCs w:val="30"/>
        </w:rPr>
      </w:pPr>
      <w:r>
        <w:rPr>
          <w:rFonts w:hint="eastAsia" w:ascii="仿宋" w:hAnsi="仿宋" w:eastAsia="仿宋"/>
          <w:w w:val="100"/>
          <w:sz w:val="30"/>
          <w:szCs w:val="30"/>
        </w:rPr>
        <w:t>中共怀化市委宣传部是市委主管意识形态方面工作的职能部门，机构职能（涉密）。</w:t>
      </w:r>
    </w:p>
    <w:p>
      <w:pPr>
        <w:ind w:firstLine="665" w:firstLineChars="221"/>
        <w:rPr>
          <w:rFonts w:ascii="仿宋" w:hAnsi="仿宋" w:eastAsia="仿宋"/>
          <w:b/>
          <w:w w:val="100"/>
          <w:sz w:val="30"/>
          <w:szCs w:val="30"/>
        </w:rPr>
      </w:pPr>
      <w:r>
        <w:rPr>
          <w:rFonts w:hint="eastAsia" w:ascii="仿宋" w:hAnsi="仿宋" w:eastAsia="仿宋"/>
          <w:b/>
          <w:w w:val="100"/>
          <w:sz w:val="30"/>
          <w:szCs w:val="30"/>
        </w:rPr>
        <w:t>（二）机构设置情况</w:t>
      </w:r>
    </w:p>
    <w:p>
      <w:pPr>
        <w:ind w:firstLine="663" w:firstLineChars="221"/>
        <w:rPr>
          <w:rFonts w:ascii="仿宋" w:hAnsi="仿宋" w:eastAsia="仿宋"/>
          <w:w w:val="100"/>
          <w:sz w:val="30"/>
          <w:szCs w:val="30"/>
        </w:rPr>
      </w:pPr>
      <w:r>
        <w:rPr>
          <w:rFonts w:hint="eastAsia" w:ascii="仿宋" w:hAnsi="仿宋" w:eastAsia="仿宋"/>
          <w:w w:val="100"/>
          <w:sz w:val="30"/>
          <w:szCs w:val="30"/>
        </w:rPr>
        <w:t>中共怀化市委宣传部（含市委网信办）作为一级部门预算单位，内设</w:t>
      </w:r>
      <w:r>
        <w:rPr>
          <w:rFonts w:ascii="仿宋" w:hAnsi="仿宋" w:eastAsia="仿宋"/>
          <w:w w:val="100"/>
          <w:sz w:val="30"/>
          <w:szCs w:val="30"/>
        </w:rPr>
        <w:t>13个职能科室（涉密不公开）及参公事业单位市文产办。市委网信办内设3个职能科室及全额事业单位舆情监测和新媒体中心。</w:t>
      </w:r>
    </w:p>
    <w:p>
      <w:pPr>
        <w:ind w:firstLine="663" w:firstLineChars="221"/>
        <w:rPr>
          <w:rFonts w:hint="eastAsia" w:ascii="黑体" w:hAnsi="黑体" w:eastAsia="黑体" w:cs="黑体"/>
          <w:w w:val="100"/>
          <w:sz w:val="30"/>
          <w:szCs w:val="30"/>
        </w:rPr>
      </w:pPr>
      <w:r>
        <w:rPr>
          <w:rFonts w:hint="eastAsia" w:ascii="黑体" w:hAnsi="黑体" w:eastAsia="黑体" w:cs="黑体"/>
          <w:w w:val="100"/>
          <w:sz w:val="30"/>
          <w:szCs w:val="30"/>
        </w:rPr>
        <w:t>二、部门预算单位构成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/>
          <w:w w:val="100"/>
          <w:sz w:val="30"/>
          <w:szCs w:val="30"/>
        </w:rPr>
        <w:t>纳入</w:t>
      </w:r>
      <w:r>
        <w:rPr>
          <w:rFonts w:ascii="仿宋" w:hAnsi="仿宋" w:eastAsia="仿宋"/>
          <w:w w:val="100"/>
          <w:sz w:val="30"/>
          <w:szCs w:val="30"/>
        </w:rPr>
        <w:t>202</w:t>
      </w:r>
      <w:r>
        <w:rPr>
          <w:rFonts w:hint="eastAsia" w:ascii="仿宋" w:hAnsi="仿宋" w:eastAsia="仿宋"/>
          <w:w w:val="100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w w:val="100"/>
          <w:sz w:val="30"/>
          <w:szCs w:val="30"/>
        </w:rPr>
        <w:t>年部门预算编制范围的包括：中国共产党怀化市委员会宣传部（本级）。</w:t>
      </w:r>
    </w:p>
    <w:p>
      <w:pPr>
        <w:ind w:left="0" w:leftChars="0" w:firstLine="639" w:firstLineChars="213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三、部门收支总体情况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2026年部门预算包括本单位预算内的收支情况。</w:t>
      </w:r>
    </w:p>
    <w:p>
      <w:pPr>
        <w:ind w:left="0" w:leftChars="0" w:firstLine="641" w:firstLineChars="21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（一）收入预算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包括一般公共预算、政府性基金、国有资本经营预算等财政拨款收入，以及经营收入、事业收入等单位资金。2026年年初本部门收入预算1795.32万元，其中，一般公共预算拨款1795.32万元，政府性基金预算拨款0万元，纳入财政专户管理的非税收入拨款0万元，国有资本经营预算拨款0万元，上年结转结余0万元。同口径对比，收入较上年增加27.45万元，增长率1.55%，主要原因是优化专项支出结构，新增部分必要的宣传业务专项经费，同时保障核心职能工作资金需求。</w:t>
      </w:r>
    </w:p>
    <w:p>
      <w:pPr>
        <w:ind w:left="0" w:leftChars="0" w:firstLine="641" w:firstLineChars="21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（二）支出预算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本部门支出预算数1795.32万元，其中，一般公共服务支出1525.69万元、文化旅游体育与传媒支出10.00万元、社会保障和就业支出127.69万元、卫生健康支出44.08万元、住房保障支出87.86万元。同口径对比，支出较上年增加27.45万元，增长率1.55%，主要原因是新增住房保障支出预算，同时调整文化旅游体育与传媒支出结构，聚焦重点宣传工作保障。</w:t>
      </w:r>
    </w:p>
    <w:p>
      <w:pPr>
        <w:ind w:left="0" w:leftChars="0" w:firstLine="639" w:firstLineChars="213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四、一般公共预算财政拨款收支情况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本部门一般公共预算拨款支出为1795.32万元，其中：一般公共服务支出1525.69万元，占85.04%；社会保障和就业支出127.69万元，占7.11%；卫生健康支出44.08万元，占2.45%；住房保障支出87.86万元，占4.89%；文化旅游体育与传媒支出10.00万元，占0.56%。具体安排情况如下：</w:t>
      </w:r>
    </w:p>
    <w:p>
      <w:pPr>
        <w:ind w:left="0" w:leftChars="0" w:firstLine="641" w:firstLineChars="21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（一）基本支出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2026年年初预算数为1354.37万元，是保障单位机构正常运转、完成日常工作任务发生的各项支出。其中：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人员经费1100.68万元，主要用于基本工资332.92万元、津贴补贴134.37万元、奖金225.56万元、绩效工资59.38万元、伙食补助费26.53万元、其他工资福利支出20.00万元、机关事业单位基本养老保险缴费106.44万元、职工基本医疗保险缴费44.08万元、其他社会保障缴费42.29万元、住房公积金87.86万元、退休费1.20万元、其他对个人和家庭的补助17.87万元、生活补助1.51万元、奖励金0.67万元等；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公用经费253.69万元，主要用于办公费38.27万元、印刷费8.65万元、邮电费3.29万元、差旅费36.79万元、维修（护）费4.92万元、租赁费0.51万元、会议费8.30万元、培训费0.53万元、公务接待费0万元、劳务费10.23万元、委托业务费15.45万元、工会经费50.33万元、公务用车运行维护费14.00万元、其他交通费用54.83万元、其他商品和服务支出7.59万元等。</w:t>
      </w:r>
    </w:p>
    <w:p>
      <w:pPr>
        <w:ind w:left="0" w:leftChars="0" w:firstLine="641" w:firstLineChars="21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（二）项目支出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2026年年初预算数为440.95万元，是单位为完成特定行政工作任务或事业发展目标发生的支出。其中：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default" w:ascii="仿宋" w:hAnsi="仿宋" w:eastAsia="仿宋" w:cs="仿宋"/>
          <w:sz w:val="30"/>
          <w:szCs w:val="30"/>
        </w:rPr>
        <w:t>网络传播</w:t>
      </w:r>
      <w:r>
        <w:rPr>
          <w:rFonts w:hint="eastAsia" w:ascii="仿宋" w:hAnsi="仿宋" w:eastAsia="仿宋" w:cs="仿宋"/>
          <w:sz w:val="30"/>
          <w:szCs w:val="30"/>
        </w:rPr>
        <w:t>及网络舆情专项经费150.00万元，主要用于网上正面宣传、谣言批驳、舆论引导及网络安全保障等；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全市创建文明城市工作经费100.00万元，主要用于“六类示范样板”创建和“七大攻坚行动”，助力进入全国文明城市提名城市；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网上群众工作平台网络维护经费60.00万元，主要用于市县乡村四级微信群管理服务，打通服务群众“最后一公里”；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思想政治工作宣传教育和研究建设经费30.00万元，主要用于理论宣讲、思政实践活动、研究项目及阵地建设等；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sz w:val="30"/>
          <w:szCs w:val="30"/>
        </w:rPr>
        <w:t>意识形态工作专项经费40.00万元，主要用于加强中心组学习、理论体系建设及宣传导向引导（涉密相关工作）；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 w:cs="仿宋"/>
          <w:sz w:val="30"/>
          <w:szCs w:val="30"/>
        </w:rPr>
        <w:t>新时代文明实践中心试点经费20.00万元，主要用于实现新时代文明实践中心建设全覆盖，打造“怀化样板”；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</w:t>
      </w:r>
      <w:r>
        <w:rPr>
          <w:rFonts w:hint="eastAsia" w:ascii="仿宋" w:hAnsi="仿宋" w:eastAsia="仿宋" w:cs="仿宋"/>
          <w:sz w:val="30"/>
          <w:szCs w:val="30"/>
        </w:rPr>
        <w:t>理论宣讲经费（聘用专家及资料购置）20.00万元，主要用于开展“习语连心”等专题宣讲，制定宣讲方案及统一提纲；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</w:t>
      </w:r>
      <w:r>
        <w:rPr>
          <w:rFonts w:hint="eastAsia" w:ascii="仿宋" w:hAnsi="仿宋" w:eastAsia="仿宋" w:cs="仿宋"/>
          <w:sz w:val="30"/>
          <w:szCs w:val="30"/>
        </w:rPr>
        <w:t>“扫黄打非”工作经费10.00万元，主要用于将“扫黄打非”纳入平安建设考核，加强文明城市测评考核投入；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9.</w:t>
      </w:r>
      <w:r>
        <w:rPr>
          <w:rFonts w:hint="eastAsia" w:ascii="仿宋" w:hAnsi="仿宋" w:eastAsia="仿宋" w:cs="仿宋"/>
          <w:sz w:val="30"/>
          <w:szCs w:val="30"/>
        </w:rPr>
        <w:t>国防教育经费10.00万元，主要用于开展国防教育主题讲座，营造浓厚国防教育氛围；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10.</w:t>
      </w:r>
      <w:r>
        <w:rPr>
          <w:rFonts w:hint="eastAsia" w:ascii="仿宋" w:hAnsi="仿宋" w:eastAsia="仿宋" w:cs="仿宋"/>
          <w:sz w:val="30"/>
          <w:szCs w:val="30"/>
        </w:rPr>
        <w:t>评审费、资料费（非税）0.95万元，主要用于完成行政事业性收费相关评审工作及资料编制印制。</w:t>
      </w:r>
    </w:p>
    <w:p>
      <w:pPr>
        <w:ind w:left="0" w:leftChars="0" w:firstLine="639" w:firstLineChars="213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五、政府性基金支出情况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2026年无政府性基金预算支出。</w:t>
      </w:r>
    </w:p>
    <w:p>
      <w:pPr>
        <w:ind w:left="0" w:leftChars="0" w:firstLine="639" w:firstLineChars="213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六、其他重要事项的情况说明</w:t>
      </w:r>
    </w:p>
    <w:p>
      <w:pPr>
        <w:ind w:left="0" w:leftChars="0" w:firstLine="641" w:firstLineChars="21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（一）一般公共预算“三公”经费预算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中国共产党怀化市委员会宣传部安排一般公共预算“三公”经费预算数为14.00万元，其中，公务接待费0万元，公务用车购置费0万元，公务用车运行维护费14.00万元，因公出国（境）费0万元。2026年一般公共预算“三公”经费预算较上年预算数减少14.70万元，下降51.22%，主要因为严格落实“三公”经费“只减不增”原则，从严压缩非必要公务接待支出，仅保留保障日常工作的公务用车运行维护费。</w:t>
      </w:r>
    </w:p>
    <w:p>
      <w:pPr>
        <w:ind w:left="0" w:leftChars="0" w:firstLine="641" w:firstLineChars="21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（二）机关运行经费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中国共产党怀化市委员会宣传部机关运行经费253.69万元（公开表6公用经费安排的商品和服务支出），同口径对比，比上年预算数增加107.29万元，提高73.29%，主要因为本年度优化公用经费核算结构，将工会经费、委托业务费等刚性支出足额纳入，同时增加差旅费、办公费等日常运转保障资金。主要用于：办公费38.27万元、差旅费36.79万元、工会经费50.33万元、公务用车运行维护费14.00万元、其他交通费用54.83万元等。</w:t>
      </w:r>
    </w:p>
    <w:p>
      <w:pPr>
        <w:ind w:left="0" w:leftChars="0" w:firstLine="641" w:firstLineChars="21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（三）政府采购情况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2026年中国共产党怀化市委员会宣传部政府采购预算总额0万元，与上年保持一致，无政府采购货物、工程及服务预算。</w:t>
      </w:r>
    </w:p>
    <w:p>
      <w:pPr>
        <w:ind w:left="0" w:leftChars="0" w:firstLine="641" w:firstLineChars="21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（四）预算绩效管理情况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按照市本级预算绩效管理工作的总体要求，2026年我单位整体支出1795.32万元，全部实行整体支出绩效目标管理；编报绩效目标的项目10个，涉及项目支出440.95万元，其中</w:t>
      </w:r>
      <w:bookmarkStart w:id="0" w:name="_GoBack"/>
      <w:r>
        <w:rPr>
          <w:rFonts w:hint="default" w:ascii="仿宋" w:hAnsi="仿宋" w:eastAsia="仿宋" w:cs="仿宋"/>
          <w:sz w:val="30"/>
          <w:szCs w:val="30"/>
          <w:lang w:eastAsia="zh-CN"/>
        </w:rPr>
        <w:t>网络传播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及网络舆情专项经</w:t>
      </w:r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费150.00万元、全市创建文明城市工作经费100.00万元、网上群众工作平台网络维护经费60.00万元等，全部实行项目支出绩效目标管理。</w:t>
      </w:r>
    </w:p>
    <w:p>
      <w:pPr>
        <w:ind w:left="0" w:leftChars="0" w:firstLine="641" w:firstLineChars="21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（五）国有资产占用情况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截至2025年12月31日，本部门共有车辆5辆，其中，一般公务用车0辆、一般执法执勤用车0辆、特种专业技术用车0辆、其他用车5辆。无单位价值50万元以上通用设备，无单价100万元以上专用设备。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2026年，本部门无拟新增公务用车、单价50万元以上通用设备及单价100万元以上专用设备的计划。</w:t>
      </w:r>
    </w:p>
    <w:p>
      <w:pPr>
        <w:ind w:left="0" w:leftChars="0" w:firstLine="641" w:firstLineChars="21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（六）预算绩效目标说明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部门所有支出实行绩效目标管理。纳入2026年部门整体支出绩效目标的金额为1795.32万元，其中，基本支出1354.37万元，项目支出440.95万元。具体绩效目标详见《部门整体支出绩效目标表》及《项目支出绩效目标表》。</w:t>
      </w:r>
    </w:p>
    <w:p>
      <w:pPr>
        <w:ind w:left="0" w:leftChars="0" w:firstLine="641" w:firstLineChars="21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（七）一般性支出情况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2026年，本部门会议费预算8.30万元，具体为：宣传工作部署及政策传达类会议，内容包括全市宣传思想文化工作调度、舆情处置协调等，预计参会人数根据会议主题合理安排，预算8.30万元。较上年会议费预算减少31.70万元，主要因为精简会议规模和频次，合并同类会议，推行线上线下融合的会议模式。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2026年，本部门培训费预算0.53万元，具体为：宣传业务骨干专项培训，内容为政策解读、业务实操等，预计人数30人，预算0.53万元。较上年新增培训费预算，主要因为聚焦核心业务开展精准化培训，提升工作人员专业能力。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2026年，本部门无举办节庆、晚会、论坛、赛事等相关预算，与上年保持一致。</w:t>
      </w:r>
    </w:p>
    <w:p>
      <w:pPr>
        <w:ind w:left="0" w:leftChars="0" w:firstLine="639" w:firstLineChars="213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七、专业名词解释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1.</w:t>
      </w:r>
      <w:r>
        <w:rPr>
          <w:rFonts w:hint="eastAsia" w:ascii="楷体" w:hAnsi="楷体" w:eastAsia="楷体" w:cs="楷体"/>
          <w:sz w:val="30"/>
          <w:szCs w:val="30"/>
        </w:rPr>
        <w:t>机关运行经费：</w:t>
      </w:r>
      <w:r>
        <w:rPr>
          <w:rFonts w:hint="eastAsia" w:ascii="仿宋" w:hAnsi="仿宋" w:eastAsia="仿宋" w:cs="仿宋"/>
          <w:sz w:val="30"/>
          <w:szCs w:val="30"/>
        </w:rPr>
        <w:t>为保障行政单位（包括参照公务员法管理的事业单位）运行，用一般公共预算拨款安排用于购买货物和服务的各项资金，包括办公及印刷费、邮电费、差旅费、会议费、福利费、日常维修费、办公用房水电费、办公用房物业管理费、公务用车运行维护费以及其他费用。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</w:t>
      </w:r>
      <w:r>
        <w:rPr>
          <w:rFonts w:hint="eastAsia" w:ascii="楷体" w:hAnsi="楷体" w:eastAsia="楷体" w:cs="楷体"/>
          <w:sz w:val="30"/>
          <w:szCs w:val="30"/>
        </w:rPr>
        <w:t>一般公共预算“三公”经费：</w:t>
      </w:r>
      <w:r>
        <w:rPr>
          <w:rFonts w:hint="eastAsia" w:ascii="仿宋" w:hAnsi="仿宋" w:eastAsia="仿宋" w:cs="仿宋"/>
          <w:sz w:val="30"/>
          <w:szCs w:val="30"/>
        </w:rPr>
        <w:t>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简体">
    <w:altName w:val="楷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670" cy="13144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0.35pt;width:2.1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CNR4T9&#10;0AAAAAIBAAAPAAAAAAAAAAEAIAAAADgAAABkcnMvZG93bnJldi54bWxQSwECFAAUAAAACACHTuJA&#10;r8bfwKEBAABHAwAADgAAAAAAAAABACAAAAA1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FA2B7"/>
    <w:multiLevelType w:val="singleLevel"/>
    <w:tmpl w:val="5A7FA2B7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A7FA837"/>
    <w:multiLevelType w:val="singleLevel"/>
    <w:tmpl w:val="5A7FA837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GEzMGUwNWJjMTc3MjYwM2EyOTY0MWE0ZmM0MzEifQ=="/>
  </w:docVars>
  <w:rsids>
    <w:rsidRoot w:val="004E6E3D"/>
    <w:rsid w:val="03023DA5"/>
    <w:rsid w:val="042228D2"/>
    <w:rsid w:val="04433323"/>
    <w:rsid w:val="05881A2C"/>
    <w:rsid w:val="05A425EB"/>
    <w:rsid w:val="07D74632"/>
    <w:rsid w:val="08466C90"/>
    <w:rsid w:val="089D4136"/>
    <w:rsid w:val="09E5774A"/>
    <w:rsid w:val="0DB66903"/>
    <w:rsid w:val="14671B45"/>
    <w:rsid w:val="1496682F"/>
    <w:rsid w:val="157C6B16"/>
    <w:rsid w:val="18250522"/>
    <w:rsid w:val="1A5051A5"/>
    <w:rsid w:val="1ED6141B"/>
    <w:rsid w:val="218527E0"/>
    <w:rsid w:val="250E7A8A"/>
    <w:rsid w:val="268C786C"/>
    <w:rsid w:val="276F0967"/>
    <w:rsid w:val="28932515"/>
    <w:rsid w:val="2A0C345E"/>
    <w:rsid w:val="2E2477F7"/>
    <w:rsid w:val="2F830D35"/>
    <w:rsid w:val="31636116"/>
    <w:rsid w:val="32741650"/>
    <w:rsid w:val="35E702C8"/>
    <w:rsid w:val="39A141FC"/>
    <w:rsid w:val="3DAD604A"/>
    <w:rsid w:val="416B09D2"/>
    <w:rsid w:val="41991176"/>
    <w:rsid w:val="43A43CCA"/>
    <w:rsid w:val="45D61E36"/>
    <w:rsid w:val="4A67245D"/>
    <w:rsid w:val="506435A4"/>
    <w:rsid w:val="51077170"/>
    <w:rsid w:val="535836AB"/>
    <w:rsid w:val="556F46EC"/>
    <w:rsid w:val="55D67AAD"/>
    <w:rsid w:val="56CE5063"/>
    <w:rsid w:val="56FF5133"/>
    <w:rsid w:val="5AA4755C"/>
    <w:rsid w:val="5C04693A"/>
    <w:rsid w:val="5C5B50CB"/>
    <w:rsid w:val="5D7D47EF"/>
    <w:rsid w:val="601E4B2A"/>
    <w:rsid w:val="60E22426"/>
    <w:rsid w:val="620509C2"/>
    <w:rsid w:val="6361064F"/>
    <w:rsid w:val="642858BB"/>
    <w:rsid w:val="6A0478CB"/>
    <w:rsid w:val="6AB10152"/>
    <w:rsid w:val="6B260820"/>
    <w:rsid w:val="6BE62B36"/>
    <w:rsid w:val="72D775EE"/>
    <w:rsid w:val="79156D7B"/>
    <w:rsid w:val="79D6799A"/>
    <w:rsid w:val="7AFB76BD"/>
    <w:rsid w:val="FDFF7B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unhideWhenUsed/>
    <w:qFormat/>
    <w:uiPriority w:val="99"/>
    <w:rPr>
      <w:color w:val="333333"/>
      <w:u w:val="none"/>
    </w:rPr>
  </w:style>
  <w:style w:type="character" w:styleId="13">
    <w:name w:val="Emphasis"/>
    <w:basedOn w:val="9"/>
    <w:qFormat/>
    <w:uiPriority w:val="20"/>
  </w:style>
  <w:style w:type="character" w:styleId="14">
    <w:name w:val="HTML Definition"/>
    <w:basedOn w:val="9"/>
    <w:unhideWhenUsed/>
    <w:qFormat/>
    <w:uiPriority w:val="99"/>
  </w:style>
  <w:style w:type="character" w:styleId="15">
    <w:name w:val="HTML Acronym"/>
    <w:basedOn w:val="9"/>
    <w:unhideWhenUsed/>
    <w:qFormat/>
    <w:uiPriority w:val="99"/>
  </w:style>
  <w:style w:type="character" w:styleId="16">
    <w:name w:val="HTML Variable"/>
    <w:basedOn w:val="9"/>
    <w:unhideWhenUsed/>
    <w:qFormat/>
    <w:uiPriority w:val="99"/>
  </w:style>
  <w:style w:type="character" w:styleId="17">
    <w:name w:val="Hyperlink"/>
    <w:basedOn w:val="9"/>
    <w:unhideWhenUsed/>
    <w:qFormat/>
    <w:uiPriority w:val="99"/>
    <w:rPr>
      <w:color w:val="333333"/>
      <w:u w:val="none"/>
    </w:rPr>
  </w:style>
  <w:style w:type="character" w:styleId="18">
    <w:name w:val="HTML Code"/>
    <w:basedOn w:val="9"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9"/>
    <w:unhideWhenUsed/>
    <w:qFormat/>
    <w:uiPriority w:val="99"/>
  </w:style>
  <w:style w:type="character" w:customStyle="1" w:styleId="20">
    <w:name w:val="hj-easyread-speakerprocesser-position-action-icon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9</Pages>
  <Words>4201</Words>
  <Characters>4670</Characters>
  <Lines>0</Lines>
  <Paragraphs>0</Paragraphs>
  <TotalTime>10</TotalTime>
  <ScaleCrop>false</ScaleCrop>
  <LinksUpToDate>false</LinksUpToDate>
  <CharactersWithSpaces>4670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2016-08-17T09:21:00Z</dcterms:created>
  <dc:creator>微软用户</dc:creator>
  <cp:lastModifiedBy>user</cp:lastModifiedBy>
  <cp:lastPrinted>2022-01-21T14:49:00Z</cp:lastPrinted>
  <dcterms:modified xsi:type="dcterms:W3CDTF">2026-05-28T09:38:49Z</dcterms:modified>
  <dc:title>科学技术部2012年部门预算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KSOSaveFontToCloudKey">
    <vt:lpwstr>362188443_cloud</vt:lpwstr>
  </property>
  <property fmtid="{D5CDD505-2E9C-101B-9397-08002B2CF9AE}" pid="4" name="ICV">
    <vt:lpwstr>EDB7D15DD0D14B70B811E98F0AFEAE0A_13</vt:lpwstr>
  </property>
  <property fmtid="{D5CDD505-2E9C-101B-9397-08002B2CF9AE}" pid="5" name="KSOTemplateDocerSaveRecord">
    <vt:lpwstr>eyJoZGlkIjoiOGQyOWU3ZmJlZGI4OGMxYWZmNzc1ODM1OWUwMzAxNTciLCJ1c2VySWQiOiIxNjQwNTUxMjk3In0=</vt:lpwstr>
  </property>
</Properties>
</file>