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44F1">
      <w:pPr>
        <w:widowControl/>
        <w:jc w:val="left"/>
        <w:rPr>
          <w:rFonts w:hint="eastAsia" w:ascii="方正楷体简体" w:hAnsi="方正楷体简体" w:eastAsia="方正楷体简体" w:cs="方正楷体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Cs/>
          <w:kern w:val="0"/>
          <w:sz w:val="32"/>
          <w:szCs w:val="32"/>
        </w:rPr>
        <w:t>附件</w:t>
      </w:r>
      <w:r>
        <w:rPr>
          <w:rFonts w:hint="eastAsia" w:ascii="方正楷体简体" w:hAnsi="方正楷体简体" w:eastAsia="方正楷体简体" w:cs="方正楷体简体"/>
          <w:bCs/>
          <w:kern w:val="0"/>
          <w:sz w:val="32"/>
          <w:szCs w:val="32"/>
          <w:lang w:val="en-US" w:eastAsia="zh-CN"/>
        </w:rPr>
        <w:t>1</w:t>
      </w:r>
    </w:p>
    <w:p w14:paraId="773535F1">
      <w:pPr>
        <w:widowControl/>
        <w:jc w:val="left"/>
        <w:rPr>
          <w:rFonts w:hint="eastAsia"/>
          <w:bCs/>
          <w:kern w:val="0"/>
          <w:sz w:val="32"/>
          <w:szCs w:val="32"/>
          <w:lang w:val="en-US" w:eastAsia="zh-CN"/>
        </w:rPr>
      </w:pPr>
    </w:p>
    <w:p w14:paraId="73FDCEAF">
      <w:pPr>
        <w:widowControl/>
        <w:jc w:val="center"/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</w:pP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2026年度</w:t>
      </w:r>
    </w:p>
    <w:p w14:paraId="741759E7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中共怀化市委员会宣传部</w:t>
      </w:r>
      <w:r>
        <w:rPr>
          <w:rFonts w:ascii="Times New Roman" w:hAnsi="Times New Roman" w:eastAsia="方正小标宋简体" w:cs="Times New Roman"/>
          <w:w w:val="100"/>
          <w:kern w:val="0"/>
          <w:sz w:val="40"/>
          <w:szCs w:val="44"/>
        </w:rPr>
        <w:t>部门预算公开</w:t>
      </w: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说明</w:t>
      </w:r>
    </w:p>
    <w:p w14:paraId="5F742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 w14:paraId="79D95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69DFF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目录</w:t>
      </w:r>
    </w:p>
    <w:p w14:paraId="2342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color w:val="auto"/>
          <w:kern w:val="0"/>
          <w:sz w:val="32"/>
          <w:szCs w:val="32"/>
          <w:lang w:eastAsia="zh-CN"/>
        </w:rPr>
        <w:t>第一部分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>2026年部门预算说明</w:t>
      </w:r>
    </w:p>
    <w:p w14:paraId="7AE9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一、部门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基本概况</w:t>
      </w:r>
    </w:p>
    <w:p w14:paraId="2DE342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部门预算单位构成</w:t>
      </w:r>
    </w:p>
    <w:p w14:paraId="02B9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部门收支总体情况</w:t>
      </w:r>
    </w:p>
    <w:p w14:paraId="50C0F4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一般公共预算财政拨款支出</w:t>
      </w:r>
    </w:p>
    <w:p w14:paraId="764F02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政府性基金预算支出</w:t>
      </w:r>
    </w:p>
    <w:p w14:paraId="684E0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六、其他重要事项的情况说明</w:t>
      </w:r>
    </w:p>
    <w:p w14:paraId="259EC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名词解释</w:t>
      </w:r>
    </w:p>
    <w:p w14:paraId="2AB68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第二部分2026年部门预算表</w:t>
      </w:r>
    </w:p>
    <w:p w14:paraId="02A1E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eastAsia="仿宋_GB2312"/>
          <w:color w:val="000000"/>
          <w:sz w:val="32"/>
          <w:szCs w:val="32"/>
        </w:rPr>
        <w:t>收支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总表</w:t>
      </w:r>
    </w:p>
    <w:p w14:paraId="3947F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eastAsia="仿宋_GB2312"/>
          <w:color w:val="000000"/>
          <w:sz w:val="32"/>
          <w:szCs w:val="32"/>
        </w:rPr>
        <w:t>收入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预算总</w:t>
      </w:r>
      <w:r>
        <w:rPr>
          <w:rFonts w:eastAsia="仿宋_GB2312"/>
          <w:color w:val="000000"/>
          <w:sz w:val="32"/>
          <w:szCs w:val="32"/>
        </w:rPr>
        <w:t>表</w:t>
      </w:r>
    </w:p>
    <w:p w14:paraId="338F3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预算总</w:t>
      </w:r>
      <w:r>
        <w:rPr>
          <w:rFonts w:eastAsia="仿宋_GB2312"/>
          <w:color w:val="000000"/>
          <w:sz w:val="32"/>
          <w:szCs w:val="32"/>
        </w:rPr>
        <w:t>表</w:t>
      </w:r>
    </w:p>
    <w:p w14:paraId="036CC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eastAsia="仿宋_GB2312"/>
          <w:color w:val="000000"/>
          <w:sz w:val="32"/>
          <w:szCs w:val="32"/>
        </w:rPr>
        <w:t>财政拨款收支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总表</w:t>
      </w:r>
    </w:p>
    <w:p w14:paraId="65D61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eastAsia="仿宋_GB2312"/>
          <w:color w:val="000000"/>
          <w:sz w:val="32"/>
          <w:szCs w:val="32"/>
        </w:rPr>
        <w:t>一般公共预算支出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11EC1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eastAsia="仿宋_GB2312"/>
          <w:color w:val="000000"/>
          <w:sz w:val="32"/>
          <w:szCs w:val="32"/>
        </w:rPr>
        <w:t>一般公共预算基本支出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1BA36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一般公共预算</w:t>
      </w:r>
      <w:r>
        <w:rPr>
          <w:rFonts w:eastAsia="仿宋_GB2312"/>
          <w:color w:val="000000"/>
          <w:sz w:val="32"/>
          <w:szCs w:val="32"/>
        </w:rPr>
        <w:t>“三公”经费支出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38BB6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eastAsia="仿宋_GB2312"/>
          <w:color w:val="000000"/>
          <w:sz w:val="32"/>
          <w:szCs w:val="32"/>
        </w:rPr>
        <w:t>政府性基金预算支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出预算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5F45F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项目支出预算表</w:t>
      </w:r>
    </w:p>
    <w:p w14:paraId="05136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国有资本经营预算支出预算表</w:t>
      </w:r>
    </w:p>
    <w:p w14:paraId="2C568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11.项目支出绩效目标表</w:t>
      </w:r>
    </w:p>
    <w:p w14:paraId="751AA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12.部门整体支出绩效目标表</w:t>
      </w:r>
    </w:p>
    <w:p w14:paraId="1F51D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注：以上部门预算报表中，空表表示本部门无相关收支情况</w:t>
      </w:r>
    </w:p>
    <w:p w14:paraId="0C1DE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ABEC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 w14:paraId="71C12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 w14:paraId="4C999931">
      <w:pPr>
        <w:bidi w:val="0"/>
        <w:rPr>
          <w:rFonts w:hint="eastAsia"/>
          <w:lang w:val="en-US" w:eastAsia="zh-CN"/>
        </w:rPr>
      </w:pPr>
    </w:p>
    <w:p w14:paraId="132913ED">
      <w:pPr>
        <w:bidi w:val="0"/>
        <w:rPr>
          <w:rFonts w:hint="eastAsia"/>
          <w:lang w:val="en-US" w:eastAsia="zh-CN"/>
        </w:rPr>
      </w:pPr>
    </w:p>
    <w:p w14:paraId="32CA245B">
      <w:pPr>
        <w:bidi w:val="0"/>
        <w:rPr>
          <w:rFonts w:hint="eastAsia"/>
          <w:lang w:val="en-US" w:eastAsia="zh-CN"/>
        </w:rPr>
      </w:pPr>
    </w:p>
    <w:p w14:paraId="172EE815">
      <w:pPr>
        <w:bidi w:val="0"/>
        <w:rPr>
          <w:rFonts w:hint="eastAsia"/>
          <w:lang w:val="en-US" w:eastAsia="zh-CN"/>
        </w:rPr>
      </w:pPr>
    </w:p>
    <w:p w14:paraId="4C368DCC">
      <w:pPr>
        <w:bidi w:val="0"/>
        <w:rPr>
          <w:rFonts w:hint="eastAsia"/>
          <w:lang w:val="en-US" w:eastAsia="zh-CN"/>
        </w:rPr>
      </w:pPr>
    </w:p>
    <w:p w14:paraId="4ADD009C">
      <w:pPr>
        <w:bidi w:val="0"/>
        <w:rPr>
          <w:rFonts w:hint="eastAsia"/>
          <w:lang w:val="en-US" w:eastAsia="zh-CN"/>
        </w:rPr>
      </w:pPr>
    </w:p>
    <w:p w14:paraId="52E7FB5A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86C0860">
      <w:pPr>
        <w:ind w:firstLine="663" w:firstLineChars="221"/>
        <w:rPr>
          <w:rFonts w:hint="eastAsia" w:ascii="黑体" w:hAnsi="黑体" w:eastAsia="黑体" w:cs="黑体"/>
          <w:w w:val="100"/>
          <w:sz w:val="30"/>
          <w:szCs w:val="30"/>
        </w:rPr>
      </w:pPr>
      <w:r>
        <w:rPr>
          <w:rFonts w:hint="eastAsia" w:ascii="黑体" w:hAnsi="黑体" w:eastAsia="黑体" w:cs="黑体"/>
          <w:w w:val="100"/>
          <w:sz w:val="30"/>
          <w:szCs w:val="30"/>
        </w:rPr>
        <w:t>一、部门基本概况</w:t>
      </w:r>
    </w:p>
    <w:p w14:paraId="0AAD515B">
      <w:pPr>
        <w:ind w:firstLine="666" w:firstLineChars="221"/>
        <w:rPr>
          <w:rFonts w:ascii="仿宋" w:hAnsi="仿宋" w:eastAsia="仿宋"/>
          <w:b/>
          <w:w w:val="100"/>
          <w:sz w:val="30"/>
          <w:szCs w:val="30"/>
        </w:rPr>
      </w:pPr>
      <w:r>
        <w:rPr>
          <w:rFonts w:hint="eastAsia" w:ascii="仿宋" w:hAnsi="仿宋" w:eastAsia="仿宋"/>
          <w:b/>
          <w:w w:val="100"/>
          <w:sz w:val="30"/>
          <w:szCs w:val="30"/>
        </w:rPr>
        <w:t>（一）部门职责</w:t>
      </w:r>
    </w:p>
    <w:p w14:paraId="7A4B35F2">
      <w:pPr>
        <w:ind w:firstLine="663" w:firstLineChars="221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中共怀化市委宣传部是市委主管意识形态方面工作的职能部门，机构职能（涉密）。</w:t>
      </w:r>
    </w:p>
    <w:p w14:paraId="411141A5">
      <w:pPr>
        <w:ind w:firstLine="666" w:firstLineChars="221"/>
        <w:rPr>
          <w:rFonts w:ascii="仿宋" w:hAnsi="仿宋" w:eastAsia="仿宋"/>
          <w:b/>
          <w:w w:val="100"/>
          <w:sz w:val="30"/>
          <w:szCs w:val="30"/>
        </w:rPr>
      </w:pPr>
      <w:r>
        <w:rPr>
          <w:rFonts w:hint="eastAsia" w:ascii="仿宋" w:hAnsi="仿宋" w:eastAsia="仿宋"/>
          <w:b/>
          <w:w w:val="100"/>
          <w:sz w:val="30"/>
          <w:szCs w:val="30"/>
        </w:rPr>
        <w:t>（二）机构设置情况</w:t>
      </w:r>
    </w:p>
    <w:p w14:paraId="7978245C">
      <w:pPr>
        <w:ind w:firstLine="663" w:firstLineChars="221"/>
        <w:rPr>
          <w:rFonts w:ascii="仿宋" w:hAnsi="仿宋" w:eastAsia="仿宋"/>
          <w:w w:val="10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中共怀化市委宣传部（含市委网信办）作为一级部门预算单位，内设</w:t>
      </w:r>
      <w:r>
        <w:rPr>
          <w:rFonts w:ascii="仿宋" w:hAnsi="仿宋" w:eastAsia="仿宋"/>
          <w:w w:val="100"/>
          <w:sz w:val="30"/>
          <w:szCs w:val="30"/>
        </w:rPr>
        <w:t>13个职能科室（涉密不公开）及参公事业单位市文产办。市委网信办内设3个职能科室及全额事业单位舆情监测和新媒体中心。</w:t>
      </w:r>
    </w:p>
    <w:p w14:paraId="663AFBC5">
      <w:pPr>
        <w:ind w:firstLine="663" w:firstLineChars="221"/>
        <w:rPr>
          <w:rFonts w:hint="eastAsia" w:ascii="黑体" w:hAnsi="黑体" w:eastAsia="黑体" w:cs="黑体"/>
          <w:w w:val="100"/>
          <w:sz w:val="30"/>
          <w:szCs w:val="30"/>
        </w:rPr>
      </w:pPr>
      <w:r>
        <w:rPr>
          <w:rFonts w:hint="eastAsia" w:ascii="黑体" w:hAnsi="黑体" w:eastAsia="黑体" w:cs="黑体"/>
          <w:w w:val="100"/>
          <w:sz w:val="30"/>
          <w:szCs w:val="30"/>
        </w:rPr>
        <w:t>二、部门预算单位构成</w:t>
      </w:r>
    </w:p>
    <w:p w14:paraId="447D8F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w w:val="100"/>
          <w:sz w:val="30"/>
          <w:szCs w:val="30"/>
        </w:rPr>
        <w:t>纳入</w:t>
      </w:r>
      <w:r>
        <w:rPr>
          <w:rFonts w:ascii="仿宋" w:hAnsi="仿宋" w:eastAsia="仿宋"/>
          <w:w w:val="100"/>
          <w:sz w:val="30"/>
          <w:szCs w:val="30"/>
        </w:rPr>
        <w:t>202</w:t>
      </w:r>
      <w:r>
        <w:rPr>
          <w:rFonts w:hint="eastAsia" w:ascii="仿宋" w:hAnsi="仿宋" w:eastAsia="仿宋"/>
          <w:w w:val="1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w w:val="100"/>
          <w:sz w:val="30"/>
          <w:szCs w:val="30"/>
        </w:rPr>
        <w:t>年部门预算编制范围的包括：中国共产党怀化市委员会宣传部（本级）。</w:t>
      </w:r>
    </w:p>
    <w:p w14:paraId="55773F65"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三、部门收支总体情况</w:t>
      </w:r>
    </w:p>
    <w:p w14:paraId="3475063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2026年部门预算包括本单位预算内的收支情况。</w:t>
      </w:r>
    </w:p>
    <w:p w14:paraId="0FE6B526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（一）收入预算</w:t>
      </w:r>
    </w:p>
    <w:p w14:paraId="5930D6D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包括一般公共预算、政府性基金、国有资本经营预算等财政拨款收入，以及经营收入、事业收入等单位资金。2026年年初本部门收入预算1795.32万元，其中，一般公共预算拨款1795.32万元，政府性基金预算拨款0万元，纳入财政专户管理的非税收入拨款0万元，国有资本经营预算拨款0万元，上年结转结余0万元。同口径对比，收入较上年增加27.45万元，增长率1.55%，主要原因是优化专项支出结构，新增部分必要的宣传业务专项经费，同时保障核心职能工作资金需求。</w:t>
      </w:r>
    </w:p>
    <w:p w14:paraId="68816AE5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（二）支出预算</w:t>
      </w:r>
    </w:p>
    <w:p w14:paraId="064D95F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本部门支出预算数1795.32万元，其中，一般公共服务支出1525.69万元、文化旅游体育与传媒支出10.00万元、社会保障和就业支出127.69万元、卫生健康支出44.08万元、住房保障支出87.86万元。同口径对比，支出较上年增加27.45万元，增长率1.55%，主要原因是新增住房保障支出预算，同时调整文化旅游体育与传媒支出结构，聚焦重点宣传工作保障。</w:t>
      </w:r>
    </w:p>
    <w:p w14:paraId="45E079F9"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四、一般公共预算财政拨款收支情况</w:t>
      </w:r>
    </w:p>
    <w:p w14:paraId="0B90C01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本部门一般公共预算拨款支出为1795.32万元，其中：一般公共服务支出1525.69万元，占85.04%；社会保障和就业支出127.69万元，占7.11%；卫生健康支出44.08万元，占2.45%；住房保障支出87.86万元，占4.89%；文化旅游体育与传媒支出10.00万元，占0.56%。具体安排情况如下：</w:t>
      </w:r>
    </w:p>
    <w:p w14:paraId="2E4646A7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</w:t>
      </w:r>
    </w:p>
    <w:p w14:paraId="3EAD4B0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2026年年初预算数为1354.37万元，是保障单位机构正常运转、完成日常工作任务发生的各项支出。其中：</w:t>
      </w:r>
    </w:p>
    <w:p w14:paraId="315CB5F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人员经费1100.68万元，主要用于基本工资332.92万元、津贴补贴134.37万元、奖金225.56万元、绩效工资59.38万元、伙食补助费26.53万元、其他工资福利支出20.00万元、机关事业单位基本养老保险缴费106.44万元、职工基本医疗保险缴费44.08万元、其他社会保障缴费42.29万元、住房公积金87.86万元、退休费1.20万元、其他对个人和家庭的补助17.87万元、生活补助1.51万元、奖励金0.67万元等；</w:t>
      </w:r>
    </w:p>
    <w:p w14:paraId="2D84657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公用经费253.69万元，主要用于办公费38.27万元、印刷费8.65万元、邮电费3.29万元、差旅费36.79万元、维修（护）费4.92万元、租赁费0.51万元、会议费8.30万元、培训费0.53万元、公务接待费0万元、劳务费10.23万元、委托业务费15.45万元、工会经费50.33万元、公务用车运行维护费14.00万元、其他交通费用54.83万元、其他商品和服务支出7.59万元等。</w:t>
      </w:r>
    </w:p>
    <w:p w14:paraId="1E1971D0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（二）项目支出</w:t>
      </w:r>
    </w:p>
    <w:p w14:paraId="2256663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2026年年初预算数为440.95万元，是单位为完成特定行政工作任务或事业发展目标发生的支出。其中：</w:t>
      </w:r>
    </w:p>
    <w:p w14:paraId="2D4820D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网评员及网络舆情专项经费150.00万元，主要用于网上正面宣传、谣言批驳、舆论引导及网络安全保障等；</w:t>
      </w:r>
    </w:p>
    <w:p w14:paraId="33E034EC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全市创建文明城市工作经费100.00万元，主要用于“六类示范样板”创建和“七大攻坚行动”，助力进入全国文明城市提名城市；</w:t>
      </w:r>
    </w:p>
    <w:p w14:paraId="28F94B73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网上群众工作平台网络维护经费60.00万元，主要用于市县乡村四级微信群管理服务，打通服务群众“最后一公里”；</w:t>
      </w:r>
    </w:p>
    <w:p w14:paraId="39614845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思想政治工作宣传教育和研究建设经费30.00万元，主要用于理论宣讲、思政实践活动、研究项目及阵地建设等；</w:t>
      </w:r>
    </w:p>
    <w:p w14:paraId="54FF6EC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意识形态工作专项经费40.00万元，主要用于加强中心组学习、理论体系建设及宣传导向引导（涉密相关工作）；</w:t>
      </w:r>
    </w:p>
    <w:p w14:paraId="0D6C54C8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新时代文明实践中心试点经费20.00万元，主要用于实现新时代文明实践中心建设全覆盖，打造“怀化样板”；</w:t>
      </w:r>
    </w:p>
    <w:p w14:paraId="17903B4E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理论宣讲经费（聘用专家及资料购置）20.00万元，主要用于开展“习语连心”等专题宣讲，制定宣讲方案及统一提纲；</w:t>
      </w:r>
    </w:p>
    <w:p w14:paraId="2F76747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>“扫黄打非”工作经费10.00万元，主要用于将“扫黄打非”纳入平安建设考核，加强文明城市测评考核投入；</w:t>
      </w:r>
    </w:p>
    <w:p w14:paraId="09EA5A57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sz w:val="30"/>
          <w:szCs w:val="30"/>
        </w:rPr>
        <w:t>国防教育经费10.00万元，主要用于开展国防教育主题讲座，营造浓厚国防教育氛围；</w:t>
      </w:r>
    </w:p>
    <w:p w14:paraId="4D3D2974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sz w:val="30"/>
          <w:szCs w:val="30"/>
        </w:rPr>
        <w:t>评审费、资料费（非税）0.95万元，主要用于完成行政事业性收费相关评审工作及资料编制印制。</w:t>
      </w:r>
    </w:p>
    <w:p w14:paraId="038F5746"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五、政府性基金支出情况</w:t>
      </w:r>
    </w:p>
    <w:p w14:paraId="35044166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2026年无政府性基金预算支出。</w:t>
      </w:r>
    </w:p>
    <w:p w14:paraId="7A33D2AE"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六、其他重要事项的情况说明</w:t>
      </w:r>
    </w:p>
    <w:p w14:paraId="59F39A6E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（一）一般公共预算“三公”经费预算</w:t>
      </w:r>
    </w:p>
    <w:p w14:paraId="6E92672F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中国共产党怀化市委员会宣传部安排一般公共预算“三公”经费预算数为14.00万元，其中，公务接待费0万元，公务用车购置费0万元，公务用车运行维护费14.00万元，因公出国（境）费0万元。2026年一般公共预算“三公”经费预算较上年预算数减少14.70万元，下降51.22%，主要因为严格落实“三公”经费“只减不增”原则，从严压缩非必要公务接待支出，仅保留保障日常工作的公务用车运行维护费。</w:t>
      </w:r>
    </w:p>
    <w:p w14:paraId="16465A05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（二）机关运行经费</w:t>
      </w:r>
    </w:p>
    <w:p w14:paraId="3F020DF5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中国共产党怀化市委员会宣传部机关运行经费253.69万元（公开表6公用经费安排的商品和服务支出），同口径对比，比上年预算数增加107.29万元，提高73.29%，主要因为本年度优化公用经费核算结构，将工会经费、委托业务费等刚性支出足额纳入，同时增加差旅费、办公费等日常运转保障资金。主要用于：办公费38.27万元、差旅费36.79万元、工会经费50.33万元、公务用车运行维护费14.00万元、其他交通费用54.83万元等。</w:t>
      </w:r>
    </w:p>
    <w:p w14:paraId="3151D162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（三）政府采购情况</w:t>
      </w:r>
    </w:p>
    <w:p w14:paraId="0918C13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2026年中国共产党怀化市委员会宣传部政府采购预算总额0万元，与上年保持一致，无政府采购货物、工程及服务预算。</w:t>
      </w:r>
    </w:p>
    <w:p w14:paraId="2EA0D984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（四）预算绩效管理情况</w:t>
      </w:r>
    </w:p>
    <w:p w14:paraId="466AE78B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市本级预算绩效管理工作的总体要求，2026年我单位整体支出1795.32万元，全部实行整体支出绩效目标管理；编报绩效目标的项目10个，涉及项目支出440.95万元，其中网评员及网络舆情专项经费150.00万元、全市创建文明城市工作经费100.00万元、网上群众工作平台网络维护经费60.00万元等，全部实行项目支出绩效目标管理。</w:t>
      </w:r>
    </w:p>
    <w:p w14:paraId="4D99EB26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（五）国有资产占用情况</w:t>
      </w:r>
    </w:p>
    <w:p w14:paraId="346F5C2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截至2025年12月31日，本部门共有车辆5辆，其中，一般公务用车0辆、一般执法执勤用车0辆、特种专业技术用车0辆、其他用车5辆。无单位价值50万元以上通用设备，无单价100万元以上专用设备。</w:t>
      </w:r>
    </w:p>
    <w:p w14:paraId="30714830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2026年，本部门无拟新增公务用车、单价50万元以上通用设备及单价100万元以上专用设备的计划。</w:t>
      </w:r>
    </w:p>
    <w:p w14:paraId="5E383D66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（六）预算绩效目标说明</w:t>
      </w:r>
    </w:p>
    <w:p w14:paraId="65325922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部门所有支出实行绩效目标管理。纳入2026年部门整体支出绩效目标的金额为1795.32万元，其中，基本支出1354.37万元，项目支出440.95万元。具体绩效目标详见《部门整体支出绩效目标表》及《项目支出绩效目标表》。</w:t>
      </w:r>
    </w:p>
    <w:p w14:paraId="41338342">
      <w:pPr>
        <w:ind w:left="0" w:leftChars="0" w:firstLine="641" w:firstLineChars="21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（七）一般性支出情况</w:t>
      </w:r>
    </w:p>
    <w:p w14:paraId="47ECAF36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2026年，本部门会议费预算8.30万元，具体为：宣传工作部署及政策传达类会议，内容包括全市宣传思想文化工作调度、舆情处置协调等，预计参会人数根据会议主题合理安排，预算8.30万元。较上年会议费预算减少31.70万元，主要因为精简会议规模和频次，合并同类会议，推行线上线下融合的会议模式。</w:t>
      </w:r>
    </w:p>
    <w:p w14:paraId="2DF430D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2026年，本部门培训费预算0.53万元，具体为：宣传业务骨干专项培训，内容为政策解读、业务实操等，预计人数30人，预算0.53万元。较上年新增培训费预算，主要因为聚焦核心业务开展精准化培训，提升工作人员专业能力。</w:t>
      </w:r>
    </w:p>
    <w:p w14:paraId="18B6AAF8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2026年，本部门无举办节庆、晚会、论坛、赛事等相关预算，与上年保持一致。</w:t>
      </w:r>
    </w:p>
    <w:p w14:paraId="2F0EB171">
      <w:pPr>
        <w:ind w:left="0" w:leftChars="0" w:firstLine="639" w:firstLineChars="213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七、专业名词解释</w:t>
      </w:r>
    </w:p>
    <w:p w14:paraId="522610FD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机关运行经费：</w:t>
      </w:r>
      <w:r>
        <w:rPr>
          <w:rFonts w:hint="eastAsia" w:ascii="仿宋" w:hAnsi="仿宋" w:eastAsia="仿宋" w:cs="仿宋"/>
          <w:sz w:val="30"/>
          <w:szCs w:val="30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物业管理费、公务用车运行维护费以及其他费用。</w:t>
      </w:r>
    </w:p>
    <w:p w14:paraId="667FE901"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</w:rPr>
        <w:t>一般公共预算“三公”经费：</w:t>
      </w:r>
      <w:r>
        <w:rPr>
          <w:rFonts w:hint="eastAsia" w:ascii="仿宋" w:hAnsi="仿宋" w:eastAsia="仿宋" w:cs="仿宋"/>
          <w:sz w:val="30"/>
          <w:szCs w:val="30"/>
        </w:rPr>
        <w:t>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F03D9E-C560-4070-B7CB-21FDA9FA62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418673E-481C-43DA-BA9A-EC74E97B32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0895EB-A964-447D-A623-A914F5EDBFE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67FF73C-E498-4859-991F-2A90695DFB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79C139-7580-49AA-A875-6B17A7B653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FC717FB-7BAE-4900-97A6-6447784DCF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05DBC90B-5650-4C46-B0B7-35F2F2C78433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40A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1F825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" cy="13144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72EFC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.1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NR4T90AAAAAIBAAAPAAAAAAAAAAEAIAAAACIAAABkcnMvZG93bnJldi54bWxQSwECFAAUAAAA&#10;CACHTuJAa3zF770BAACV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072EFC">
                    <w:pPr>
                      <w:pStyle w:val="5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58D2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FA2B7"/>
    <w:multiLevelType w:val="singleLevel"/>
    <w:tmpl w:val="5A7FA2B7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A7FA837"/>
    <w:multiLevelType w:val="singleLevel"/>
    <w:tmpl w:val="5A7FA83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GEzMGUwNWJjMTc3MjYwM2EyOTY0MWE0ZmM0MzEifQ=="/>
  </w:docVars>
  <w:rsids>
    <w:rsidRoot w:val="004E6E3D"/>
    <w:rsid w:val="03023DA5"/>
    <w:rsid w:val="042228D2"/>
    <w:rsid w:val="04433323"/>
    <w:rsid w:val="05881A2C"/>
    <w:rsid w:val="05A425EB"/>
    <w:rsid w:val="07D74632"/>
    <w:rsid w:val="08466C90"/>
    <w:rsid w:val="089D4136"/>
    <w:rsid w:val="09E5774A"/>
    <w:rsid w:val="0DB66903"/>
    <w:rsid w:val="14671B45"/>
    <w:rsid w:val="1496682F"/>
    <w:rsid w:val="157C6B16"/>
    <w:rsid w:val="18250522"/>
    <w:rsid w:val="1A5051A5"/>
    <w:rsid w:val="1ED6141B"/>
    <w:rsid w:val="218527E0"/>
    <w:rsid w:val="250E7A8A"/>
    <w:rsid w:val="268C786C"/>
    <w:rsid w:val="276F0967"/>
    <w:rsid w:val="28932515"/>
    <w:rsid w:val="2A0C345E"/>
    <w:rsid w:val="2E2477F7"/>
    <w:rsid w:val="2F830D35"/>
    <w:rsid w:val="31636116"/>
    <w:rsid w:val="32741650"/>
    <w:rsid w:val="35E702C8"/>
    <w:rsid w:val="39A141FC"/>
    <w:rsid w:val="3DAD604A"/>
    <w:rsid w:val="416B09D2"/>
    <w:rsid w:val="43A43CCA"/>
    <w:rsid w:val="45D61E36"/>
    <w:rsid w:val="4A67245D"/>
    <w:rsid w:val="506435A4"/>
    <w:rsid w:val="51077170"/>
    <w:rsid w:val="535836AB"/>
    <w:rsid w:val="556F46EC"/>
    <w:rsid w:val="55D67AAD"/>
    <w:rsid w:val="56CE5063"/>
    <w:rsid w:val="56FF5133"/>
    <w:rsid w:val="5AA4755C"/>
    <w:rsid w:val="5C04693A"/>
    <w:rsid w:val="5C5B50CB"/>
    <w:rsid w:val="5D7D47EF"/>
    <w:rsid w:val="601E4B2A"/>
    <w:rsid w:val="60E22426"/>
    <w:rsid w:val="620509C2"/>
    <w:rsid w:val="6361064F"/>
    <w:rsid w:val="642858BB"/>
    <w:rsid w:val="6A0478CB"/>
    <w:rsid w:val="6AB10152"/>
    <w:rsid w:val="6B260820"/>
    <w:rsid w:val="6BE62B36"/>
    <w:rsid w:val="72D775EE"/>
    <w:rsid w:val="79156D7B"/>
    <w:rsid w:val="79D6799A"/>
    <w:rsid w:val="7AFB76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0">
    <w:name w:val="Strong"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3">
    <w:name w:val="Emphasis"/>
    <w:basedOn w:val="9"/>
    <w:qFormat/>
    <w:uiPriority w:val="20"/>
  </w:style>
  <w:style w:type="character" w:styleId="14">
    <w:name w:val="HTML Definition"/>
    <w:basedOn w:val="9"/>
    <w:unhideWhenUsed/>
    <w:qFormat/>
    <w:uiPriority w:val="99"/>
  </w:style>
  <w:style w:type="character" w:styleId="15">
    <w:name w:val="HTML Acronym"/>
    <w:basedOn w:val="9"/>
    <w:unhideWhenUsed/>
    <w:qFormat/>
    <w:uiPriority w:val="99"/>
  </w:style>
  <w:style w:type="character" w:styleId="16">
    <w:name w:val="HTML Variable"/>
    <w:basedOn w:val="9"/>
    <w:unhideWhenUsed/>
    <w:uiPriority w:val="99"/>
  </w:style>
  <w:style w:type="character" w:styleId="17">
    <w:name w:val="Hyperlink"/>
    <w:basedOn w:val="9"/>
    <w:unhideWhenUsed/>
    <w:qFormat/>
    <w:uiPriority w:val="99"/>
    <w:rPr>
      <w:color w:val="333333"/>
      <w:u w:val="none"/>
    </w:rPr>
  </w:style>
  <w:style w:type="character" w:styleId="18">
    <w:name w:val="HTML Code"/>
    <w:basedOn w:val="9"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9"/>
    <w:unhideWhenUsed/>
    <w:qFormat/>
    <w:uiPriority w:val="99"/>
  </w:style>
  <w:style w:type="character" w:customStyle="1" w:styleId="20">
    <w:name w:val="hj-easyread-speakerprocesser-position-action-ic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</Pages>
  <Words>4201</Words>
  <Characters>4670</Characters>
  <Lines>0</Lines>
  <Paragraphs>0</Paragraphs>
  <TotalTime>3</TotalTime>
  <ScaleCrop>false</ScaleCrop>
  <LinksUpToDate>false</LinksUpToDate>
  <CharactersWithSpaces>4670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2016-08-17T01:21:00Z</dcterms:created>
  <dc:creator>微软用户</dc:creator>
  <cp:lastModifiedBy>钟斌</cp:lastModifiedBy>
  <cp:lastPrinted>2022-01-21T06:49:00Z</cp:lastPrinted>
  <dcterms:modified xsi:type="dcterms:W3CDTF">2026-01-25T20:24:51Z</dcterms:modified>
  <dc:title>科学技术部2012年部门预算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SaveFontToCloudKey">
    <vt:lpwstr>362188443_cloud</vt:lpwstr>
  </property>
  <property fmtid="{D5CDD505-2E9C-101B-9397-08002B2CF9AE}" pid="4" name="ICV">
    <vt:lpwstr>EDB7D15DD0D14B70B811E98F0AFEAE0A_13</vt:lpwstr>
  </property>
  <property fmtid="{D5CDD505-2E9C-101B-9397-08002B2CF9AE}" pid="5" name="KSOTemplateDocerSaveRecord">
    <vt:lpwstr>eyJoZGlkIjoiOGQyOWU3ZmJlZGI4OGMxYWZmNzc1ODM1OWUwMzAxNTciLCJ1c2VySWQiOiIxNjQwNTUxMjk3In0=</vt:lpwstr>
  </property>
</Properties>
</file>